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4849C3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Supporting Information legend</w:t>
      </w:r>
    </w:p>
    <w:p w14:paraId="2142A5B1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</w:t>
      </w:r>
      <w:r w:rsidRPr="00DE47F2">
        <w:rPr>
          <w:rFonts w:ascii="Times New Roman" w:hAnsi="Times New Roman" w:cs="Times New Roman"/>
          <w:sz w:val="20"/>
          <w:szCs w:val="20"/>
        </w:rPr>
        <w:t>Collection method of other variables used in this study</w:t>
      </w:r>
    </w:p>
    <w:p w14:paraId="14DB47B4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2. Differences in characteristics between women who were analyzed and excluded owing to missing data or clinically improbable data</w:t>
      </w:r>
    </w:p>
    <w:p w14:paraId="3B5A740C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Additional analysis</w:t>
      </w:r>
    </w:p>
    <w:p w14:paraId="1822B7EB" w14:textId="77777777" w:rsidR="00287ABC" w:rsidRPr="00DE47F2" w:rsidRDefault="00287ABC" w:rsidP="00287ABC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DE47F2">
        <w:rPr>
          <w:rFonts w:ascii="Times New Roman" w:hAnsi="Times New Roman" w:cs="Times New Roman"/>
          <w:i/>
          <w:iCs/>
          <w:sz w:val="20"/>
          <w:szCs w:val="20"/>
        </w:rPr>
        <w:t>3.1 The association of parity with T2DM prevalence (Models 6 and 7)</w:t>
      </w:r>
    </w:p>
    <w:p w14:paraId="06F677C2" w14:textId="77777777" w:rsidR="00287ABC" w:rsidRPr="00DE47F2" w:rsidRDefault="00287ABC" w:rsidP="00287ABC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DE47F2">
        <w:rPr>
          <w:rFonts w:ascii="Times New Roman" w:hAnsi="Times New Roman" w:cs="Times New Roman"/>
          <w:i/>
          <w:iCs/>
          <w:sz w:val="20"/>
          <w:szCs w:val="20"/>
        </w:rPr>
        <w:t>3.2. Combined analysis for investigation of interaction between a clinical history of GDM and parity in multiparous women</w:t>
      </w:r>
    </w:p>
    <w:p w14:paraId="385D0899" w14:textId="77777777" w:rsidR="00287ABC" w:rsidRPr="00DE47F2" w:rsidRDefault="00287ABC" w:rsidP="00287ABC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DE47F2">
        <w:rPr>
          <w:rFonts w:ascii="Times New Roman" w:hAnsi="Times New Roman" w:cs="Times New Roman"/>
          <w:i/>
          <w:iCs/>
          <w:sz w:val="20"/>
          <w:szCs w:val="20"/>
        </w:rPr>
        <w:t>3.3. Associations of parity with T2DM prevalence with women of parity=1 set as a reference category</w:t>
      </w:r>
    </w:p>
    <w:p w14:paraId="641F951F" w14:textId="77777777" w:rsidR="00287ABC" w:rsidRPr="00DE47F2" w:rsidRDefault="00287ABC" w:rsidP="00287ABC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DE47F2">
        <w:rPr>
          <w:rFonts w:ascii="Times New Roman" w:hAnsi="Times New Roman" w:cs="Times New Roman"/>
          <w:i/>
          <w:iCs/>
          <w:sz w:val="20"/>
          <w:szCs w:val="20"/>
        </w:rPr>
        <w:t>3.4. Associations of parity with T2DM prevalence stratified by age</w:t>
      </w:r>
    </w:p>
    <w:p w14:paraId="2AA8A14D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4. References</w:t>
      </w:r>
    </w:p>
    <w:p w14:paraId="2240D50D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Supplementary Table S1. Differences in characteristics between women who were analyzed and excluded owing to missing data or clinically improbable data</w:t>
      </w:r>
    </w:p>
    <w:p w14:paraId="2C3A118A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Supplementary Fig S1. Association of parity with T2DM prevalence in premenopausal women (Models 6 and 7)</w:t>
      </w:r>
    </w:p>
    <w:p w14:paraId="4ABFAF5A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Supplementary Fig S2. Association of parity with T2DM prevalence in postmenopausal women (Models 6 and 7)</w:t>
      </w:r>
    </w:p>
    <w:p w14:paraId="36B6EFD4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Supplementary Fig S3. Combined analysis for investigation of interaction between a clinical history of GDM and parity in premenopausal women </w:t>
      </w:r>
    </w:p>
    <w:p w14:paraId="231B7395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Supplementary Fig S4. Combined analysis for investigation of interaction between a clinical history of GDM and parity in postmenopausal women</w:t>
      </w:r>
    </w:p>
    <w:p w14:paraId="6F2DCD41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Supplementary Fig S5. Association of parity with T2DM prevalence in premenopausal women (Women with parity=1 set as a reference category)</w:t>
      </w:r>
    </w:p>
    <w:p w14:paraId="4B28244F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Supplementary Fig S6. Association of parity with T2DM prevalence in postmenopausal women (Women with parity=1 set as a reference category)</w:t>
      </w:r>
    </w:p>
    <w:p w14:paraId="5E05C18A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Supplementary Fig S7. Association of parity with T2DM prevalence in women aged 50 to 64</w:t>
      </w:r>
    </w:p>
    <w:p w14:paraId="1DDEB8FB" w14:textId="77777777" w:rsidR="00287ABC" w:rsidRPr="00DE47F2" w:rsidRDefault="00287ABC" w:rsidP="00287ABC">
      <w:pPr>
        <w:rPr>
          <w:rFonts w:ascii="Times New Roman" w:hAnsi="Times New Roman" w:cs="Times New Roman"/>
          <w:sz w:val="20"/>
          <w:szCs w:val="20"/>
        </w:rPr>
      </w:pPr>
      <w:r w:rsidRPr="00DE47F2">
        <w:rPr>
          <w:rFonts w:ascii="Times New Roman" w:hAnsi="Times New Roman" w:cs="Times New Roman"/>
          <w:sz w:val="20"/>
          <w:szCs w:val="20"/>
        </w:rPr>
        <w:t>Supplementary Fig S8. Association of parity with T2DM prevalence in women aged 65 or more</w:t>
      </w:r>
    </w:p>
    <w:p w14:paraId="4D034233" w14:textId="77777777" w:rsidR="00E1715D" w:rsidRDefault="00287ABC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ABC"/>
    <w:rsid w:val="001942F0"/>
    <w:rsid w:val="00287ABC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CE67A"/>
  <w15:chartTrackingRefBased/>
  <w15:docId w15:val="{5BB7B731-34FB-41DE-A1A3-9475AA843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AB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1459</Characters>
  <Application>Microsoft Office Word</Application>
  <DocSecurity>0</DocSecurity>
  <Lines>12</Lines>
  <Paragraphs>3</Paragraphs>
  <ScaleCrop>false</ScaleCrop>
  <Company>Springer Nature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2023-07-26T09:24:00Z</dcterms:created>
  <dcterms:modified xsi:type="dcterms:W3CDTF">2023-07-26T09:24:00Z</dcterms:modified>
</cp:coreProperties>
</file>