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B1B" w:rsidRPr="00693F99" w:rsidRDefault="00EC6B1B" w:rsidP="00EC6B1B">
      <w:pPr>
        <w:jc w:val="center"/>
        <w:rPr>
          <w:rFonts w:ascii="Times New Roman" w:hAnsi="Times New Roman" w:cs="Times New Roman"/>
          <w:b/>
          <w:sz w:val="32"/>
          <w:lang w:val="en-US"/>
        </w:rPr>
      </w:pPr>
      <w:r w:rsidRPr="00693F99">
        <w:rPr>
          <w:rFonts w:ascii="Times New Roman" w:hAnsi="Times New Roman" w:cs="Times New Roman"/>
          <w:b/>
          <w:sz w:val="32"/>
          <w:lang w:val="en-US"/>
        </w:rPr>
        <w:t xml:space="preserve">Bayesian belief network modeling approach for predicting and ranking risk factors for malaria infections among children under five years in refugee settlements </w:t>
      </w:r>
      <w:r>
        <w:rPr>
          <w:rFonts w:ascii="Times New Roman" w:hAnsi="Times New Roman" w:cs="Times New Roman"/>
          <w:b/>
          <w:sz w:val="32"/>
          <w:lang w:val="en-US"/>
        </w:rPr>
        <w:t>in</w:t>
      </w:r>
      <w:r w:rsidRPr="00693F99">
        <w:rPr>
          <w:rFonts w:ascii="Times New Roman" w:hAnsi="Times New Roman" w:cs="Times New Roman"/>
          <w:b/>
          <w:sz w:val="32"/>
          <w:lang w:val="en-US"/>
        </w:rPr>
        <w:t xml:space="preserve"> Uganda</w:t>
      </w:r>
    </w:p>
    <w:p w:rsidR="00EC6B1B" w:rsidRDefault="00EC6B1B" w:rsidP="00EC6B1B">
      <w:pPr>
        <w:rPr>
          <w:rFonts w:ascii="Times New Roman" w:hAnsi="Times New Roman" w:cs="Times New Roman"/>
          <w:b/>
          <w:sz w:val="24"/>
          <w:szCs w:val="24"/>
          <w:lang w:val="en-US"/>
        </w:rPr>
      </w:pPr>
    </w:p>
    <w:p w:rsidR="00EC6B1B" w:rsidRPr="00265784" w:rsidRDefault="00EC6B1B" w:rsidP="00EC6B1B">
      <w:pPr>
        <w:pStyle w:val="Authors"/>
        <w:spacing w:before="0" w:after="0" w:line="360" w:lineRule="auto"/>
        <w:jc w:val="both"/>
      </w:pPr>
      <w:bookmarkStart w:id="0" w:name="_Toc354560583"/>
      <w:bookmarkStart w:id="1" w:name="_Toc333412512"/>
      <w:bookmarkStart w:id="2" w:name="_Toc333395632"/>
      <w:bookmarkStart w:id="3" w:name="_Toc330916004"/>
      <w:bookmarkStart w:id="4" w:name="_Toc330900098"/>
      <w:bookmarkStart w:id="5" w:name="_Toc329098470"/>
      <w:bookmarkStart w:id="6" w:name="_Toc329098401"/>
      <w:r w:rsidRPr="00582207">
        <w:rPr>
          <w:color w:val="000000"/>
        </w:rPr>
        <w:t>Henry</w:t>
      </w:r>
      <w:r>
        <w:rPr>
          <w:color w:val="000000"/>
        </w:rPr>
        <w:t xml:space="preserve"> </w:t>
      </w:r>
      <w:r w:rsidRPr="00582207">
        <w:rPr>
          <w:color w:val="000000"/>
        </w:rPr>
        <w:t>Musoke</w:t>
      </w:r>
      <w:r>
        <w:rPr>
          <w:color w:val="000000"/>
        </w:rPr>
        <w:t xml:space="preserve"> </w:t>
      </w:r>
      <w:r w:rsidRPr="00582207">
        <w:rPr>
          <w:color w:val="000000"/>
        </w:rPr>
        <w:t>Semakula</w:t>
      </w:r>
      <w:r>
        <w:rPr>
          <w:color w:val="000000"/>
          <w:vertAlign w:val="superscript"/>
          <w:lang w:eastAsia="zh-CN"/>
        </w:rPr>
        <w:t>1</w:t>
      </w:r>
      <w:r w:rsidRPr="00582207">
        <w:rPr>
          <w:color w:val="000000"/>
          <w:vertAlign w:val="superscript"/>
          <w:lang w:eastAsia="zh-CN"/>
        </w:rPr>
        <w:t>,</w:t>
      </w:r>
      <w:r>
        <w:rPr>
          <w:color w:val="000000"/>
          <w:vertAlign w:val="superscript"/>
          <w:lang w:eastAsia="zh-CN"/>
        </w:rPr>
        <w:t>2,a</w:t>
      </w:r>
      <w:r w:rsidRPr="00B23AC6">
        <w:rPr>
          <w:i/>
          <w:color w:val="000000"/>
          <w:lang w:eastAsia="zh-CN"/>
        </w:rPr>
        <w:t>*</w:t>
      </w:r>
      <w:r w:rsidRPr="00B23AC6">
        <w:rPr>
          <w:i/>
          <w:color w:val="000000"/>
          <w:vertAlign w:val="subscript"/>
        </w:rPr>
        <w:t>,</w:t>
      </w:r>
      <w:r>
        <w:rPr>
          <w:i/>
          <w:color w:val="000000"/>
          <w:vertAlign w:val="subscript"/>
        </w:rPr>
        <w:t xml:space="preserve"> </w:t>
      </w:r>
      <w:r w:rsidRPr="00FF6705">
        <w:rPr>
          <w:rStyle w:val="Emphasis"/>
          <w:i w:val="0"/>
        </w:rPr>
        <w:t>Song Liang</w:t>
      </w:r>
      <w:r w:rsidRPr="00FF6705">
        <w:rPr>
          <w:i/>
          <w:color w:val="000000"/>
          <w:vertAlign w:val="superscript"/>
          <w:lang w:eastAsia="zh-CN"/>
        </w:rPr>
        <w:t>2,3,b</w:t>
      </w:r>
      <w:r>
        <w:rPr>
          <w:rStyle w:val="Emphasis"/>
        </w:rPr>
        <w:t xml:space="preserve">, </w:t>
      </w:r>
      <w:r>
        <w:t>Paul Isolo Mukwaya</w:t>
      </w:r>
      <w:r>
        <w:rPr>
          <w:color w:val="000000"/>
          <w:vertAlign w:val="superscript"/>
        </w:rPr>
        <w:t>1,c</w:t>
      </w:r>
      <w:r w:rsidRPr="00582207">
        <w:rPr>
          <w:color w:val="000000"/>
        </w:rPr>
        <w:t>,</w:t>
      </w:r>
      <w:r>
        <w:rPr>
          <w:color w:val="000000"/>
        </w:rPr>
        <w:t xml:space="preserve"> Frank Mugagga</w:t>
      </w:r>
      <w:r>
        <w:rPr>
          <w:color w:val="000000"/>
          <w:vertAlign w:val="superscript"/>
        </w:rPr>
        <w:t>1,</w:t>
      </w:r>
      <w:bookmarkEnd w:id="0"/>
      <w:bookmarkEnd w:id="1"/>
      <w:bookmarkEnd w:id="2"/>
      <w:bookmarkEnd w:id="3"/>
      <w:bookmarkEnd w:id="4"/>
      <w:bookmarkEnd w:id="5"/>
      <w:bookmarkEnd w:id="6"/>
      <w:r>
        <w:rPr>
          <w:color w:val="000000"/>
          <w:vertAlign w:val="superscript"/>
        </w:rPr>
        <w:t>d</w:t>
      </w:r>
      <w:r>
        <w:rPr>
          <w:color w:val="000000"/>
        </w:rPr>
        <w:t xml:space="preserve">, </w:t>
      </w:r>
      <w:r w:rsidRPr="00121BF7">
        <w:rPr>
          <w:bCs/>
        </w:rPr>
        <w:t>Denis</w:t>
      </w:r>
      <w:r>
        <w:rPr>
          <w:bCs/>
        </w:rPr>
        <w:t xml:space="preserve"> </w:t>
      </w:r>
      <w:r w:rsidRPr="00121BF7">
        <w:rPr>
          <w:bCs/>
        </w:rPr>
        <w:t>Nseka</w:t>
      </w:r>
      <w:r>
        <w:rPr>
          <w:bCs/>
          <w:vertAlign w:val="superscript"/>
        </w:rPr>
        <w:t>1e</w:t>
      </w:r>
      <w:r w:rsidRPr="00121BF7">
        <w:rPr>
          <w:bCs/>
        </w:rPr>
        <w:t>,</w:t>
      </w:r>
      <w:r>
        <w:rPr>
          <w:bCs/>
        </w:rPr>
        <w:t xml:space="preserve"> Hannington Wasswa</w:t>
      </w:r>
      <w:r>
        <w:rPr>
          <w:color w:val="000000"/>
          <w:vertAlign w:val="superscript"/>
        </w:rPr>
        <w:t>1,f</w:t>
      </w:r>
      <w:r>
        <w:rPr>
          <w:bCs/>
        </w:rPr>
        <w:t xml:space="preserve">, </w:t>
      </w:r>
      <w:r w:rsidRPr="00265784">
        <w:rPr>
          <w:color w:val="000000"/>
        </w:rPr>
        <w:t>P</w:t>
      </w:r>
      <w:r>
        <w:rPr>
          <w:color w:val="000000"/>
        </w:rPr>
        <w:t xml:space="preserve">atrick </w:t>
      </w:r>
      <w:r w:rsidRPr="00265784">
        <w:rPr>
          <w:color w:val="000000"/>
        </w:rPr>
        <w:t>Mwend</w:t>
      </w:r>
      <w:r>
        <w:rPr>
          <w:color w:val="000000"/>
        </w:rPr>
        <w:t>w</w:t>
      </w:r>
      <w:r w:rsidRPr="00265784">
        <w:rPr>
          <w:color w:val="000000"/>
        </w:rPr>
        <w:t>a</w:t>
      </w:r>
      <w:r>
        <w:rPr>
          <w:color w:val="000000"/>
          <w:vertAlign w:val="superscript"/>
        </w:rPr>
        <w:t xml:space="preserve">5,g, </w:t>
      </w:r>
      <w:r w:rsidRPr="00121BF7">
        <w:rPr>
          <w:color w:val="000000"/>
        </w:rPr>
        <w:t>Patrick</w:t>
      </w:r>
      <w:r>
        <w:rPr>
          <w:color w:val="000000"/>
        </w:rPr>
        <w:t xml:space="preserve"> </w:t>
      </w:r>
      <w:r w:rsidRPr="00121BF7">
        <w:rPr>
          <w:color w:val="000000"/>
        </w:rPr>
        <w:t>Kayima</w:t>
      </w:r>
      <w:r>
        <w:rPr>
          <w:color w:val="000000"/>
          <w:vertAlign w:val="superscript"/>
        </w:rPr>
        <w:t>1,h</w:t>
      </w:r>
      <w:r>
        <w:rPr>
          <w:color w:val="000000"/>
        </w:rPr>
        <w:t>, Simon Peter Achuu</w:t>
      </w:r>
      <w:r>
        <w:rPr>
          <w:color w:val="000000"/>
          <w:vertAlign w:val="superscript"/>
        </w:rPr>
        <w:t>4,i</w:t>
      </w:r>
      <w:r>
        <w:rPr>
          <w:color w:val="000000"/>
        </w:rPr>
        <w:t>, Jovia Nakato</w:t>
      </w:r>
      <w:r w:rsidRPr="005B17BD">
        <w:rPr>
          <w:color w:val="000000"/>
          <w:vertAlign w:val="superscript"/>
        </w:rPr>
        <w:t>1</w:t>
      </w:r>
      <w:r>
        <w:rPr>
          <w:color w:val="000000"/>
          <w:vertAlign w:val="superscript"/>
        </w:rPr>
        <w:t>,j</w:t>
      </w:r>
    </w:p>
    <w:p w:rsidR="00EC6B1B" w:rsidRDefault="00EC6B1B" w:rsidP="00EC6B1B">
      <w:pPr>
        <w:pStyle w:val="Paragraph"/>
        <w:spacing w:before="0" w:line="360" w:lineRule="auto"/>
        <w:ind w:firstLine="0"/>
        <w:jc w:val="both"/>
        <w:rPr>
          <w:snapToGrid w:val="0"/>
          <w:color w:val="000000"/>
          <w:kern w:val="18"/>
        </w:rPr>
      </w:pPr>
      <w:r>
        <w:rPr>
          <w:vertAlign w:val="superscript"/>
        </w:rPr>
        <w:t xml:space="preserve">1 </w:t>
      </w:r>
      <w:r>
        <w:rPr>
          <w:snapToGrid w:val="0"/>
          <w:color w:val="000000"/>
          <w:kern w:val="18"/>
        </w:rPr>
        <w:t xml:space="preserve">Department of Geography, Geo-informatics and Climatic Sciences, Makerere University, P.O Box 7062, Kampala, Uganda </w:t>
      </w:r>
    </w:p>
    <w:p w:rsidR="00EC6B1B" w:rsidRDefault="00EC6B1B" w:rsidP="00EC6B1B">
      <w:pPr>
        <w:pStyle w:val="Paragraph"/>
        <w:spacing w:before="0" w:line="360" w:lineRule="auto"/>
        <w:ind w:firstLine="0"/>
        <w:rPr>
          <w:snapToGrid w:val="0"/>
          <w:color w:val="000000"/>
          <w:kern w:val="18"/>
          <w:lang w:eastAsia="zh-CN"/>
        </w:rPr>
      </w:pPr>
      <w:r>
        <w:rPr>
          <w:snapToGrid w:val="0"/>
          <w:color w:val="000000"/>
          <w:kern w:val="18"/>
          <w:vertAlign w:val="superscript"/>
          <w:lang w:eastAsia="zh-CN"/>
        </w:rPr>
        <w:t>2</w:t>
      </w:r>
      <w:r>
        <w:rPr>
          <w:snapToGrid w:val="0"/>
          <w:color w:val="000000"/>
          <w:kern w:val="18"/>
          <w:lang w:eastAsia="zh-CN"/>
        </w:rPr>
        <w:t xml:space="preserve">Department of Environmental and Global Health, College of Public Health and Health Professions, University of Florida, </w:t>
      </w:r>
      <w:r w:rsidRPr="00764EE2">
        <w:rPr>
          <w:snapToGrid w:val="0"/>
          <w:color w:val="000000"/>
          <w:kern w:val="18"/>
          <w:lang w:eastAsia="zh-CN"/>
        </w:rPr>
        <w:t>2055</w:t>
      </w:r>
      <w:r>
        <w:rPr>
          <w:snapToGrid w:val="0"/>
          <w:color w:val="000000"/>
          <w:kern w:val="18"/>
          <w:lang w:eastAsia="zh-CN"/>
        </w:rPr>
        <w:t xml:space="preserve"> Mowry Rd Gainesville FL </w:t>
      </w:r>
      <w:r w:rsidRPr="00764EE2">
        <w:rPr>
          <w:snapToGrid w:val="0"/>
          <w:color w:val="000000"/>
          <w:kern w:val="18"/>
          <w:lang w:eastAsia="zh-CN"/>
        </w:rPr>
        <w:t>32610</w:t>
      </w:r>
      <w:r>
        <w:rPr>
          <w:snapToGrid w:val="0"/>
          <w:color w:val="000000"/>
          <w:kern w:val="18"/>
          <w:lang w:eastAsia="zh-CN"/>
        </w:rPr>
        <w:t>, USA</w:t>
      </w:r>
    </w:p>
    <w:p w:rsidR="00EC6B1B" w:rsidRDefault="00EC6B1B" w:rsidP="00EC6B1B">
      <w:pPr>
        <w:pStyle w:val="Paragraph"/>
        <w:spacing w:before="0" w:line="360" w:lineRule="auto"/>
        <w:ind w:firstLine="0"/>
        <w:jc w:val="both"/>
        <w:rPr>
          <w:snapToGrid w:val="0"/>
          <w:color w:val="000000"/>
          <w:kern w:val="18"/>
          <w:lang w:eastAsia="zh-CN"/>
        </w:rPr>
      </w:pPr>
      <w:r>
        <w:rPr>
          <w:snapToGrid w:val="0"/>
          <w:color w:val="000000"/>
          <w:kern w:val="18"/>
          <w:vertAlign w:val="superscript"/>
          <w:lang w:eastAsia="zh-CN"/>
        </w:rPr>
        <w:t>3</w:t>
      </w:r>
      <w:r w:rsidRPr="00476919">
        <w:rPr>
          <w:snapToGrid w:val="0"/>
          <w:color w:val="000000"/>
          <w:kern w:val="18"/>
          <w:lang w:eastAsia="zh-CN"/>
        </w:rPr>
        <w:t>Emerging</w:t>
      </w:r>
      <w:r>
        <w:rPr>
          <w:snapToGrid w:val="0"/>
          <w:color w:val="000000"/>
          <w:kern w:val="18"/>
          <w:lang w:eastAsia="zh-CN"/>
        </w:rPr>
        <w:t xml:space="preserve"> </w:t>
      </w:r>
      <w:r w:rsidRPr="00476919">
        <w:rPr>
          <w:snapToGrid w:val="0"/>
          <w:color w:val="000000"/>
          <w:kern w:val="18"/>
          <w:lang w:eastAsia="zh-CN"/>
        </w:rPr>
        <w:t>Pathogens</w:t>
      </w:r>
      <w:r>
        <w:rPr>
          <w:snapToGrid w:val="0"/>
          <w:color w:val="000000"/>
          <w:kern w:val="18"/>
          <w:lang w:eastAsia="zh-CN"/>
        </w:rPr>
        <w:t xml:space="preserve"> </w:t>
      </w:r>
      <w:r w:rsidRPr="00476919">
        <w:rPr>
          <w:snapToGrid w:val="0"/>
          <w:color w:val="000000"/>
          <w:kern w:val="18"/>
          <w:lang w:eastAsia="zh-CN"/>
        </w:rPr>
        <w:t>Institute</w:t>
      </w:r>
      <w:r>
        <w:rPr>
          <w:snapToGrid w:val="0"/>
          <w:color w:val="000000"/>
          <w:kern w:val="18"/>
          <w:lang w:eastAsia="zh-CN"/>
        </w:rPr>
        <w:t>, University of Florida, Gainesville, FL, USA</w:t>
      </w:r>
    </w:p>
    <w:p w:rsidR="00EC6B1B" w:rsidRDefault="00EC6B1B" w:rsidP="00EC6B1B">
      <w:pPr>
        <w:tabs>
          <w:tab w:val="left" w:pos="1440"/>
          <w:tab w:val="left" w:pos="8820"/>
        </w:tabs>
        <w:rPr>
          <w:rFonts w:ascii="Times New Roman" w:hAnsi="Times New Roman" w:cs="Times New Roman"/>
          <w:sz w:val="24"/>
          <w:szCs w:val="24"/>
          <w:lang w:val="en"/>
        </w:rPr>
      </w:pPr>
      <w:r w:rsidRPr="00B81951">
        <w:rPr>
          <w:rFonts w:ascii="Times New Roman" w:hAnsi="Times New Roman" w:cs="Times New Roman"/>
          <w:sz w:val="24"/>
          <w:szCs w:val="24"/>
          <w:vertAlign w:val="superscript"/>
          <w:lang w:val="en"/>
        </w:rPr>
        <w:t>4</w:t>
      </w:r>
      <w:r>
        <w:rPr>
          <w:rFonts w:ascii="Times New Roman" w:hAnsi="Times New Roman" w:cs="Times New Roman"/>
          <w:sz w:val="24"/>
          <w:szCs w:val="24"/>
          <w:lang w:val="en"/>
        </w:rPr>
        <w:t xml:space="preserve">National Environmental Management Authority (NEMA), Uganda, </w:t>
      </w:r>
      <w:r>
        <w:rPr>
          <w:rFonts w:ascii="New" w:hAnsi="New"/>
        </w:rPr>
        <w:t>Plot 17/19/21 Jinja Road, P.O. Box 22255, Kampala, Uganda</w:t>
      </w:r>
    </w:p>
    <w:p w:rsidR="00EC6B1B" w:rsidRPr="00682144" w:rsidRDefault="00EC6B1B" w:rsidP="00EC6B1B">
      <w:pPr>
        <w:tabs>
          <w:tab w:val="left" w:pos="1440"/>
          <w:tab w:val="left" w:pos="8820"/>
        </w:tabs>
        <w:rPr>
          <w:rFonts w:ascii="Times New Roman" w:hAnsi="Times New Roman" w:cs="Times New Roman"/>
          <w:sz w:val="24"/>
          <w:szCs w:val="24"/>
        </w:rPr>
      </w:pPr>
      <w:r>
        <w:rPr>
          <w:rFonts w:ascii="Times New Roman" w:hAnsi="Times New Roman" w:cs="Times New Roman"/>
          <w:sz w:val="24"/>
          <w:szCs w:val="24"/>
          <w:vertAlign w:val="superscript"/>
          <w:lang w:val="en"/>
        </w:rPr>
        <w:t>5</w:t>
      </w:r>
      <w:r>
        <w:rPr>
          <w:rFonts w:ascii="Times New Roman" w:hAnsi="Times New Roman" w:cs="Times New Roman"/>
          <w:sz w:val="24"/>
          <w:szCs w:val="24"/>
          <w:lang w:val="en"/>
        </w:rPr>
        <w:t>Jomo Kenyatta University of Agriculture and Technology, Department of Horticulture and Food S</w:t>
      </w:r>
      <w:r w:rsidRPr="004C78D6">
        <w:rPr>
          <w:rFonts w:ascii="Times New Roman" w:hAnsi="Times New Roman" w:cs="Times New Roman"/>
          <w:sz w:val="24"/>
          <w:szCs w:val="24"/>
          <w:lang w:val="en"/>
        </w:rPr>
        <w:t xml:space="preserve">ecurity. </w:t>
      </w:r>
      <w:r>
        <w:rPr>
          <w:rFonts w:ascii="Times New Roman" w:hAnsi="Times New Roman" w:cs="Times New Roman"/>
          <w:sz w:val="24"/>
          <w:szCs w:val="24"/>
        </w:rPr>
        <w:t>P.O. Box 62</w:t>
      </w:r>
      <w:r w:rsidRPr="004C78D6">
        <w:rPr>
          <w:rFonts w:ascii="Times New Roman" w:hAnsi="Times New Roman" w:cs="Times New Roman"/>
          <w:sz w:val="24"/>
          <w:szCs w:val="24"/>
        </w:rPr>
        <w:t>000 – 00200 Nairobi.</w:t>
      </w:r>
    </w:p>
    <w:p w:rsidR="00EC6B1B" w:rsidRPr="00582207" w:rsidRDefault="00EC6B1B" w:rsidP="00EC6B1B">
      <w:pPr>
        <w:spacing w:after="0" w:line="360" w:lineRule="auto"/>
        <w:rPr>
          <w:rStyle w:val="Hyperlink"/>
          <w:rFonts w:ascii="Times New Roman" w:hAnsi="Times New Roman"/>
          <w:sz w:val="24"/>
          <w:szCs w:val="24"/>
        </w:rPr>
      </w:pPr>
      <w:proofErr w:type="spellStart"/>
      <w:proofErr w:type="gramStart"/>
      <w:r>
        <w:rPr>
          <w:rFonts w:ascii="Times New Roman" w:hAnsi="Times New Roman"/>
          <w:sz w:val="24"/>
          <w:szCs w:val="24"/>
          <w:vertAlign w:val="superscript"/>
          <w:lang w:eastAsia="ja-JP"/>
        </w:rPr>
        <w:t>a</w:t>
      </w:r>
      <w:r w:rsidRPr="00582207">
        <w:rPr>
          <w:rFonts w:ascii="Times New Roman" w:hAnsi="Times New Roman"/>
          <w:sz w:val="24"/>
          <w:szCs w:val="24"/>
          <w:lang w:eastAsia="ja-JP"/>
        </w:rPr>
        <w:t>Tel</w:t>
      </w:r>
      <w:proofErr w:type="spellEnd"/>
      <w:proofErr w:type="gramEnd"/>
      <w:r w:rsidRPr="00582207">
        <w:rPr>
          <w:rFonts w:ascii="Times New Roman" w:hAnsi="Times New Roman"/>
          <w:sz w:val="24"/>
          <w:szCs w:val="24"/>
          <w:lang w:eastAsia="ja-JP"/>
        </w:rPr>
        <w:t>.</w:t>
      </w:r>
      <w:r>
        <w:rPr>
          <w:rFonts w:ascii="Times New Roman" w:hAnsi="Times New Roman"/>
          <w:sz w:val="24"/>
          <w:szCs w:val="24"/>
          <w:lang w:eastAsia="ja-JP"/>
        </w:rPr>
        <w:t xml:space="preserve"> </w:t>
      </w:r>
      <w:r>
        <w:rPr>
          <w:rFonts w:ascii="Times New Roman" w:hAnsi="Times New Roman"/>
          <w:sz w:val="24"/>
          <w:szCs w:val="24"/>
          <w:lang w:eastAsia="zh-CN"/>
        </w:rPr>
        <w:t>(+256</w:t>
      </w:r>
      <w:r w:rsidRPr="00582207">
        <w:rPr>
          <w:rFonts w:ascii="Times New Roman" w:hAnsi="Times New Roman"/>
          <w:sz w:val="24"/>
          <w:szCs w:val="24"/>
          <w:lang w:eastAsia="zh-CN"/>
        </w:rPr>
        <w:t>)</w:t>
      </w:r>
      <w:r>
        <w:rPr>
          <w:rFonts w:ascii="Times New Roman" w:hAnsi="Times New Roman"/>
          <w:sz w:val="24"/>
          <w:szCs w:val="24"/>
          <w:lang w:eastAsia="zh-CN"/>
        </w:rPr>
        <w:t xml:space="preserve"> 779-846-203</w:t>
      </w:r>
      <w:r w:rsidRPr="00582207">
        <w:rPr>
          <w:rFonts w:ascii="Times New Roman" w:hAnsi="Times New Roman"/>
          <w:sz w:val="24"/>
          <w:szCs w:val="24"/>
          <w:lang w:eastAsia="zh-CN"/>
        </w:rPr>
        <w:t>;</w:t>
      </w:r>
      <w:r>
        <w:rPr>
          <w:rFonts w:ascii="Times New Roman" w:hAnsi="Times New Roman"/>
          <w:sz w:val="24"/>
          <w:szCs w:val="24"/>
          <w:lang w:eastAsia="zh-CN"/>
        </w:rPr>
        <w:t xml:space="preserve"> (+1)352-709 9310; </w:t>
      </w:r>
      <w:r w:rsidRPr="00582207">
        <w:rPr>
          <w:rFonts w:ascii="Times New Roman" w:hAnsi="Times New Roman"/>
          <w:sz w:val="24"/>
          <w:szCs w:val="24"/>
          <w:lang w:eastAsia="zh-CN"/>
        </w:rPr>
        <w:t>E-mail:</w:t>
      </w:r>
      <w:r>
        <w:rPr>
          <w:rFonts w:ascii="Times New Roman" w:hAnsi="Times New Roman"/>
          <w:sz w:val="24"/>
          <w:szCs w:val="24"/>
          <w:lang w:eastAsia="zh-CN"/>
        </w:rPr>
        <w:t xml:space="preserve"> </w:t>
      </w:r>
      <w:hyperlink r:id="rId5" w:history="1">
        <w:r w:rsidRPr="00D75002">
          <w:rPr>
            <w:rStyle w:val="Hyperlink"/>
            <w:rFonts w:ascii="Times New Roman" w:hAnsi="Times New Roman"/>
            <w:sz w:val="24"/>
            <w:szCs w:val="24"/>
            <w:lang w:eastAsia="zh-CN"/>
          </w:rPr>
          <w:t>henry.semakula@mak.ac.ug</w:t>
        </w:r>
      </w:hyperlink>
      <w:r>
        <w:rPr>
          <w:rFonts w:ascii="Times New Roman" w:hAnsi="Times New Roman"/>
          <w:sz w:val="24"/>
          <w:szCs w:val="24"/>
          <w:lang w:eastAsia="zh-CN"/>
        </w:rPr>
        <w:t>, semhm2000@yahoo.co.uk</w:t>
      </w:r>
      <w:r>
        <w:rPr>
          <w:rStyle w:val="Hyperlink"/>
          <w:rFonts w:ascii="Times New Roman" w:hAnsi="Times New Roman"/>
          <w:sz w:val="24"/>
          <w:szCs w:val="24"/>
        </w:rPr>
        <w:t xml:space="preserve"> </w:t>
      </w:r>
    </w:p>
    <w:p w:rsidR="00EC6B1B" w:rsidRDefault="00EC6B1B" w:rsidP="00EC6B1B">
      <w:pPr>
        <w:spacing w:after="0" w:line="360" w:lineRule="auto"/>
        <w:jc w:val="both"/>
        <w:rPr>
          <w:rFonts w:ascii="Times New Roman" w:hAnsi="Times New Roman"/>
          <w:sz w:val="24"/>
          <w:szCs w:val="24"/>
          <w:lang w:eastAsia="zh-CN"/>
        </w:rPr>
      </w:pPr>
      <w:proofErr w:type="spellStart"/>
      <w:proofErr w:type="gramStart"/>
      <w:r>
        <w:rPr>
          <w:rFonts w:ascii="Times New Roman" w:hAnsi="Times New Roman"/>
          <w:sz w:val="24"/>
          <w:szCs w:val="24"/>
          <w:vertAlign w:val="superscript"/>
          <w:lang w:eastAsia="ja-JP"/>
        </w:rPr>
        <w:t>b</w:t>
      </w:r>
      <w:r w:rsidRPr="00582207">
        <w:rPr>
          <w:rFonts w:ascii="Times New Roman" w:hAnsi="Times New Roman"/>
          <w:sz w:val="24"/>
          <w:szCs w:val="24"/>
          <w:lang w:eastAsia="ja-JP"/>
        </w:rPr>
        <w:t>Tel</w:t>
      </w:r>
      <w:proofErr w:type="spellEnd"/>
      <w:proofErr w:type="gramEnd"/>
      <w:r w:rsidRPr="00582207">
        <w:rPr>
          <w:rFonts w:ascii="Times New Roman" w:hAnsi="Times New Roman"/>
          <w:sz w:val="24"/>
          <w:szCs w:val="24"/>
          <w:lang w:eastAsia="ja-JP"/>
        </w:rPr>
        <w:t>.</w:t>
      </w:r>
      <w:r>
        <w:rPr>
          <w:rFonts w:ascii="Times New Roman" w:hAnsi="Times New Roman"/>
          <w:sz w:val="24"/>
          <w:szCs w:val="24"/>
          <w:lang w:eastAsia="ja-JP"/>
        </w:rPr>
        <w:t xml:space="preserve"> </w:t>
      </w:r>
      <w:r>
        <w:rPr>
          <w:rFonts w:ascii="Times New Roman" w:hAnsi="Times New Roman"/>
          <w:sz w:val="24"/>
          <w:szCs w:val="24"/>
          <w:lang w:eastAsia="zh-CN"/>
        </w:rPr>
        <w:t xml:space="preserve">(+1) </w:t>
      </w:r>
      <w:hyperlink r:id="rId6" w:history="1">
        <w:r w:rsidRPr="00F70180">
          <w:rPr>
            <w:rFonts w:ascii="Times New Roman" w:hAnsi="Times New Roman"/>
            <w:sz w:val="24"/>
            <w:szCs w:val="24"/>
            <w:lang w:eastAsia="zh-CN"/>
          </w:rPr>
          <w:t>352</w:t>
        </w:r>
        <w:r>
          <w:rPr>
            <w:rFonts w:ascii="Times New Roman" w:hAnsi="Times New Roman"/>
            <w:sz w:val="24"/>
            <w:szCs w:val="24"/>
            <w:lang w:eastAsia="zh-CN"/>
          </w:rPr>
          <w:t xml:space="preserve"> </w:t>
        </w:r>
        <w:r w:rsidRPr="00F70180">
          <w:rPr>
            <w:rFonts w:ascii="Times New Roman" w:hAnsi="Times New Roman"/>
            <w:sz w:val="24"/>
            <w:szCs w:val="24"/>
            <w:lang w:eastAsia="zh-CN"/>
          </w:rPr>
          <w:t>273-9203</w:t>
        </w:r>
      </w:hyperlink>
      <w:r w:rsidRPr="00582207">
        <w:rPr>
          <w:rFonts w:ascii="Times New Roman" w:hAnsi="Times New Roman"/>
          <w:sz w:val="24"/>
          <w:szCs w:val="24"/>
          <w:lang w:eastAsia="zh-CN"/>
        </w:rPr>
        <w:t>;</w:t>
      </w:r>
      <w:r>
        <w:rPr>
          <w:rFonts w:ascii="Times New Roman" w:hAnsi="Times New Roman"/>
          <w:sz w:val="24"/>
          <w:szCs w:val="24"/>
          <w:lang w:eastAsia="zh-CN"/>
        </w:rPr>
        <w:t xml:space="preserve"> </w:t>
      </w:r>
      <w:r w:rsidRPr="00582207">
        <w:rPr>
          <w:rFonts w:ascii="Times New Roman" w:hAnsi="Times New Roman"/>
          <w:sz w:val="24"/>
          <w:szCs w:val="24"/>
          <w:lang w:eastAsia="zh-CN"/>
        </w:rPr>
        <w:t>E-mail:</w:t>
      </w:r>
      <w:r>
        <w:rPr>
          <w:rFonts w:ascii="Times New Roman" w:hAnsi="Times New Roman"/>
          <w:sz w:val="24"/>
          <w:szCs w:val="24"/>
          <w:lang w:eastAsia="zh-CN"/>
        </w:rPr>
        <w:t xml:space="preserve"> </w:t>
      </w:r>
      <w:hyperlink r:id="rId7" w:history="1">
        <w:r w:rsidRPr="006C0463">
          <w:rPr>
            <w:rStyle w:val="Hyperlink"/>
            <w:rFonts w:ascii="Times New Roman" w:hAnsi="Times New Roman"/>
            <w:sz w:val="24"/>
            <w:szCs w:val="24"/>
            <w:lang w:eastAsia="zh-CN"/>
          </w:rPr>
          <w:t>songliang@ufl.edu</w:t>
        </w:r>
      </w:hyperlink>
    </w:p>
    <w:p w:rsidR="00EC6B1B" w:rsidRPr="00582207" w:rsidRDefault="00EC6B1B" w:rsidP="00EC6B1B">
      <w:pPr>
        <w:spacing w:after="0" w:line="360" w:lineRule="auto"/>
        <w:jc w:val="both"/>
        <w:rPr>
          <w:rFonts w:ascii="Times New Roman" w:hAnsi="Times New Roman"/>
          <w:sz w:val="24"/>
          <w:szCs w:val="24"/>
          <w:lang w:eastAsia="zh-CN"/>
        </w:rPr>
      </w:pPr>
      <w:proofErr w:type="spellStart"/>
      <w:proofErr w:type="gramStart"/>
      <w:r w:rsidRPr="001E27D7">
        <w:rPr>
          <w:rFonts w:ascii="Times New Roman" w:hAnsi="Times New Roman"/>
          <w:sz w:val="24"/>
          <w:szCs w:val="24"/>
          <w:vertAlign w:val="superscript"/>
          <w:lang w:eastAsia="ja-JP"/>
        </w:rPr>
        <w:t>c</w:t>
      </w:r>
      <w:r w:rsidRPr="00582207">
        <w:rPr>
          <w:rFonts w:ascii="Times New Roman" w:hAnsi="Times New Roman"/>
          <w:sz w:val="24"/>
          <w:szCs w:val="24"/>
          <w:lang w:eastAsia="ja-JP"/>
        </w:rPr>
        <w:t>Tel</w:t>
      </w:r>
      <w:proofErr w:type="spellEnd"/>
      <w:proofErr w:type="gramEnd"/>
      <w:r w:rsidRPr="00582207">
        <w:rPr>
          <w:rFonts w:ascii="Times New Roman" w:hAnsi="Times New Roman"/>
          <w:sz w:val="24"/>
          <w:szCs w:val="24"/>
          <w:lang w:eastAsia="ja-JP"/>
        </w:rPr>
        <w:t>.</w:t>
      </w:r>
      <w:r>
        <w:rPr>
          <w:rFonts w:ascii="Times New Roman" w:hAnsi="Times New Roman"/>
          <w:sz w:val="24"/>
          <w:szCs w:val="24"/>
          <w:lang w:eastAsia="ja-JP"/>
        </w:rPr>
        <w:t xml:space="preserve"> </w:t>
      </w:r>
      <w:r w:rsidRPr="00EF4C1C">
        <w:rPr>
          <w:rFonts w:ascii="Times New Roman" w:hAnsi="Times New Roman" w:cs="Times New Roman"/>
          <w:sz w:val="24"/>
          <w:szCs w:val="24"/>
          <w:lang w:eastAsia="ja-JP"/>
        </w:rPr>
        <w:t>(</w:t>
      </w:r>
      <w:r w:rsidRPr="00EF4C1C">
        <w:rPr>
          <w:rFonts w:ascii="Times New Roman" w:hAnsi="Times New Roman" w:cs="Times New Roman"/>
          <w:sz w:val="24"/>
          <w:szCs w:val="24"/>
        </w:rPr>
        <w:t>+256)</w:t>
      </w:r>
      <w:r>
        <w:rPr>
          <w:rFonts w:ascii="Times New Roman" w:hAnsi="Times New Roman" w:cs="Times New Roman"/>
          <w:sz w:val="24"/>
          <w:szCs w:val="24"/>
        </w:rPr>
        <w:t xml:space="preserve"> </w:t>
      </w:r>
      <w:r w:rsidRPr="00EF4C1C">
        <w:rPr>
          <w:rFonts w:ascii="Times New Roman" w:hAnsi="Times New Roman" w:cs="Times New Roman"/>
          <w:sz w:val="24"/>
          <w:szCs w:val="24"/>
        </w:rPr>
        <w:t>708-470-320</w:t>
      </w:r>
      <w:r w:rsidRPr="00EF4C1C">
        <w:rPr>
          <w:rFonts w:ascii="Times New Roman" w:hAnsi="Times New Roman" w:cs="Times New Roman"/>
          <w:sz w:val="24"/>
          <w:szCs w:val="24"/>
          <w:lang w:eastAsia="zh-CN"/>
        </w:rPr>
        <w:t>;</w:t>
      </w:r>
      <w:r>
        <w:rPr>
          <w:rFonts w:ascii="Times New Roman" w:hAnsi="Times New Roman" w:cs="Times New Roman"/>
          <w:sz w:val="24"/>
          <w:szCs w:val="24"/>
          <w:lang w:eastAsia="zh-CN"/>
        </w:rPr>
        <w:t xml:space="preserve"> </w:t>
      </w:r>
      <w:r w:rsidRPr="00EF4C1C">
        <w:rPr>
          <w:rFonts w:ascii="Times New Roman" w:hAnsi="Times New Roman" w:cs="Times New Roman"/>
          <w:sz w:val="24"/>
          <w:szCs w:val="24"/>
          <w:lang w:eastAsia="zh-CN"/>
        </w:rPr>
        <w:t>E-mail:</w:t>
      </w:r>
      <w:r>
        <w:rPr>
          <w:rFonts w:ascii="Times New Roman" w:hAnsi="Times New Roman" w:cs="Times New Roman"/>
          <w:sz w:val="24"/>
          <w:szCs w:val="24"/>
          <w:lang w:eastAsia="zh-CN"/>
        </w:rPr>
        <w:t xml:space="preserve"> </w:t>
      </w:r>
      <w:hyperlink r:id="rId8" w:tgtFrame="_blank" w:history="1">
        <w:r w:rsidRPr="00EF4C1C">
          <w:rPr>
            <w:rFonts w:ascii="Times New Roman" w:hAnsi="Times New Roman" w:cs="Times New Roman"/>
            <w:sz w:val="24"/>
            <w:szCs w:val="24"/>
            <w:lang w:eastAsia="zh-CN"/>
          </w:rPr>
          <w:t>paul.isolomukwaya@mak.ac.ug</w:t>
        </w:r>
      </w:hyperlink>
      <w:r w:rsidRPr="00EF4C1C">
        <w:rPr>
          <w:rFonts w:ascii="Times New Roman" w:hAnsi="Times New Roman" w:cs="Times New Roman"/>
          <w:sz w:val="24"/>
          <w:szCs w:val="24"/>
          <w:lang w:eastAsia="zh-CN"/>
        </w:rPr>
        <w:t>,</w:t>
      </w:r>
      <w:r>
        <w:rPr>
          <w:rFonts w:ascii="Times New Roman" w:hAnsi="Times New Roman" w:cs="Times New Roman"/>
          <w:sz w:val="24"/>
          <w:szCs w:val="24"/>
          <w:lang w:eastAsia="zh-CN"/>
        </w:rPr>
        <w:t xml:space="preserve"> </w:t>
      </w:r>
      <w:r w:rsidRPr="00EF4C1C">
        <w:rPr>
          <w:rFonts w:ascii="Times New Roman" w:hAnsi="Times New Roman" w:cs="Times New Roman"/>
          <w:sz w:val="24"/>
          <w:szCs w:val="24"/>
          <w:lang w:eastAsia="zh-CN"/>
        </w:rPr>
        <w:t>pmukwaya@gmail.com</w:t>
      </w:r>
    </w:p>
    <w:p w:rsidR="00EC6B1B" w:rsidRDefault="00EC6B1B" w:rsidP="00EC6B1B">
      <w:pPr>
        <w:spacing w:after="0" w:line="360" w:lineRule="auto"/>
        <w:jc w:val="both"/>
        <w:rPr>
          <w:rStyle w:val="Hyperlink"/>
          <w:rFonts w:ascii="Times New Roman" w:hAnsi="Times New Roman"/>
          <w:sz w:val="24"/>
          <w:szCs w:val="24"/>
          <w:vertAlign w:val="superscript"/>
        </w:rPr>
      </w:pPr>
      <w:proofErr w:type="spellStart"/>
      <w:proofErr w:type="gramStart"/>
      <w:r>
        <w:rPr>
          <w:rFonts w:ascii="Times New Roman" w:hAnsi="Times New Roman"/>
          <w:sz w:val="24"/>
          <w:szCs w:val="24"/>
          <w:vertAlign w:val="superscript"/>
          <w:lang w:eastAsia="ja-JP"/>
        </w:rPr>
        <w:t>d</w:t>
      </w:r>
      <w:r w:rsidRPr="00582207">
        <w:rPr>
          <w:rFonts w:ascii="Times New Roman" w:hAnsi="Times New Roman"/>
          <w:sz w:val="24"/>
          <w:szCs w:val="24"/>
          <w:lang w:eastAsia="ja-JP"/>
        </w:rPr>
        <w:t>Tel</w:t>
      </w:r>
      <w:proofErr w:type="spellEnd"/>
      <w:proofErr w:type="gramEnd"/>
      <w:r w:rsidRPr="00582207">
        <w:rPr>
          <w:rFonts w:ascii="Times New Roman" w:hAnsi="Times New Roman"/>
          <w:sz w:val="24"/>
          <w:szCs w:val="24"/>
          <w:lang w:eastAsia="ja-JP"/>
        </w:rPr>
        <w:t>.</w:t>
      </w:r>
      <w:r>
        <w:rPr>
          <w:rFonts w:ascii="Times New Roman" w:hAnsi="Times New Roman"/>
          <w:sz w:val="24"/>
          <w:szCs w:val="24"/>
          <w:lang w:eastAsia="ja-JP"/>
        </w:rPr>
        <w:t xml:space="preserve"> </w:t>
      </w:r>
      <w:r w:rsidRPr="00EF4C1C">
        <w:rPr>
          <w:rFonts w:ascii="Times New Roman" w:hAnsi="Times New Roman" w:cs="Times New Roman"/>
          <w:sz w:val="24"/>
          <w:szCs w:val="24"/>
          <w:lang w:eastAsia="ja-JP"/>
        </w:rPr>
        <w:t>(</w:t>
      </w:r>
      <w:r w:rsidRPr="00EF4C1C">
        <w:rPr>
          <w:rFonts w:ascii="Times New Roman" w:hAnsi="Times New Roman" w:cs="Times New Roman"/>
          <w:sz w:val="24"/>
          <w:szCs w:val="24"/>
        </w:rPr>
        <w:t>+256)</w:t>
      </w:r>
      <w:r>
        <w:rPr>
          <w:rFonts w:ascii="Times New Roman" w:hAnsi="Times New Roman" w:cs="Times New Roman"/>
          <w:sz w:val="24"/>
          <w:szCs w:val="24"/>
        </w:rPr>
        <w:t xml:space="preserve"> </w:t>
      </w:r>
      <w:r w:rsidRPr="00EF4C1C">
        <w:rPr>
          <w:rFonts w:ascii="Times New Roman" w:hAnsi="Times New Roman" w:cs="Times New Roman"/>
          <w:sz w:val="24"/>
          <w:szCs w:val="24"/>
        </w:rPr>
        <w:t>772-968-421</w:t>
      </w:r>
      <w:r w:rsidRPr="00EF4C1C">
        <w:rPr>
          <w:rFonts w:ascii="Times New Roman" w:hAnsi="Times New Roman" w:cs="Times New Roman"/>
          <w:sz w:val="24"/>
          <w:szCs w:val="24"/>
          <w:lang w:eastAsia="zh-CN"/>
        </w:rPr>
        <w:t>;</w:t>
      </w:r>
      <w:r>
        <w:rPr>
          <w:rFonts w:ascii="Times New Roman" w:hAnsi="Times New Roman" w:cs="Times New Roman"/>
          <w:sz w:val="24"/>
          <w:szCs w:val="24"/>
          <w:lang w:eastAsia="zh-CN"/>
        </w:rPr>
        <w:t xml:space="preserve"> </w:t>
      </w:r>
      <w:r w:rsidRPr="00EF4C1C">
        <w:rPr>
          <w:rFonts w:ascii="Times New Roman" w:hAnsi="Times New Roman" w:cs="Times New Roman"/>
          <w:sz w:val="24"/>
          <w:szCs w:val="24"/>
          <w:lang w:eastAsia="zh-CN"/>
        </w:rPr>
        <w:t>E-mail:</w:t>
      </w:r>
      <w:r>
        <w:rPr>
          <w:rFonts w:ascii="Times New Roman" w:hAnsi="Times New Roman" w:cs="Times New Roman"/>
          <w:sz w:val="24"/>
          <w:szCs w:val="24"/>
          <w:lang w:eastAsia="zh-CN"/>
        </w:rPr>
        <w:t xml:space="preserve"> </w:t>
      </w:r>
      <w:hyperlink r:id="rId9" w:history="1">
        <w:r w:rsidRPr="00EF4C1C">
          <w:rPr>
            <w:rStyle w:val="Hyperlink"/>
            <w:rFonts w:ascii="Times New Roman" w:hAnsi="Times New Roman" w:cs="Times New Roman"/>
            <w:sz w:val="24"/>
            <w:szCs w:val="24"/>
            <w:lang w:eastAsia="zh-CN"/>
          </w:rPr>
          <w:t>frank.mugagga@mak.ac.ug</w:t>
        </w:r>
      </w:hyperlink>
      <w:r w:rsidRPr="00EF4C1C">
        <w:rPr>
          <w:rFonts w:ascii="Times New Roman" w:hAnsi="Times New Roman" w:cs="Times New Roman"/>
          <w:sz w:val="24"/>
          <w:szCs w:val="24"/>
          <w:lang w:eastAsia="zh-CN"/>
        </w:rPr>
        <w:t>,</w:t>
      </w:r>
      <w:r>
        <w:rPr>
          <w:rFonts w:ascii="Times New Roman" w:hAnsi="Times New Roman" w:cs="Times New Roman"/>
          <w:sz w:val="24"/>
          <w:szCs w:val="24"/>
          <w:lang w:eastAsia="zh-CN"/>
        </w:rPr>
        <w:t xml:space="preserve"> </w:t>
      </w:r>
      <w:r w:rsidRPr="00EF4C1C">
        <w:rPr>
          <w:rFonts w:ascii="Times New Roman" w:hAnsi="Times New Roman" w:cs="Times New Roman"/>
          <w:sz w:val="24"/>
          <w:szCs w:val="24"/>
          <w:lang w:eastAsia="zh-CN"/>
        </w:rPr>
        <w:t>fmugagga@gmail.com</w:t>
      </w:r>
      <w:r>
        <w:rPr>
          <w:rStyle w:val="Hyperlink"/>
          <w:rFonts w:ascii="Times New Roman" w:hAnsi="Times New Roman"/>
          <w:sz w:val="24"/>
          <w:szCs w:val="24"/>
          <w:vertAlign w:val="superscript"/>
        </w:rPr>
        <w:t xml:space="preserve"> </w:t>
      </w:r>
    </w:p>
    <w:p w:rsidR="00EC6B1B" w:rsidRPr="000600DA" w:rsidRDefault="00EC6B1B" w:rsidP="00EC6B1B">
      <w:pPr>
        <w:spacing w:after="0" w:line="360" w:lineRule="auto"/>
        <w:jc w:val="both"/>
        <w:rPr>
          <w:rStyle w:val="Hyperlink"/>
          <w:rFonts w:ascii="Times New Roman" w:hAnsi="Times New Roman"/>
          <w:sz w:val="24"/>
          <w:szCs w:val="24"/>
        </w:rPr>
      </w:pPr>
      <w:proofErr w:type="spellStart"/>
      <w:proofErr w:type="gramStart"/>
      <w:r>
        <w:rPr>
          <w:rStyle w:val="Hyperlink"/>
          <w:rFonts w:ascii="Times New Roman" w:hAnsi="Times New Roman"/>
          <w:sz w:val="24"/>
          <w:szCs w:val="24"/>
          <w:vertAlign w:val="superscript"/>
        </w:rPr>
        <w:t>e</w:t>
      </w:r>
      <w:r w:rsidRPr="000600DA">
        <w:rPr>
          <w:rStyle w:val="Hyperlink"/>
          <w:rFonts w:ascii="Times New Roman" w:hAnsi="Times New Roman"/>
          <w:sz w:val="24"/>
          <w:szCs w:val="24"/>
        </w:rPr>
        <w:t>Tel</w:t>
      </w:r>
      <w:proofErr w:type="spellEnd"/>
      <w:proofErr w:type="gramEnd"/>
      <w:r w:rsidRPr="000600DA">
        <w:rPr>
          <w:rStyle w:val="Hyperlink"/>
          <w:rFonts w:ascii="Times New Roman" w:hAnsi="Times New Roman"/>
          <w:sz w:val="24"/>
          <w:szCs w:val="24"/>
        </w:rPr>
        <w:t>.</w:t>
      </w:r>
      <w:r>
        <w:rPr>
          <w:rStyle w:val="Hyperlink"/>
          <w:rFonts w:ascii="Times New Roman" w:hAnsi="Times New Roman"/>
          <w:sz w:val="24"/>
          <w:szCs w:val="24"/>
        </w:rPr>
        <w:t xml:space="preserve"> </w:t>
      </w:r>
      <w:r w:rsidRPr="000600DA">
        <w:rPr>
          <w:rStyle w:val="Hyperlink"/>
          <w:rFonts w:ascii="Times New Roman" w:hAnsi="Times New Roman"/>
          <w:sz w:val="24"/>
          <w:szCs w:val="24"/>
        </w:rPr>
        <w:t>(+256)</w:t>
      </w:r>
      <w:r>
        <w:rPr>
          <w:rStyle w:val="Hyperlink"/>
          <w:rFonts w:ascii="Times New Roman" w:hAnsi="Times New Roman"/>
          <w:sz w:val="24"/>
          <w:szCs w:val="24"/>
        </w:rPr>
        <w:t xml:space="preserve"> 782-462-298: E-mail: denisnseka1@gmail.com</w:t>
      </w:r>
    </w:p>
    <w:p w:rsidR="00EC6B1B" w:rsidRDefault="00EC6B1B" w:rsidP="00EC6B1B">
      <w:pPr>
        <w:spacing w:after="0" w:line="360" w:lineRule="auto"/>
        <w:jc w:val="both"/>
        <w:rPr>
          <w:rStyle w:val="Hyperlink"/>
          <w:rFonts w:ascii="Times New Roman" w:hAnsi="Times New Roman"/>
          <w:sz w:val="24"/>
          <w:szCs w:val="24"/>
        </w:rPr>
      </w:pPr>
      <w:proofErr w:type="spellStart"/>
      <w:proofErr w:type="gramStart"/>
      <w:r>
        <w:rPr>
          <w:rStyle w:val="Hyperlink"/>
          <w:rFonts w:ascii="Times New Roman" w:hAnsi="Times New Roman"/>
          <w:sz w:val="24"/>
          <w:szCs w:val="24"/>
          <w:vertAlign w:val="superscript"/>
        </w:rPr>
        <w:t>f</w:t>
      </w:r>
      <w:r>
        <w:rPr>
          <w:rStyle w:val="Hyperlink"/>
          <w:rFonts w:ascii="Times New Roman" w:hAnsi="Times New Roman"/>
          <w:sz w:val="24"/>
          <w:szCs w:val="24"/>
        </w:rPr>
        <w:t>T</w:t>
      </w:r>
      <w:r w:rsidRPr="000600DA">
        <w:rPr>
          <w:rStyle w:val="Hyperlink"/>
          <w:rFonts w:ascii="Times New Roman" w:hAnsi="Times New Roman"/>
          <w:sz w:val="24"/>
          <w:szCs w:val="24"/>
        </w:rPr>
        <w:t>el</w:t>
      </w:r>
      <w:proofErr w:type="spellEnd"/>
      <w:proofErr w:type="gramEnd"/>
      <w:r w:rsidRPr="000600DA">
        <w:rPr>
          <w:rStyle w:val="Hyperlink"/>
          <w:rFonts w:ascii="Times New Roman" w:hAnsi="Times New Roman"/>
          <w:sz w:val="24"/>
          <w:szCs w:val="24"/>
        </w:rPr>
        <w:t>.</w:t>
      </w:r>
      <w:r>
        <w:rPr>
          <w:rStyle w:val="Hyperlink"/>
          <w:rFonts w:ascii="Times New Roman" w:hAnsi="Times New Roman"/>
          <w:sz w:val="24"/>
          <w:szCs w:val="24"/>
        </w:rPr>
        <w:t xml:space="preserve"> </w:t>
      </w:r>
      <w:r w:rsidRPr="000600DA">
        <w:rPr>
          <w:rStyle w:val="Hyperlink"/>
          <w:rFonts w:ascii="Times New Roman" w:hAnsi="Times New Roman"/>
          <w:sz w:val="24"/>
          <w:szCs w:val="24"/>
        </w:rPr>
        <w:t>(+256)</w:t>
      </w:r>
      <w:r>
        <w:rPr>
          <w:rStyle w:val="Hyperlink"/>
          <w:rFonts w:ascii="Times New Roman" w:hAnsi="Times New Roman"/>
          <w:sz w:val="24"/>
          <w:szCs w:val="24"/>
        </w:rPr>
        <w:t xml:space="preserve"> </w:t>
      </w:r>
      <w:r w:rsidRPr="000600DA">
        <w:rPr>
          <w:rStyle w:val="Hyperlink"/>
          <w:rFonts w:ascii="Times New Roman" w:hAnsi="Times New Roman"/>
          <w:sz w:val="24"/>
          <w:szCs w:val="24"/>
        </w:rPr>
        <w:t>782-459-399:</w:t>
      </w:r>
      <w:r>
        <w:rPr>
          <w:rStyle w:val="Hyperlink"/>
          <w:rFonts w:ascii="Times New Roman" w:hAnsi="Times New Roman"/>
          <w:sz w:val="24"/>
          <w:szCs w:val="24"/>
        </w:rPr>
        <w:t xml:space="preserve"> </w:t>
      </w:r>
      <w:r w:rsidRPr="000600DA">
        <w:rPr>
          <w:rStyle w:val="Hyperlink"/>
          <w:rFonts w:ascii="Times New Roman" w:hAnsi="Times New Roman"/>
          <w:sz w:val="24"/>
          <w:szCs w:val="24"/>
        </w:rPr>
        <w:t>E-mail:</w:t>
      </w:r>
      <w:r>
        <w:rPr>
          <w:rStyle w:val="Hyperlink"/>
          <w:rFonts w:ascii="Times New Roman" w:hAnsi="Times New Roman"/>
          <w:sz w:val="24"/>
          <w:szCs w:val="24"/>
        </w:rPr>
        <w:t xml:space="preserve"> </w:t>
      </w:r>
      <w:hyperlink r:id="rId10" w:history="1">
        <w:r w:rsidRPr="00A82128">
          <w:rPr>
            <w:rStyle w:val="Hyperlink"/>
            <w:rFonts w:ascii="Times New Roman" w:hAnsi="Times New Roman"/>
            <w:sz w:val="24"/>
            <w:szCs w:val="24"/>
          </w:rPr>
          <w:t>wasswahans@gmail.com</w:t>
        </w:r>
      </w:hyperlink>
    </w:p>
    <w:p w:rsidR="00EC6B1B" w:rsidRPr="000600DA" w:rsidRDefault="00EC6B1B" w:rsidP="00EC6B1B">
      <w:pPr>
        <w:spacing w:after="0" w:line="360" w:lineRule="auto"/>
        <w:jc w:val="both"/>
        <w:rPr>
          <w:rStyle w:val="Hyperlink"/>
          <w:rFonts w:ascii="Times New Roman" w:hAnsi="Times New Roman"/>
          <w:sz w:val="24"/>
          <w:szCs w:val="24"/>
        </w:rPr>
      </w:pPr>
      <w:proofErr w:type="spellStart"/>
      <w:proofErr w:type="gramStart"/>
      <w:r>
        <w:rPr>
          <w:rStyle w:val="Hyperlink"/>
          <w:rFonts w:ascii="Times New Roman" w:hAnsi="Times New Roman" w:cs="Times New Roman"/>
          <w:sz w:val="24"/>
          <w:szCs w:val="24"/>
          <w:vertAlign w:val="superscript"/>
        </w:rPr>
        <w:t>g</w:t>
      </w:r>
      <w:r w:rsidRPr="00FE56B5">
        <w:rPr>
          <w:rStyle w:val="Hyperlink"/>
          <w:rFonts w:ascii="Times New Roman" w:hAnsi="Times New Roman" w:cs="Times New Roman"/>
          <w:sz w:val="24"/>
          <w:szCs w:val="24"/>
        </w:rPr>
        <w:t>Tel</w:t>
      </w:r>
      <w:proofErr w:type="spellEnd"/>
      <w:proofErr w:type="gramEnd"/>
      <w:r w:rsidRPr="00FE56B5">
        <w:rPr>
          <w:rStyle w:val="Hyperlink"/>
          <w:rFonts w:ascii="Times New Roman" w:hAnsi="Times New Roman" w:cs="Times New Roman"/>
          <w:sz w:val="24"/>
          <w:szCs w:val="24"/>
        </w:rPr>
        <w:t xml:space="preserve">. </w:t>
      </w:r>
      <w:r>
        <w:rPr>
          <w:rStyle w:val="Hyperlink"/>
          <w:rFonts w:ascii="Times New Roman" w:hAnsi="Times New Roman" w:cs="Times New Roman"/>
          <w:sz w:val="24"/>
          <w:szCs w:val="24"/>
        </w:rPr>
        <w:t>(+254</w:t>
      </w:r>
      <w:r w:rsidRPr="00FE56B5">
        <w:rPr>
          <w:rStyle w:val="Hyperlink"/>
          <w:rFonts w:ascii="Times New Roman" w:hAnsi="Times New Roman" w:cs="Times New Roman"/>
          <w:sz w:val="24"/>
          <w:szCs w:val="24"/>
        </w:rPr>
        <w:t>)</w:t>
      </w:r>
      <w:r>
        <w:rPr>
          <w:rStyle w:val="Hyperlink"/>
          <w:rFonts w:ascii="Times New Roman" w:hAnsi="Times New Roman" w:cs="Times New Roman"/>
          <w:sz w:val="24"/>
          <w:szCs w:val="24"/>
        </w:rPr>
        <w:t xml:space="preserve"> 725 241 797: E-mail: </w:t>
      </w:r>
      <w:hyperlink r:id="rId11" w:history="1">
        <w:r w:rsidRPr="006C0463">
          <w:rPr>
            <w:rStyle w:val="Hyperlink"/>
            <w:rFonts w:ascii="Times New Roman" w:hAnsi="Times New Roman" w:cs="Times New Roman"/>
            <w:sz w:val="24"/>
            <w:szCs w:val="24"/>
          </w:rPr>
          <w:t>pmwendwa@jkuat.ac.ke</w:t>
        </w:r>
      </w:hyperlink>
      <w:r>
        <w:rPr>
          <w:rStyle w:val="Hyperlink"/>
          <w:rFonts w:ascii="Times New Roman" w:hAnsi="Times New Roman" w:cs="Times New Roman"/>
          <w:sz w:val="24"/>
          <w:szCs w:val="24"/>
        </w:rPr>
        <w:t xml:space="preserve">, </w:t>
      </w:r>
      <w:hyperlink r:id="rId12" w:history="1">
        <w:r w:rsidRPr="003212BE">
          <w:rPr>
            <w:rStyle w:val="Hyperlink"/>
            <w:rFonts w:ascii="Times New Roman" w:hAnsi="Times New Roman" w:cs="Times New Roman"/>
            <w:sz w:val="24"/>
            <w:szCs w:val="24"/>
          </w:rPr>
          <w:t>patomwanzia@yahoo.com</w:t>
        </w:r>
      </w:hyperlink>
    </w:p>
    <w:p w:rsidR="00EC6B1B" w:rsidRDefault="00EC6B1B" w:rsidP="00EC6B1B">
      <w:pPr>
        <w:spacing w:after="0" w:line="360" w:lineRule="auto"/>
        <w:jc w:val="both"/>
        <w:rPr>
          <w:rStyle w:val="Hyperlink"/>
          <w:rFonts w:ascii="Times New Roman" w:hAnsi="Times New Roman"/>
          <w:sz w:val="24"/>
          <w:szCs w:val="24"/>
        </w:rPr>
      </w:pPr>
      <w:proofErr w:type="spellStart"/>
      <w:proofErr w:type="gramStart"/>
      <w:r>
        <w:rPr>
          <w:rStyle w:val="Hyperlink"/>
          <w:rFonts w:ascii="Times New Roman" w:hAnsi="Times New Roman"/>
          <w:sz w:val="24"/>
          <w:szCs w:val="24"/>
          <w:vertAlign w:val="superscript"/>
        </w:rPr>
        <w:t>h</w:t>
      </w:r>
      <w:r w:rsidRPr="00EC2751">
        <w:rPr>
          <w:rStyle w:val="Hyperlink"/>
          <w:rFonts w:ascii="Times New Roman" w:hAnsi="Times New Roman"/>
          <w:sz w:val="24"/>
          <w:szCs w:val="24"/>
        </w:rPr>
        <w:t>Tel</w:t>
      </w:r>
      <w:proofErr w:type="spellEnd"/>
      <w:proofErr w:type="gramEnd"/>
      <w:r w:rsidRPr="00EC2751">
        <w:rPr>
          <w:rStyle w:val="Hyperlink"/>
          <w:rFonts w:ascii="Times New Roman" w:hAnsi="Times New Roman"/>
          <w:sz w:val="24"/>
          <w:szCs w:val="24"/>
        </w:rPr>
        <w:t>.</w:t>
      </w:r>
      <w:r>
        <w:rPr>
          <w:rStyle w:val="Hyperlink"/>
          <w:rFonts w:ascii="Times New Roman" w:hAnsi="Times New Roman"/>
          <w:sz w:val="24"/>
          <w:szCs w:val="24"/>
        </w:rPr>
        <w:t xml:space="preserve"> (+256) 706-037-721: E-mail: </w:t>
      </w:r>
      <w:hyperlink r:id="rId13" w:history="1">
        <w:r w:rsidRPr="006C0463">
          <w:rPr>
            <w:rStyle w:val="Hyperlink"/>
            <w:rFonts w:ascii="Times New Roman" w:hAnsi="Times New Roman"/>
            <w:sz w:val="24"/>
            <w:szCs w:val="24"/>
          </w:rPr>
          <w:t>kayimapatrick1789@gmail.com</w:t>
        </w:r>
      </w:hyperlink>
    </w:p>
    <w:p w:rsidR="00EC6B1B" w:rsidRDefault="00EC6B1B" w:rsidP="00EC6B1B">
      <w:pPr>
        <w:rPr>
          <w:rFonts w:ascii="Times New Roman" w:hAnsi="Times New Roman" w:cs="Times New Roman"/>
          <w:sz w:val="24"/>
          <w:szCs w:val="24"/>
        </w:rPr>
      </w:pPr>
      <w:proofErr w:type="spellStart"/>
      <w:proofErr w:type="gramStart"/>
      <w:r>
        <w:rPr>
          <w:rStyle w:val="Hyperlink"/>
          <w:rFonts w:ascii="Times New Roman" w:hAnsi="Times New Roman" w:cs="Times New Roman"/>
          <w:sz w:val="24"/>
          <w:szCs w:val="24"/>
          <w:vertAlign w:val="superscript"/>
        </w:rPr>
        <w:t>i</w:t>
      </w:r>
      <w:r w:rsidRPr="00FE56B5">
        <w:rPr>
          <w:rStyle w:val="Hyperlink"/>
          <w:rFonts w:ascii="Times New Roman" w:hAnsi="Times New Roman" w:cs="Times New Roman"/>
          <w:sz w:val="24"/>
          <w:szCs w:val="24"/>
        </w:rPr>
        <w:t>Tel</w:t>
      </w:r>
      <w:proofErr w:type="spellEnd"/>
      <w:proofErr w:type="gramEnd"/>
      <w:r w:rsidRPr="00FE56B5">
        <w:rPr>
          <w:rStyle w:val="Hyperlink"/>
          <w:rFonts w:ascii="Times New Roman" w:hAnsi="Times New Roman" w:cs="Times New Roman"/>
          <w:sz w:val="24"/>
          <w:szCs w:val="24"/>
        </w:rPr>
        <w:t xml:space="preserve">. (+256) </w:t>
      </w:r>
      <w:r w:rsidRPr="00FE56B5">
        <w:rPr>
          <w:rFonts w:ascii="Times New Roman" w:hAnsi="Times New Roman" w:cs="Times New Roman"/>
          <w:sz w:val="24"/>
          <w:szCs w:val="24"/>
        </w:rPr>
        <w:t xml:space="preserve">751 702 025: E-mail: </w:t>
      </w:r>
      <w:hyperlink r:id="rId14" w:history="1">
        <w:r w:rsidRPr="00FE56B5">
          <w:rPr>
            <w:rStyle w:val="Hyperlink"/>
            <w:rFonts w:ascii="Times New Roman" w:hAnsi="Times New Roman" w:cs="Times New Roman"/>
            <w:sz w:val="24"/>
            <w:szCs w:val="24"/>
          </w:rPr>
          <w:t>acusacu@gmail.com</w:t>
        </w:r>
      </w:hyperlink>
      <w:r w:rsidRPr="00FE56B5">
        <w:rPr>
          <w:rFonts w:ascii="Times New Roman" w:hAnsi="Times New Roman" w:cs="Times New Roman"/>
          <w:sz w:val="24"/>
          <w:szCs w:val="24"/>
        </w:rPr>
        <w:t xml:space="preserve">, </w:t>
      </w:r>
      <w:hyperlink r:id="rId15" w:history="1">
        <w:r w:rsidRPr="006C0463">
          <w:rPr>
            <w:rStyle w:val="Hyperlink"/>
            <w:rFonts w:ascii="Times New Roman" w:hAnsi="Times New Roman" w:cs="Times New Roman"/>
            <w:sz w:val="24"/>
            <w:szCs w:val="24"/>
          </w:rPr>
          <w:t>peter.achuu@nema.go.ug</w:t>
        </w:r>
      </w:hyperlink>
    </w:p>
    <w:p w:rsidR="00EC6B1B" w:rsidRPr="004A4656" w:rsidRDefault="00EC6B1B" w:rsidP="00EC6B1B">
      <w:pPr>
        <w:rPr>
          <w:rFonts w:ascii="Times New Roman" w:hAnsi="Times New Roman" w:cs="Times New Roman"/>
          <w:lang w:val="en-US"/>
        </w:rPr>
      </w:pPr>
      <w:r w:rsidRPr="00FE56B5">
        <w:rPr>
          <w:rStyle w:val="Hyperlink"/>
          <w:rFonts w:ascii="Times New Roman" w:hAnsi="Times New Roman" w:cs="Times New Roman"/>
          <w:sz w:val="24"/>
          <w:szCs w:val="24"/>
          <w:vertAlign w:val="superscript"/>
        </w:rPr>
        <w:t xml:space="preserve"> </w:t>
      </w:r>
      <w:proofErr w:type="gramStart"/>
      <w:r>
        <w:rPr>
          <w:rStyle w:val="Hyperlink"/>
          <w:rFonts w:ascii="Times New Roman" w:hAnsi="Times New Roman" w:cs="Times New Roman"/>
          <w:vertAlign w:val="superscript"/>
        </w:rPr>
        <w:t>j</w:t>
      </w:r>
      <w:proofErr w:type="gramEnd"/>
      <w:r>
        <w:rPr>
          <w:rStyle w:val="Hyperlink"/>
          <w:rFonts w:ascii="Times New Roman" w:hAnsi="Times New Roman" w:cs="Times New Roman"/>
          <w:vertAlign w:val="superscript"/>
        </w:rPr>
        <w:t xml:space="preserve"> </w:t>
      </w:r>
      <w:r>
        <w:rPr>
          <w:rStyle w:val="Hyperlink"/>
          <w:rFonts w:ascii="Times New Roman" w:hAnsi="Times New Roman" w:cs="Times New Roman"/>
        </w:rPr>
        <w:t xml:space="preserve">Tel. </w:t>
      </w:r>
      <w:r w:rsidRPr="00FE56B5">
        <w:rPr>
          <w:rStyle w:val="Hyperlink"/>
          <w:rFonts w:ascii="Times New Roman" w:hAnsi="Times New Roman" w:cs="Times New Roman"/>
        </w:rPr>
        <w:t xml:space="preserve">(+256) </w:t>
      </w:r>
      <w:r>
        <w:rPr>
          <w:rStyle w:val="Hyperlink"/>
          <w:rFonts w:ascii="Times New Roman" w:hAnsi="Times New Roman" w:cs="Times New Roman"/>
        </w:rPr>
        <w:t>756 630613, Emai</w:t>
      </w:r>
      <w:r w:rsidRPr="001E27D7">
        <w:rPr>
          <w:rStyle w:val="Hyperlink"/>
          <w:rFonts w:ascii="Times New Roman" w:hAnsi="Times New Roman" w:cs="Times New Roman"/>
        </w:rPr>
        <w:t>l: nakatojovia2018@gmail.com</w:t>
      </w:r>
    </w:p>
    <w:p w:rsidR="00EC6B1B" w:rsidRPr="004A4656" w:rsidRDefault="00EC6B1B" w:rsidP="00EC6B1B">
      <w:pPr>
        <w:rPr>
          <w:rFonts w:ascii="Times New Roman" w:hAnsi="Times New Roman" w:cs="Times New Roman"/>
          <w:sz w:val="24"/>
          <w:szCs w:val="24"/>
          <w:vertAlign w:val="superscript"/>
        </w:rPr>
      </w:pPr>
    </w:p>
    <w:p w:rsidR="00EC6B1B" w:rsidRPr="00EC2751" w:rsidRDefault="00EC6B1B" w:rsidP="00EC6B1B">
      <w:pPr>
        <w:spacing w:after="0" w:line="360" w:lineRule="auto"/>
        <w:jc w:val="both"/>
        <w:rPr>
          <w:rStyle w:val="Hyperlink"/>
          <w:rFonts w:ascii="Times New Roman" w:hAnsi="Times New Roman"/>
          <w:sz w:val="24"/>
          <w:szCs w:val="24"/>
        </w:rPr>
      </w:pPr>
    </w:p>
    <w:p w:rsidR="00EC6B1B" w:rsidRDefault="00EC6B1B" w:rsidP="00EC6B1B">
      <w:pPr>
        <w:autoSpaceDE w:val="0"/>
        <w:autoSpaceDN w:val="0"/>
        <w:adjustRightInd w:val="0"/>
        <w:spacing w:after="0" w:line="360" w:lineRule="auto"/>
        <w:rPr>
          <w:rStyle w:val="Hyperlink"/>
          <w:rFonts w:ascii="Times New Roman" w:hAnsi="Times New Roman"/>
          <w:sz w:val="24"/>
          <w:szCs w:val="24"/>
        </w:rPr>
      </w:pPr>
      <w:r w:rsidRPr="00582207">
        <w:rPr>
          <w:rFonts w:ascii="Times New Roman" w:hAnsi="Times New Roman"/>
          <w:sz w:val="24"/>
          <w:szCs w:val="24"/>
          <w:vertAlign w:val="superscript"/>
        </w:rPr>
        <w:t>*</w:t>
      </w:r>
      <w:r w:rsidRPr="00582207">
        <w:rPr>
          <w:rFonts w:ascii="Times New Roman" w:hAnsi="Times New Roman"/>
          <w:sz w:val="24"/>
          <w:szCs w:val="24"/>
        </w:rPr>
        <w:t>Correspondence</w:t>
      </w:r>
      <w:r>
        <w:rPr>
          <w:rFonts w:ascii="Times New Roman" w:hAnsi="Times New Roman"/>
          <w:sz w:val="24"/>
          <w:szCs w:val="24"/>
        </w:rPr>
        <w:t xml:space="preserve"> </w:t>
      </w:r>
      <w:r w:rsidRPr="00582207">
        <w:rPr>
          <w:rFonts w:ascii="Times New Roman" w:hAnsi="Times New Roman"/>
          <w:sz w:val="24"/>
          <w:szCs w:val="24"/>
        </w:rPr>
        <w:t>author.</w:t>
      </w:r>
      <w:r>
        <w:rPr>
          <w:rFonts w:ascii="Times New Roman" w:hAnsi="Times New Roman"/>
          <w:sz w:val="24"/>
          <w:szCs w:val="24"/>
        </w:rPr>
        <w:t xml:space="preserve"> </w:t>
      </w:r>
      <w:r w:rsidRPr="00582207">
        <w:rPr>
          <w:rFonts w:ascii="Times New Roman" w:hAnsi="Times New Roman"/>
          <w:sz w:val="24"/>
          <w:szCs w:val="24"/>
        </w:rPr>
        <w:t>Tel.</w:t>
      </w:r>
      <w:r>
        <w:rPr>
          <w:rFonts w:ascii="Times New Roman" w:hAnsi="Times New Roman"/>
          <w:sz w:val="24"/>
          <w:szCs w:val="24"/>
        </w:rPr>
        <w:t xml:space="preserve"> </w:t>
      </w:r>
      <w:r>
        <w:rPr>
          <w:rFonts w:ascii="Times New Roman" w:hAnsi="Times New Roman"/>
          <w:sz w:val="24"/>
          <w:szCs w:val="24"/>
          <w:lang w:eastAsia="zh-CN"/>
        </w:rPr>
        <w:t>(+256</w:t>
      </w:r>
      <w:r w:rsidRPr="00582207">
        <w:rPr>
          <w:rFonts w:ascii="Times New Roman" w:hAnsi="Times New Roman"/>
          <w:sz w:val="24"/>
          <w:szCs w:val="24"/>
          <w:lang w:eastAsia="zh-CN"/>
        </w:rPr>
        <w:t>)</w:t>
      </w:r>
      <w:r>
        <w:rPr>
          <w:rFonts w:ascii="Times New Roman" w:hAnsi="Times New Roman"/>
          <w:sz w:val="24"/>
          <w:szCs w:val="24"/>
          <w:lang w:eastAsia="zh-CN"/>
        </w:rPr>
        <w:t xml:space="preserve"> 779-846-203</w:t>
      </w:r>
      <w:r w:rsidRPr="00582207">
        <w:rPr>
          <w:rFonts w:ascii="Times New Roman" w:hAnsi="Times New Roman"/>
          <w:color w:val="000000"/>
          <w:sz w:val="24"/>
          <w:szCs w:val="24"/>
        </w:rPr>
        <w:t>;</w:t>
      </w:r>
      <w:r>
        <w:rPr>
          <w:rFonts w:ascii="Times New Roman" w:hAnsi="Times New Roman"/>
          <w:color w:val="000000"/>
          <w:sz w:val="24"/>
          <w:szCs w:val="24"/>
        </w:rPr>
        <w:t xml:space="preserve"> </w:t>
      </w:r>
      <w:r>
        <w:rPr>
          <w:rFonts w:ascii="Times New Roman" w:hAnsi="Times New Roman"/>
          <w:sz w:val="24"/>
          <w:szCs w:val="24"/>
          <w:lang w:eastAsia="zh-CN"/>
        </w:rPr>
        <w:t xml:space="preserve">(+1) 352-709 9310; </w:t>
      </w:r>
      <w:r w:rsidRPr="00582207">
        <w:rPr>
          <w:rFonts w:ascii="Times New Roman" w:hAnsi="Times New Roman"/>
          <w:sz w:val="24"/>
          <w:szCs w:val="24"/>
        </w:rPr>
        <w:t>E-mail:</w:t>
      </w:r>
      <w:r>
        <w:rPr>
          <w:rFonts w:ascii="Times New Roman" w:hAnsi="Times New Roman"/>
          <w:sz w:val="24"/>
          <w:szCs w:val="24"/>
        </w:rPr>
        <w:t xml:space="preserve"> </w:t>
      </w:r>
      <w:hyperlink r:id="rId16" w:history="1">
        <w:r w:rsidRPr="00D75002">
          <w:rPr>
            <w:rStyle w:val="Hyperlink"/>
            <w:rFonts w:ascii="Times New Roman" w:hAnsi="Times New Roman"/>
            <w:sz w:val="24"/>
            <w:szCs w:val="24"/>
            <w:lang w:eastAsia="zh-CN"/>
          </w:rPr>
          <w:t>henry.semakula@mak.ac.ug</w:t>
        </w:r>
      </w:hyperlink>
      <w:r>
        <w:rPr>
          <w:rFonts w:ascii="Times New Roman" w:hAnsi="Times New Roman"/>
          <w:sz w:val="24"/>
          <w:szCs w:val="24"/>
          <w:lang w:eastAsia="zh-CN"/>
        </w:rPr>
        <w:t xml:space="preserve">, </w:t>
      </w:r>
      <w:hyperlink r:id="rId17" w:history="1">
        <w:r w:rsidRPr="006F530B">
          <w:rPr>
            <w:rStyle w:val="Hyperlink"/>
            <w:rFonts w:ascii="Times New Roman" w:hAnsi="Times New Roman"/>
            <w:sz w:val="24"/>
            <w:szCs w:val="24"/>
            <w:lang w:eastAsia="zh-CN"/>
          </w:rPr>
          <w:t>semhm2000@yahoo.co.uk</w:t>
        </w:r>
      </w:hyperlink>
      <w:r>
        <w:rPr>
          <w:rStyle w:val="Hyperlink"/>
          <w:rFonts w:ascii="Times New Roman" w:hAnsi="Times New Roman"/>
          <w:sz w:val="24"/>
          <w:szCs w:val="24"/>
        </w:rPr>
        <w:t xml:space="preserve"> </w:t>
      </w:r>
    </w:p>
    <w:p w:rsidR="008A19F2" w:rsidRDefault="008A19F2"/>
    <w:p w:rsidR="008F5496" w:rsidRDefault="008F5496"/>
    <w:p w:rsidR="00DE17AC" w:rsidRPr="004F0ECC" w:rsidRDefault="00DE17AC" w:rsidP="00DE17AC">
      <w:pPr>
        <w:tabs>
          <w:tab w:val="left" w:pos="426"/>
        </w:tabs>
        <w:spacing w:beforeLines="100" w:before="240" w:after="80" w:line="480" w:lineRule="auto"/>
        <w:jc w:val="both"/>
        <w:rPr>
          <w:rFonts w:ascii="Times New Roman" w:hAnsi="Times New Roman"/>
          <w:b/>
          <w:i/>
          <w:sz w:val="24"/>
          <w:szCs w:val="24"/>
        </w:rPr>
      </w:pPr>
      <w:r w:rsidRPr="004F0ECC">
        <w:rPr>
          <w:rFonts w:ascii="Times New Roman" w:hAnsi="Times New Roman"/>
          <w:b/>
          <w:i/>
          <w:sz w:val="24"/>
          <w:szCs w:val="24"/>
        </w:rPr>
        <w:lastRenderedPageBreak/>
        <w:t>Review of existing knowledge on malaria risk factors</w:t>
      </w:r>
    </w:p>
    <w:p w:rsidR="00DE17AC" w:rsidRDefault="00B41694" w:rsidP="00DE17AC">
      <w:pPr>
        <w:tabs>
          <w:tab w:val="left" w:pos="426"/>
        </w:tabs>
        <w:spacing w:beforeLines="100" w:before="240" w:after="8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w:t>
      </w:r>
      <w:r w:rsidR="00DE17AC" w:rsidRPr="00FC62AA">
        <w:rPr>
          <w:rFonts w:ascii="Times New Roman" w:hAnsi="Times New Roman" w:cs="Times New Roman"/>
          <w:sz w:val="24"/>
          <w:szCs w:val="24"/>
          <w:lang w:val="en-US"/>
        </w:rPr>
        <w:t xml:space="preserve">comprehensive survey of relevant literature </w:t>
      </w:r>
      <w:r w:rsidR="00DE17AC" w:rsidRPr="00FC62AA">
        <w:rPr>
          <w:rFonts w:ascii="Times New Roman" w:hAnsi="Times New Roman" w:cs="Times New Roman"/>
          <w:color w:val="131413"/>
          <w:sz w:val="24"/>
          <w:szCs w:val="24"/>
          <w:lang w:val="en-US"/>
        </w:rPr>
        <w:t>on malaria risk factors</w:t>
      </w:r>
      <w:r w:rsidR="00DE17AC" w:rsidRPr="00FC62AA">
        <w:rPr>
          <w:rFonts w:ascii="Times New Roman" w:hAnsi="Times New Roman" w:cs="Times New Roman"/>
          <w:sz w:val="24"/>
          <w:szCs w:val="24"/>
          <w:lang w:val="en-US"/>
        </w:rPr>
        <w:t xml:space="preserve"> was conducted. The search </w:t>
      </w:r>
      <w:r w:rsidR="00DE17AC">
        <w:rPr>
          <w:rFonts w:ascii="Times New Roman" w:hAnsi="Times New Roman" w:cs="Times New Roman"/>
          <w:sz w:val="24"/>
          <w:szCs w:val="24"/>
          <w:lang w:val="en-US"/>
        </w:rPr>
        <w:t xml:space="preserve">for literature focused on review papers and scientific research articles. The search was </w:t>
      </w:r>
      <w:r w:rsidR="00DE17AC" w:rsidRPr="00FC62AA">
        <w:rPr>
          <w:rFonts w:ascii="Times New Roman" w:hAnsi="Times New Roman" w:cs="Times New Roman"/>
          <w:sz w:val="24"/>
          <w:szCs w:val="24"/>
          <w:lang w:val="en-US"/>
        </w:rPr>
        <w:t xml:space="preserve">done in four databases </w:t>
      </w:r>
      <w:r w:rsidR="00DE17AC">
        <w:rPr>
          <w:rFonts w:ascii="Times New Roman" w:hAnsi="Times New Roman" w:cs="Times New Roman"/>
          <w:sz w:val="24"/>
          <w:szCs w:val="24"/>
          <w:lang w:val="en-US"/>
        </w:rPr>
        <w:t xml:space="preserve">namely </w:t>
      </w:r>
      <w:r w:rsidR="00DE17AC" w:rsidRPr="00FC62AA">
        <w:rPr>
          <w:rFonts w:ascii="Times New Roman" w:hAnsi="Times New Roman" w:cs="Times New Roman"/>
          <w:sz w:val="24"/>
          <w:szCs w:val="24"/>
          <w:lang w:val="en-US"/>
        </w:rPr>
        <w:t>MEDL</w:t>
      </w:r>
      <w:r w:rsidR="00DE17AC">
        <w:rPr>
          <w:rFonts w:ascii="Times New Roman" w:hAnsi="Times New Roman" w:cs="Times New Roman"/>
          <w:sz w:val="24"/>
          <w:szCs w:val="24"/>
          <w:lang w:val="en-US"/>
        </w:rPr>
        <w:t>INE (</w:t>
      </w:r>
      <w:proofErr w:type="spellStart"/>
      <w:r w:rsidR="00DE17AC">
        <w:rPr>
          <w:rFonts w:ascii="Times New Roman" w:hAnsi="Times New Roman" w:cs="Times New Roman"/>
          <w:sz w:val="24"/>
          <w:szCs w:val="24"/>
          <w:lang w:val="en-US"/>
        </w:rPr>
        <w:t>Pubmed</w:t>
      </w:r>
      <w:proofErr w:type="spellEnd"/>
      <w:r w:rsidR="00DE17AC">
        <w:rPr>
          <w:rFonts w:ascii="Times New Roman" w:hAnsi="Times New Roman" w:cs="Times New Roman"/>
          <w:sz w:val="24"/>
          <w:szCs w:val="24"/>
          <w:lang w:val="en-US"/>
        </w:rPr>
        <w:t xml:space="preserve">®), </w:t>
      </w:r>
      <w:proofErr w:type="spellStart"/>
      <w:r w:rsidR="00DE17AC">
        <w:rPr>
          <w:rFonts w:ascii="Times New Roman" w:hAnsi="Times New Roman" w:cs="Times New Roman"/>
          <w:sz w:val="24"/>
          <w:szCs w:val="24"/>
          <w:lang w:val="en-US"/>
        </w:rPr>
        <w:t>EMBASE</w:t>
      </w:r>
      <w:proofErr w:type="spellEnd"/>
      <w:r w:rsidR="00DE17AC">
        <w:rPr>
          <w:rFonts w:ascii="Times New Roman" w:hAnsi="Times New Roman" w:cs="Times New Roman"/>
          <w:sz w:val="24"/>
          <w:szCs w:val="24"/>
          <w:lang w:val="en-US"/>
        </w:rPr>
        <w:t xml:space="preserve">®, Scopus®, </w:t>
      </w:r>
      <w:r w:rsidR="00DE17AC" w:rsidRPr="00FC62AA">
        <w:rPr>
          <w:rFonts w:ascii="Times New Roman" w:hAnsi="Times New Roman" w:cs="Times New Roman"/>
          <w:sz w:val="24"/>
          <w:szCs w:val="24"/>
          <w:lang w:val="en-US"/>
        </w:rPr>
        <w:t>and Web of Science®</w:t>
      </w:r>
      <w:r w:rsidR="00DE17AC">
        <w:rPr>
          <w:rFonts w:ascii="Times New Roman" w:hAnsi="Times New Roman" w:cs="Times New Roman"/>
          <w:sz w:val="24"/>
          <w:szCs w:val="24"/>
          <w:lang w:val="en-US"/>
        </w:rPr>
        <w:t>.</w:t>
      </w:r>
      <w:r w:rsidR="00DE17AC" w:rsidRPr="00FC62AA">
        <w:rPr>
          <w:rFonts w:ascii="Times New Roman" w:hAnsi="Times New Roman" w:cs="Times New Roman"/>
          <w:sz w:val="24"/>
          <w:szCs w:val="24"/>
          <w:lang w:val="en-US"/>
        </w:rPr>
        <w:t xml:space="preserve"> Google scholar and </w:t>
      </w:r>
      <w:r w:rsidR="00DE17AC" w:rsidRPr="00FC62AA">
        <w:rPr>
          <w:rFonts w:ascii="Times New Roman" w:hAnsi="Times New Roman" w:cs="Times New Roman"/>
          <w:color w:val="131413"/>
          <w:sz w:val="24"/>
          <w:szCs w:val="24"/>
          <w:lang w:val="en-US"/>
        </w:rPr>
        <w:t>Mendeley search engines were also used to obtain relevant literature. In both the databases</w:t>
      </w:r>
      <w:r>
        <w:rPr>
          <w:rFonts w:ascii="Times New Roman" w:hAnsi="Times New Roman" w:cs="Times New Roman"/>
          <w:color w:val="131413"/>
          <w:sz w:val="24"/>
          <w:szCs w:val="24"/>
          <w:lang w:val="en-US"/>
        </w:rPr>
        <w:t>,</w:t>
      </w:r>
      <w:r w:rsidR="00DE17AC" w:rsidRPr="00FC62AA">
        <w:rPr>
          <w:rFonts w:ascii="Times New Roman" w:hAnsi="Times New Roman" w:cs="Times New Roman"/>
          <w:color w:val="131413"/>
          <w:sz w:val="24"/>
          <w:szCs w:val="24"/>
          <w:lang w:val="en-US"/>
        </w:rPr>
        <w:t xml:space="preserve"> and search engines, </w:t>
      </w:r>
      <w:r>
        <w:rPr>
          <w:rFonts w:ascii="Times New Roman" w:hAnsi="Times New Roman" w:cs="Times New Roman"/>
          <w:color w:val="131413"/>
          <w:sz w:val="24"/>
          <w:szCs w:val="24"/>
          <w:lang w:val="en-US"/>
        </w:rPr>
        <w:t xml:space="preserve">keywords, </w:t>
      </w:r>
      <w:r w:rsidR="00DE17AC">
        <w:rPr>
          <w:rFonts w:ascii="Times New Roman" w:hAnsi="Times New Roman" w:cs="Times New Roman"/>
          <w:color w:val="131413"/>
          <w:sz w:val="24"/>
          <w:szCs w:val="24"/>
          <w:lang w:val="en-US"/>
        </w:rPr>
        <w:t xml:space="preserve">and </w:t>
      </w:r>
      <w:r w:rsidR="00DE17AC" w:rsidRPr="00FC62AA">
        <w:rPr>
          <w:rFonts w:ascii="Times New Roman" w:hAnsi="Times New Roman" w:cs="Times New Roman"/>
          <w:color w:val="131413"/>
          <w:sz w:val="24"/>
          <w:szCs w:val="24"/>
          <w:lang w:val="en-US"/>
        </w:rPr>
        <w:t xml:space="preserve">combination of key words </w:t>
      </w:r>
      <w:r w:rsidR="00DE17AC" w:rsidRPr="00A6314F">
        <w:rPr>
          <w:rFonts w:ascii="Times New Roman" w:hAnsi="Times New Roman" w:cs="Times New Roman"/>
          <w:sz w:val="24"/>
          <w:szCs w:val="24"/>
          <w:lang w:val="en-US"/>
        </w:rPr>
        <w:t xml:space="preserve">were used to guide </w:t>
      </w:r>
      <w:r w:rsidR="00DE17AC">
        <w:rPr>
          <w:rFonts w:ascii="Times New Roman" w:hAnsi="Times New Roman" w:cs="Times New Roman"/>
          <w:sz w:val="24"/>
          <w:szCs w:val="24"/>
          <w:lang w:val="en-US"/>
        </w:rPr>
        <w:t xml:space="preserve">the </w:t>
      </w:r>
      <w:r w:rsidR="00DE17AC" w:rsidRPr="00A6314F">
        <w:rPr>
          <w:rFonts w:ascii="Times New Roman" w:hAnsi="Times New Roman" w:cs="Times New Roman"/>
          <w:sz w:val="24"/>
          <w:szCs w:val="24"/>
          <w:lang w:val="en-US"/>
        </w:rPr>
        <w:t>literature search</w:t>
      </w:r>
      <w:r w:rsidR="00DE17AC">
        <w:rPr>
          <w:rFonts w:ascii="Times New Roman" w:hAnsi="Times New Roman" w:cs="Times New Roman"/>
          <w:sz w:val="24"/>
          <w:szCs w:val="24"/>
          <w:lang w:val="en-US"/>
        </w:rPr>
        <w:t xml:space="preserve">. The search was limited to literature published between 2018 and 2022. </w:t>
      </w:r>
      <w:r>
        <w:rPr>
          <w:rFonts w:ascii="Times New Roman" w:hAnsi="Times New Roman" w:cs="Times New Roman"/>
          <w:sz w:val="24"/>
          <w:szCs w:val="24"/>
          <w:lang w:val="en-US"/>
        </w:rPr>
        <w:t xml:space="preserve">Literature was imported into mendeley referencing software and a detailed review was conducted. </w:t>
      </w:r>
      <w:r w:rsidR="00DE17AC">
        <w:rPr>
          <w:rFonts w:ascii="Times New Roman" w:hAnsi="Times New Roman" w:cs="Times New Roman"/>
          <w:color w:val="131413"/>
          <w:sz w:val="24"/>
          <w:szCs w:val="24"/>
          <w:lang w:val="en-US"/>
        </w:rPr>
        <w:t>E</w:t>
      </w:r>
      <w:r w:rsidR="00DE17AC" w:rsidRPr="00FC62AA">
        <w:rPr>
          <w:rFonts w:ascii="Times New Roman" w:hAnsi="Times New Roman" w:cs="Times New Roman"/>
          <w:color w:val="131413"/>
          <w:sz w:val="24"/>
          <w:szCs w:val="24"/>
          <w:lang w:val="en-US"/>
        </w:rPr>
        <w:t xml:space="preserve">xplanatory variables </w:t>
      </w:r>
      <w:r w:rsidR="00DE17AC">
        <w:rPr>
          <w:rFonts w:ascii="Times New Roman" w:hAnsi="Times New Roman" w:cs="Times New Roman"/>
          <w:color w:val="131413"/>
          <w:sz w:val="24"/>
          <w:szCs w:val="24"/>
          <w:lang w:val="en-US"/>
        </w:rPr>
        <w:t>identified from the review</w:t>
      </w:r>
      <w:r>
        <w:rPr>
          <w:rFonts w:ascii="Times New Roman" w:hAnsi="Times New Roman" w:cs="Times New Roman"/>
          <w:color w:val="131413"/>
          <w:sz w:val="24"/>
          <w:szCs w:val="24"/>
          <w:lang w:val="en-US"/>
        </w:rPr>
        <w:t>,</w:t>
      </w:r>
      <w:r w:rsidR="00DE17AC">
        <w:rPr>
          <w:rFonts w:ascii="Times New Roman" w:hAnsi="Times New Roman" w:cs="Times New Roman"/>
          <w:color w:val="131413"/>
          <w:sz w:val="24"/>
          <w:szCs w:val="24"/>
          <w:lang w:val="en-US"/>
        </w:rPr>
        <w:t xml:space="preserve"> and deemed relevant for the refugee settlements</w:t>
      </w:r>
      <w:r w:rsidR="00DE17AC" w:rsidRPr="00FC62AA">
        <w:rPr>
          <w:rFonts w:ascii="Times New Roman" w:hAnsi="Times New Roman" w:cs="Times New Roman"/>
          <w:color w:val="131413"/>
          <w:sz w:val="24"/>
          <w:szCs w:val="24"/>
          <w:lang w:val="en-US"/>
        </w:rPr>
        <w:t xml:space="preserve"> </w:t>
      </w:r>
      <w:r w:rsidR="00DE17AC" w:rsidRPr="00FC62AA">
        <w:rPr>
          <w:rFonts w:ascii="Times New Roman" w:hAnsi="Times New Roman" w:cs="Times New Roman"/>
          <w:sz w:val="24"/>
          <w:szCs w:val="24"/>
          <w:lang w:val="en-US"/>
        </w:rPr>
        <w:t xml:space="preserve">are summarized in </w:t>
      </w:r>
      <w:r w:rsidR="00DE17AC" w:rsidRPr="008C2FBF">
        <w:rPr>
          <w:rFonts w:ascii="Times New Roman" w:hAnsi="Times New Roman" w:cs="Times New Roman"/>
          <w:sz w:val="24"/>
          <w:szCs w:val="24"/>
          <w:lang w:val="en-US"/>
        </w:rPr>
        <w:t xml:space="preserve">Table </w:t>
      </w:r>
      <w:r w:rsidR="00DE17AC">
        <w:rPr>
          <w:rFonts w:ascii="Times New Roman" w:hAnsi="Times New Roman" w:cs="Times New Roman"/>
          <w:sz w:val="24"/>
          <w:szCs w:val="24"/>
          <w:lang w:val="en-US"/>
        </w:rPr>
        <w:t>S1</w:t>
      </w:r>
      <w:r w:rsidR="00DE17AC" w:rsidRPr="008C2FBF">
        <w:rPr>
          <w:rFonts w:ascii="Times New Roman" w:hAnsi="Times New Roman" w:cs="Times New Roman"/>
          <w:sz w:val="24"/>
          <w:szCs w:val="24"/>
          <w:lang w:val="en-US"/>
        </w:rPr>
        <w:t>.</w:t>
      </w:r>
    </w:p>
    <w:p w:rsidR="00DE17AC" w:rsidRPr="00BB56D7" w:rsidRDefault="00DE17AC" w:rsidP="00DE17AC">
      <w:pPr>
        <w:tabs>
          <w:tab w:val="left" w:pos="426"/>
        </w:tabs>
        <w:spacing w:beforeLines="100" w:before="240" w:after="80" w:line="480" w:lineRule="auto"/>
        <w:jc w:val="both"/>
        <w:rPr>
          <w:rFonts w:ascii="Times New Roman" w:hAnsi="Times New Roman"/>
          <w:sz w:val="24"/>
          <w:szCs w:val="24"/>
        </w:rPr>
      </w:pPr>
      <w:r>
        <w:rPr>
          <w:rFonts w:ascii="Times New Roman" w:hAnsi="Times New Roman" w:cs="Times New Roman"/>
          <w:b/>
          <w:sz w:val="24"/>
          <w:szCs w:val="24"/>
          <w:lang w:val="en-US"/>
        </w:rPr>
        <w:t xml:space="preserve">Table S1 </w:t>
      </w:r>
      <w:r>
        <w:rPr>
          <w:rFonts w:ascii="Times New Roman" w:hAnsi="Times New Roman"/>
          <w:sz w:val="24"/>
          <w:szCs w:val="24"/>
        </w:rPr>
        <w:t>Household level r</w:t>
      </w:r>
      <w:r w:rsidRPr="00BB56D7">
        <w:rPr>
          <w:rFonts w:ascii="Times New Roman" w:hAnsi="Times New Roman"/>
          <w:sz w:val="24"/>
          <w:szCs w:val="24"/>
        </w:rPr>
        <w:t xml:space="preserve">isk </w:t>
      </w:r>
      <w:r>
        <w:rPr>
          <w:rFonts w:ascii="Times New Roman" w:hAnsi="Times New Roman"/>
          <w:sz w:val="24"/>
          <w:szCs w:val="24"/>
        </w:rPr>
        <w:t xml:space="preserve">factors associated with </w:t>
      </w:r>
      <w:r w:rsidRPr="00BB56D7">
        <w:rPr>
          <w:rFonts w:ascii="Times New Roman" w:hAnsi="Times New Roman"/>
          <w:sz w:val="24"/>
          <w:szCs w:val="24"/>
        </w:rPr>
        <w:t>malaria infections among children</w:t>
      </w:r>
    </w:p>
    <w:tbl>
      <w:tblPr>
        <w:tblW w:w="5340" w:type="pct"/>
        <w:tblInd w:w="-142" w:type="dxa"/>
        <w:tblBorders>
          <w:top w:val="single" w:sz="4" w:space="0" w:color="auto"/>
          <w:bottom w:val="single" w:sz="4" w:space="0" w:color="auto"/>
        </w:tblBorders>
        <w:tblLook w:val="04A0" w:firstRow="1" w:lastRow="0" w:firstColumn="1" w:lastColumn="0" w:noHBand="0" w:noVBand="1"/>
      </w:tblPr>
      <w:tblGrid>
        <w:gridCol w:w="2840"/>
        <w:gridCol w:w="3068"/>
        <w:gridCol w:w="2148"/>
        <w:gridCol w:w="1585"/>
      </w:tblGrid>
      <w:tr w:rsidR="00DE17AC" w:rsidRPr="002103DB" w:rsidTr="006578A4">
        <w:trPr>
          <w:trHeight w:val="445"/>
        </w:trPr>
        <w:tc>
          <w:tcPr>
            <w:tcW w:w="1473" w:type="pct"/>
            <w:tcBorders>
              <w:top w:val="single" w:sz="4" w:space="0" w:color="auto"/>
              <w:bottom w:val="single" w:sz="4" w:space="0" w:color="auto"/>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Explanatory v</w:t>
            </w:r>
            <w:r w:rsidRPr="002103DB">
              <w:rPr>
                <w:rFonts w:ascii="Times New Roman" w:eastAsia="Times New Roman" w:hAnsi="Times New Roman" w:cs="Times New Roman"/>
                <w:b/>
                <w:sz w:val="24"/>
                <w:szCs w:val="24"/>
              </w:rPr>
              <w:t>ariables</w:t>
            </w:r>
          </w:p>
        </w:tc>
        <w:tc>
          <w:tcPr>
            <w:tcW w:w="1591" w:type="pct"/>
            <w:tcBorders>
              <w:top w:val="single" w:sz="4" w:space="0" w:color="auto"/>
              <w:bottom w:val="single" w:sz="4" w:space="0" w:color="auto"/>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b/>
                <w:sz w:val="24"/>
                <w:szCs w:val="24"/>
              </w:rPr>
            </w:pPr>
            <w:r w:rsidRPr="002103DB">
              <w:rPr>
                <w:rFonts w:ascii="Times New Roman" w:eastAsia="Times New Roman" w:hAnsi="Times New Roman" w:cs="Times New Roman"/>
                <w:b/>
                <w:sz w:val="24"/>
                <w:szCs w:val="24"/>
              </w:rPr>
              <w:t>Description</w:t>
            </w:r>
          </w:p>
        </w:tc>
        <w:tc>
          <w:tcPr>
            <w:tcW w:w="1114" w:type="pct"/>
            <w:tcBorders>
              <w:top w:val="single" w:sz="4" w:space="0" w:color="auto"/>
              <w:bottom w:val="single" w:sz="4" w:space="0" w:color="auto"/>
            </w:tcBorders>
          </w:tcPr>
          <w:p w:rsidR="00DE17AC" w:rsidRPr="002103DB" w:rsidRDefault="00DE17AC" w:rsidP="00070955">
            <w:pPr>
              <w:adjustRightInd w:val="0"/>
              <w:snapToGrid w:val="0"/>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Relationships with malaria infections</w:t>
            </w:r>
          </w:p>
        </w:tc>
        <w:tc>
          <w:tcPr>
            <w:tcW w:w="823" w:type="pct"/>
            <w:tcBorders>
              <w:top w:val="single" w:sz="4" w:space="0" w:color="auto"/>
              <w:bottom w:val="single" w:sz="4" w:space="0" w:color="auto"/>
            </w:tcBorders>
            <w:shd w:val="clear" w:color="auto" w:fill="auto"/>
            <w:hideMark/>
          </w:tcPr>
          <w:p w:rsidR="00DE17AC" w:rsidRPr="002103DB" w:rsidRDefault="00DE17AC" w:rsidP="00070955">
            <w:pPr>
              <w:adjustRightInd w:val="0"/>
              <w:snapToGrid w:val="0"/>
              <w:spacing w:after="0" w:line="240" w:lineRule="auto"/>
              <w:contextualSpacing/>
              <w:rPr>
                <w:rFonts w:ascii="Times New Roman" w:hAnsi="Times New Roman" w:cs="Times New Roman"/>
                <w:b/>
                <w:sz w:val="24"/>
                <w:szCs w:val="24"/>
              </w:rPr>
            </w:pPr>
            <w:r w:rsidRPr="002103DB">
              <w:rPr>
                <w:rFonts w:ascii="Times New Roman" w:hAnsi="Times New Roman" w:cs="Times New Roman"/>
                <w:b/>
                <w:sz w:val="24"/>
                <w:szCs w:val="24"/>
              </w:rPr>
              <w:t>Sources</w:t>
            </w:r>
          </w:p>
        </w:tc>
      </w:tr>
      <w:tr w:rsidR="00DE17AC" w:rsidRPr="002103DB" w:rsidTr="006578A4">
        <w:trPr>
          <w:trHeight w:val="445"/>
        </w:trPr>
        <w:tc>
          <w:tcPr>
            <w:tcW w:w="1473" w:type="pct"/>
            <w:tcBorders>
              <w:top w:val="single" w:sz="4" w:space="0" w:color="auto"/>
              <w:bottom w:val="nil"/>
            </w:tcBorders>
            <w:shd w:val="clear" w:color="auto" w:fill="auto"/>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b/>
                <w:sz w:val="24"/>
                <w:szCs w:val="24"/>
              </w:rPr>
            </w:pPr>
            <w:r w:rsidRPr="002103DB">
              <w:rPr>
                <w:rFonts w:ascii="Times New Roman" w:eastAsia="Times New Roman" w:hAnsi="Times New Roman" w:cs="Times New Roman"/>
                <w:b/>
                <w:sz w:val="24"/>
                <w:szCs w:val="24"/>
              </w:rPr>
              <w:t>S</w:t>
            </w:r>
            <w:r w:rsidRPr="002103DB">
              <w:rPr>
                <w:rFonts w:ascii="Times New Roman" w:eastAsia="Times New Roman" w:hAnsi="Times New Roman" w:cs="Times New Roman"/>
                <w:sz w:val="24"/>
                <w:szCs w:val="24"/>
              </w:rPr>
              <w:t>ex of household head</w:t>
            </w:r>
          </w:p>
        </w:tc>
        <w:tc>
          <w:tcPr>
            <w:tcW w:w="1591" w:type="pct"/>
            <w:tcBorders>
              <w:top w:val="single" w:sz="4" w:space="0" w:color="auto"/>
              <w:bottom w:val="nil"/>
            </w:tcBorders>
            <w:shd w:val="clear" w:color="auto" w:fill="auto"/>
          </w:tcPr>
          <w:p w:rsidR="00DE17AC" w:rsidRPr="002103DB" w:rsidRDefault="00DE17AC" w:rsidP="00070955">
            <w:pPr>
              <w:adjustRightInd w:val="0"/>
              <w:snapToGrid w:val="0"/>
              <w:spacing w:after="0" w:line="240" w:lineRule="auto"/>
              <w:contextualSpacing/>
              <w:jc w:val="both"/>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Determines the ability to obtain malaria treatment and prevention measures</w:t>
            </w:r>
          </w:p>
        </w:tc>
        <w:tc>
          <w:tcPr>
            <w:tcW w:w="1114" w:type="pct"/>
            <w:tcBorders>
              <w:top w:val="single" w:sz="4" w:space="0" w:color="auto"/>
              <w:bottom w:val="nil"/>
            </w:tcBorders>
          </w:tcPr>
          <w:p w:rsidR="00DE17AC" w:rsidRPr="002103DB" w:rsidRDefault="00DE17AC" w:rsidP="00070955">
            <w:pPr>
              <w:adjustRightInd w:val="0"/>
              <w:snapToGrid w:val="0"/>
              <w:spacing w:after="0" w:line="240" w:lineRule="auto"/>
              <w:contextualSpacing/>
              <w:jc w:val="center"/>
              <w:rPr>
                <w:rFonts w:ascii="Times New Roman" w:hAnsi="Times New Roman" w:cs="Times New Roman"/>
                <w:b/>
                <w:sz w:val="24"/>
                <w:szCs w:val="24"/>
              </w:rPr>
            </w:pPr>
            <w:r w:rsidRPr="005C1166">
              <w:rPr>
                <w:rFonts w:ascii="Times New Roman" w:hAnsi="Times New Roman" w:cs="Times New Roman"/>
                <w:b/>
                <w:sz w:val="24"/>
                <w:szCs w:val="24"/>
                <w:u w:val="single"/>
              </w:rPr>
              <w:t>+</w:t>
            </w:r>
            <w:r>
              <w:rPr>
                <w:rFonts w:ascii="Times New Roman" w:hAnsi="Times New Roman" w:cs="Times New Roman"/>
                <w:b/>
                <w:sz w:val="24"/>
                <w:szCs w:val="24"/>
                <w:u w:val="single"/>
              </w:rPr>
              <w:t xml:space="preserve"> </w:t>
            </w:r>
          </w:p>
        </w:tc>
        <w:tc>
          <w:tcPr>
            <w:tcW w:w="823" w:type="pct"/>
            <w:tcBorders>
              <w:top w:val="single" w:sz="4" w:space="0" w:color="auto"/>
              <w:bottom w:val="nil"/>
            </w:tcBorders>
            <w:shd w:val="clear" w:color="auto" w:fill="auto"/>
          </w:tcPr>
          <w:p w:rsidR="00DE17AC" w:rsidRPr="009B002C" w:rsidRDefault="00DE17AC" w:rsidP="00070955">
            <w:pPr>
              <w:adjustRightInd w:val="0"/>
              <w:snapToGrid w:val="0"/>
              <w:spacing w:after="0" w:line="240" w:lineRule="auto"/>
              <w:contextualSpacing/>
              <w:rPr>
                <w:rFonts w:ascii="Times New Roman" w:hAnsi="Times New Roman" w:cs="Times New Roman"/>
                <w:sz w:val="24"/>
                <w:szCs w:val="24"/>
              </w:rPr>
            </w:pPr>
            <w:r w:rsidRPr="009B002C">
              <w:rPr>
                <w:rFonts w:ascii="Times New Roman" w:hAnsi="Times New Roman" w:cs="Times New Roman"/>
                <w:sz w:val="24"/>
                <w:szCs w:val="24"/>
              </w:rPr>
              <w:t>[1</w:t>
            </w:r>
            <w:r w:rsidRPr="009B002C">
              <w:rPr>
                <w:rFonts w:ascii="Times New Roman" w:hAnsi="Times New Roman" w:cs="Times New Roman"/>
                <w:noProof/>
                <w:sz w:val="24"/>
                <w:szCs w:val="24"/>
              </w:rPr>
              <w:t>–3</w:t>
            </w:r>
            <w:r w:rsidRPr="009B002C">
              <w:rPr>
                <w:rFonts w:ascii="Times New Roman" w:hAnsi="Times New Roman" w:cs="Times New Roman"/>
                <w:sz w:val="24"/>
                <w:szCs w:val="24"/>
              </w:rPr>
              <w:t>]</w:t>
            </w:r>
          </w:p>
        </w:tc>
      </w:tr>
      <w:tr w:rsidR="00DE17AC" w:rsidRPr="002103DB" w:rsidTr="006578A4">
        <w:trPr>
          <w:trHeight w:val="551"/>
        </w:trPr>
        <w:tc>
          <w:tcPr>
            <w:tcW w:w="1473" w:type="pct"/>
            <w:tcBorders>
              <w:top w:val="nil"/>
              <w:bottom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Mother's education</w:t>
            </w:r>
            <w:r>
              <w:rPr>
                <w:rFonts w:ascii="Times New Roman" w:eastAsia="Times New Roman" w:hAnsi="Times New Roman" w:cs="Times New Roman"/>
                <w:sz w:val="24"/>
                <w:szCs w:val="24"/>
              </w:rPr>
              <w:t>/Literacy levels</w:t>
            </w:r>
          </w:p>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p>
        </w:tc>
        <w:tc>
          <w:tcPr>
            <w:tcW w:w="1591" w:type="pct"/>
            <w:tcBorders>
              <w:top w:val="nil"/>
              <w:bottom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Determines acquisition and usage of malaria prevention methods and treatment</w:t>
            </w:r>
          </w:p>
        </w:tc>
        <w:tc>
          <w:tcPr>
            <w:tcW w:w="1114" w:type="pct"/>
            <w:tcBorders>
              <w:top w:val="nil"/>
              <w:bottom w:val="nil"/>
            </w:tcBorders>
          </w:tcPr>
          <w:p w:rsidR="00DE17AC" w:rsidRDefault="00DE17AC" w:rsidP="00070955">
            <w:pPr>
              <w:jc w:val="center"/>
            </w:pPr>
            <w:r w:rsidRPr="007C37F2">
              <w:rPr>
                <w:rFonts w:ascii="Times New Roman" w:hAnsi="Times New Roman" w:cs="Times New Roman"/>
                <w:b/>
                <w:sz w:val="24"/>
                <w:szCs w:val="24"/>
                <w:u w:val="single"/>
              </w:rPr>
              <w:t>+</w:t>
            </w:r>
          </w:p>
        </w:tc>
        <w:tc>
          <w:tcPr>
            <w:tcW w:w="823" w:type="pct"/>
            <w:tcBorders>
              <w:top w:val="nil"/>
              <w:bottom w:val="nil"/>
            </w:tcBorders>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 3</w:t>
            </w:r>
            <w:r w:rsidRPr="003855E2">
              <w:rPr>
                <w:rFonts w:ascii="Times New Roman" w:hAnsi="Times New Roman" w:cs="Times New Roman"/>
                <w:noProof/>
                <w:sz w:val="24"/>
                <w:szCs w:val="24"/>
              </w:rPr>
              <w:t>–</w:t>
            </w:r>
            <w:r>
              <w:rPr>
                <w:rFonts w:ascii="Times New Roman" w:hAnsi="Times New Roman" w:cs="Times New Roman"/>
                <w:noProof/>
                <w:sz w:val="24"/>
                <w:szCs w:val="24"/>
              </w:rPr>
              <w:t>5]</w:t>
            </w:r>
          </w:p>
        </w:tc>
      </w:tr>
      <w:tr w:rsidR="00DE17AC" w:rsidRPr="002103DB" w:rsidTr="006578A4">
        <w:trPr>
          <w:trHeight w:val="551"/>
        </w:trPr>
        <w:tc>
          <w:tcPr>
            <w:tcW w:w="1473" w:type="pct"/>
            <w:tcBorders>
              <w:top w:val="nil"/>
              <w:bottom w:val="nil"/>
            </w:tcBorders>
            <w:shd w:val="clear" w:color="auto" w:fill="auto"/>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Location of households</w:t>
            </w:r>
          </w:p>
        </w:tc>
        <w:tc>
          <w:tcPr>
            <w:tcW w:w="1591" w:type="pct"/>
            <w:tcBorders>
              <w:top w:val="nil"/>
              <w:bottom w:val="nil"/>
            </w:tcBorders>
            <w:shd w:val="clear" w:color="auto" w:fill="auto"/>
          </w:tcPr>
          <w:p w:rsidR="00DE17AC" w:rsidRPr="002103DB" w:rsidRDefault="00DE17AC" w:rsidP="00DE17AC">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 xml:space="preserve">Provides adequate source of blood meal for mosquitos. </w:t>
            </w:r>
          </w:p>
        </w:tc>
        <w:tc>
          <w:tcPr>
            <w:tcW w:w="1114" w:type="pct"/>
            <w:tcBorders>
              <w:top w:val="nil"/>
              <w:bottom w:val="nil"/>
            </w:tcBorders>
          </w:tcPr>
          <w:p w:rsidR="00DE17AC" w:rsidRDefault="00DE17AC" w:rsidP="00070955">
            <w:pPr>
              <w:jc w:val="center"/>
            </w:pPr>
            <w:r w:rsidRPr="007C37F2">
              <w:rPr>
                <w:rFonts w:ascii="Times New Roman" w:hAnsi="Times New Roman" w:cs="Times New Roman"/>
                <w:b/>
                <w:sz w:val="24"/>
                <w:szCs w:val="24"/>
                <w:u w:val="single"/>
              </w:rPr>
              <w:t>+</w:t>
            </w:r>
          </w:p>
        </w:tc>
        <w:tc>
          <w:tcPr>
            <w:tcW w:w="823" w:type="pct"/>
            <w:tcBorders>
              <w:top w:val="nil"/>
              <w:bottom w:val="nil"/>
            </w:tcBorders>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 3, 4]</w:t>
            </w:r>
          </w:p>
        </w:tc>
      </w:tr>
      <w:tr w:rsidR="00DE17AC" w:rsidRPr="002103DB" w:rsidTr="006578A4">
        <w:trPr>
          <w:trHeight w:val="113"/>
        </w:trPr>
        <w:tc>
          <w:tcPr>
            <w:tcW w:w="1473" w:type="pct"/>
            <w:tcBorders>
              <w:top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Household wealth</w:t>
            </w:r>
            <w:r>
              <w:rPr>
                <w:rFonts w:ascii="Times New Roman" w:eastAsia="Times New Roman" w:hAnsi="Times New Roman" w:cs="Times New Roman"/>
                <w:sz w:val="24"/>
                <w:szCs w:val="24"/>
              </w:rPr>
              <w:t xml:space="preserve"> status</w:t>
            </w:r>
          </w:p>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p>
        </w:tc>
        <w:tc>
          <w:tcPr>
            <w:tcW w:w="1591" w:type="pct"/>
            <w:tcBorders>
              <w:top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Influences</w:t>
            </w:r>
            <w:r>
              <w:rPr>
                <w:rFonts w:ascii="Times New Roman" w:eastAsia="Times New Roman" w:hAnsi="Times New Roman" w:cs="Times New Roman"/>
                <w:sz w:val="24"/>
                <w:szCs w:val="24"/>
              </w:rPr>
              <w:t xml:space="preserve"> </w:t>
            </w:r>
            <w:r w:rsidRPr="002103DB">
              <w:rPr>
                <w:rFonts w:ascii="Times New Roman" w:eastAsia="Times New Roman" w:hAnsi="Times New Roman" w:cs="Times New Roman"/>
                <w:sz w:val="24"/>
                <w:szCs w:val="24"/>
              </w:rPr>
              <w:t>housing quality, ownership and payment for malaria prevention and treatment</w:t>
            </w:r>
          </w:p>
        </w:tc>
        <w:tc>
          <w:tcPr>
            <w:tcW w:w="1114" w:type="pct"/>
            <w:tcBorders>
              <w:top w:val="nil"/>
            </w:tcBorders>
          </w:tcPr>
          <w:p w:rsidR="00DE17AC" w:rsidRDefault="00DE17AC" w:rsidP="00070955">
            <w:pPr>
              <w:jc w:val="center"/>
            </w:pPr>
            <w:r w:rsidRPr="007C37F2">
              <w:rPr>
                <w:rFonts w:ascii="Times New Roman" w:hAnsi="Times New Roman" w:cs="Times New Roman"/>
                <w:b/>
                <w:sz w:val="24"/>
                <w:szCs w:val="24"/>
                <w:u w:val="single"/>
              </w:rPr>
              <w:t>+</w:t>
            </w:r>
          </w:p>
        </w:tc>
        <w:tc>
          <w:tcPr>
            <w:tcW w:w="823" w:type="pct"/>
            <w:tcBorders>
              <w:top w:val="nil"/>
            </w:tcBorders>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 3</w:t>
            </w:r>
            <w:r w:rsidRPr="003855E2">
              <w:rPr>
                <w:rFonts w:ascii="Times New Roman" w:hAnsi="Times New Roman" w:cs="Times New Roman"/>
                <w:noProof/>
                <w:sz w:val="24"/>
                <w:szCs w:val="24"/>
              </w:rPr>
              <w:t>–</w:t>
            </w:r>
            <w:r>
              <w:rPr>
                <w:rFonts w:ascii="Times New Roman" w:hAnsi="Times New Roman" w:cs="Times New Roman"/>
                <w:noProof/>
                <w:sz w:val="24"/>
                <w:szCs w:val="24"/>
              </w:rPr>
              <w:t>5]</w:t>
            </w:r>
          </w:p>
        </w:tc>
      </w:tr>
      <w:tr w:rsidR="00DE17AC" w:rsidRPr="002103DB" w:rsidTr="006578A4">
        <w:trPr>
          <w:trHeight w:val="441"/>
        </w:trPr>
        <w:tc>
          <w:tcPr>
            <w:tcW w:w="1473" w:type="pct"/>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 xml:space="preserve">Insecticide treated nets (ITNs) </w:t>
            </w:r>
          </w:p>
        </w:tc>
        <w:tc>
          <w:tcPr>
            <w:tcW w:w="1591" w:type="pct"/>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Prevents night mosquito bites around the beds</w:t>
            </w:r>
          </w:p>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p>
        </w:tc>
        <w:tc>
          <w:tcPr>
            <w:tcW w:w="1114" w:type="pct"/>
          </w:tcPr>
          <w:p w:rsidR="00DE17AC" w:rsidRDefault="00DE17AC" w:rsidP="00070955">
            <w:pPr>
              <w:jc w:val="center"/>
            </w:pPr>
            <w:r w:rsidRPr="007C37F2">
              <w:rPr>
                <w:rFonts w:ascii="Times New Roman" w:hAnsi="Times New Roman" w:cs="Times New Roman"/>
                <w:b/>
                <w:sz w:val="24"/>
                <w:szCs w:val="24"/>
                <w:u w:val="single"/>
              </w:rPr>
              <w:t>+</w:t>
            </w:r>
          </w:p>
        </w:tc>
        <w:tc>
          <w:tcPr>
            <w:tcW w:w="823"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w:t>
            </w:r>
            <w:r w:rsidRPr="003855E2">
              <w:rPr>
                <w:rFonts w:ascii="Times New Roman" w:hAnsi="Times New Roman" w:cs="Times New Roman"/>
                <w:noProof/>
                <w:sz w:val="24"/>
                <w:szCs w:val="24"/>
              </w:rPr>
              <w:t>–</w:t>
            </w:r>
            <w:r>
              <w:rPr>
                <w:rFonts w:ascii="Times New Roman" w:hAnsi="Times New Roman" w:cs="Times New Roman"/>
                <w:noProof/>
                <w:sz w:val="24"/>
                <w:szCs w:val="24"/>
              </w:rPr>
              <w:t>4, 6, 7]</w:t>
            </w:r>
          </w:p>
        </w:tc>
      </w:tr>
      <w:tr w:rsidR="00DE17AC" w:rsidRPr="002103DB" w:rsidTr="006578A4">
        <w:trPr>
          <w:trHeight w:val="113"/>
        </w:trPr>
        <w:tc>
          <w:tcPr>
            <w:tcW w:w="1473" w:type="pct"/>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Indoor residual s</w:t>
            </w:r>
            <w:r w:rsidRPr="002103DB">
              <w:rPr>
                <w:rFonts w:ascii="Times New Roman" w:eastAsia="Times New Roman" w:hAnsi="Times New Roman" w:cs="Times New Roman"/>
                <w:sz w:val="24"/>
                <w:szCs w:val="24"/>
              </w:rPr>
              <w:t>praying (IRS)</w:t>
            </w:r>
          </w:p>
        </w:tc>
        <w:tc>
          <w:tcPr>
            <w:tcW w:w="1591" w:type="pct"/>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Kills or repels mosquitoes which feed and rest indoors</w:t>
            </w:r>
          </w:p>
        </w:tc>
        <w:tc>
          <w:tcPr>
            <w:tcW w:w="1114" w:type="pct"/>
          </w:tcPr>
          <w:p w:rsidR="00DE17AC" w:rsidRDefault="00DE17AC" w:rsidP="00070955">
            <w:pPr>
              <w:jc w:val="center"/>
            </w:pPr>
            <w:r w:rsidRPr="007C37F2">
              <w:rPr>
                <w:rFonts w:ascii="Times New Roman" w:hAnsi="Times New Roman" w:cs="Times New Roman"/>
                <w:b/>
                <w:sz w:val="24"/>
                <w:szCs w:val="24"/>
                <w:u w:val="single"/>
              </w:rPr>
              <w:t>+</w:t>
            </w:r>
          </w:p>
        </w:tc>
        <w:tc>
          <w:tcPr>
            <w:tcW w:w="823"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w:t>
            </w:r>
            <w:r w:rsidRPr="003855E2">
              <w:rPr>
                <w:rFonts w:ascii="Times New Roman" w:hAnsi="Times New Roman" w:cs="Times New Roman"/>
                <w:noProof/>
                <w:sz w:val="24"/>
                <w:szCs w:val="24"/>
              </w:rPr>
              <w:t>–</w:t>
            </w:r>
            <w:r>
              <w:rPr>
                <w:rFonts w:ascii="Times New Roman" w:hAnsi="Times New Roman" w:cs="Times New Roman"/>
                <w:noProof/>
                <w:sz w:val="24"/>
                <w:szCs w:val="24"/>
              </w:rPr>
              <w:t>4, 6, 7]</w:t>
            </w:r>
          </w:p>
        </w:tc>
      </w:tr>
      <w:tr w:rsidR="00DE17AC" w:rsidRPr="002103DB" w:rsidTr="006578A4">
        <w:trPr>
          <w:trHeight w:val="113"/>
        </w:trPr>
        <w:tc>
          <w:tcPr>
            <w:tcW w:w="1473" w:type="pct"/>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Wall materials</w:t>
            </w:r>
          </w:p>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p>
        </w:tc>
        <w:tc>
          <w:tcPr>
            <w:tcW w:w="1591" w:type="pct"/>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Influence</w:t>
            </w:r>
            <w:r>
              <w:rPr>
                <w:rFonts w:ascii="Times New Roman" w:eastAsia="Times New Roman" w:hAnsi="Times New Roman" w:cs="Times New Roman"/>
                <w:sz w:val="24"/>
                <w:szCs w:val="24"/>
              </w:rPr>
              <w:t>s</w:t>
            </w:r>
            <w:r w:rsidRPr="002103DB">
              <w:rPr>
                <w:rFonts w:ascii="Times New Roman" w:eastAsia="Times New Roman" w:hAnsi="Times New Roman" w:cs="Times New Roman"/>
                <w:sz w:val="24"/>
                <w:szCs w:val="24"/>
              </w:rPr>
              <w:t xml:space="preserve"> the level at which mosquitoes enter households </w:t>
            </w:r>
          </w:p>
        </w:tc>
        <w:tc>
          <w:tcPr>
            <w:tcW w:w="1114" w:type="pct"/>
          </w:tcPr>
          <w:p w:rsidR="00DE17AC" w:rsidRDefault="00DE17AC" w:rsidP="00070955">
            <w:pPr>
              <w:jc w:val="center"/>
            </w:pPr>
            <w:r w:rsidRPr="007C37F2">
              <w:rPr>
                <w:rFonts w:ascii="Times New Roman" w:hAnsi="Times New Roman" w:cs="Times New Roman"/>
                <w:b/>
                <w:sz w:val="24"/>
                <w:szCs w:val="24"/>
                <w:u w:val="single"/>
              </w:rPr>
              <w:t>+</w:t>
            </w:r>
          </w:p>
        </w:tc>
        <w:tc>
          <w:tcPr>
            <w:tcW w:w="823"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 3</w:t>
            </w:r>
            <w:r w:rsidRPr="003855E2">
              <w:rPr>
                <w:rFonts w:ascii="Times New Roman" w:hAnsi="Times New Roman" w:cs="Times New Roman"/>
                <w:noProof/>
                <w:sz w:val="24"/>
                <w:szCs w:val="24"/>
              </w:rPr>
              <w:t>–</w:t>
            </w:r>
            <w:r>
              <w:rPr>
                <w:rFonts w:ascii="Times New Roman" w:hAnsi="Times New Roman" w:cs="Times New Roman"/>
                <w:noProof/>
                <w:sz w:val="24"/>
                <w:szCs w:val="24"/>
              </w:rPr>
              <w:t>5, 7</w:t>
            </w:r>
            <w:r w:rsidRPr="003855E2">
              <w:rPr>
                <w:rFonts w:ascii="Times New Roman" w:hAnsi="Times New Roman" w:cs="Times New Roman"/>
                <w:noProof/>
                <w:sz w:val="24"/>
                <w:szCs w:val="24"/>
              </w:rPr>
              <w:t>–</w:t>
            </w:r>
            <w:r>
              <w:rPr>
                <w:rFonts w:ascii="Times New Roman" w:hAnsi="Times New Roman" w:cs="Times New Roman"/>
                <w:noProof/>
                <w:sz w:val="24"/>
                <w:szCs w:val="24"/>
              </w:rPr>
              <w:t>9]</w:t>
            </w:r>
          </w:p>
        </w:tc>
      </w:tr>
      <w:tr w:rsidR="00DE17AC" w:rsidRPr="002103DB" w:rsidTr="006578A4">
        <w:trPr>
          <w:trHeight w:val="113"/>
        </w:trPr>
        <w:tc>
          <w:tcPr>
            <w:tcW w:w="1473" w:type="pct"/>
            <w:tcBorders>
              <w:bottom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Roof materials</w:t>
            </w:r>
          </w:p>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p>
        </w:tc>
        <w:tc>
          <w:tcPr>
            <w:tcW w:w="1591" w:type="pct"/>
            <w:tcBorders>
              <w:bottom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Determine</w:t>
            </w:r>
            <w:r>
              <w:rPr>
                <w:rFonts w:ascii="Times New Roman" w:eastAsia="Times New Roman" w:hAnsi="Times New Roman" w:cs="Times New Roman"/>
                <w:sz w:val="24"/>
                <w:szCs w:val="24"/>
              </w:rPr>
              <w:t>s</w:t>
            </w:r>
            <w:r w:rsidRPr="002103DB">
              <w:rPr>
                <w:rFonts w:ascii="Times New Roman" w:eastAsia="Times New Roman" w:hAnsi="Times New Roman" w:cs="Times New Roman"/>
                <w:sz w:val="24"/>
                <w:szCs w:val="24"/>
              </w:rPr>
              <w:t xml:space="preserve"> the suitability of indoor resting sites for mosquitoes</w:t>
            </w:r>
          </w:p>
        </w:tc>
        <w:tc>
          <w:tcPr>
            <w:tcW w:w="1114" w:type="pct"/>
            <w:tcBorders>
              <w:bottom w:val="nil"/>
            </w:tcBorders>
          </w:tcPr>
          <w:p w:rsidR="00DE17AC" w:rsidRDefault="00DE17AC" w:rsidP="00070955">
            <w:pPr>
              <w:jc w:val="center"/>
            </w:pPr>
            <w:r w:rsidRPr="007C37F2">
              <w:rPr>
                <w:rFonts w:ascii="Times New Roman" w:hAnsi="Times New Roman" w:cs="Times New Roman"/>
                <w:b/>
                <w:sz w:val="24"/>
                <w:szCs w:val="24"/>
                <w:u w:val="single"/>
              </w:rPr>
              <w:t>+</w:t>
            </w:r>
          </w:p>
        </w:tc>
        <w:tc>
          <w:tcPr>
            <w:tcW w:w="823" w:type="pct"/>
            <w:tcBorders>
              <w:bottom w:val="nil"/>
            </w:tcBorders>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sidRPr="002103DB">
              <w:rPr>
                <w:rFonts w:ascii="Times New Roman" w:hAnsi="Times New Roman" w:cs="Times New Roman"/>
                <w:sz w:val="24"/>
                <w:szCs w:val="24"/>
              </w:rPr>
              <w:fldChar w:fldCharType="begin" w:fldLock="1"/>
            </w:r>
            <w:r w:rsidR="00946D78">
              <w:rPr>
                <w:rFonts w:ascii="Times New Roman" w:hAnsi="Times New Roman" w:cs="Times New Roman"/>
                <w:sz w:val="24"/>
                <w:szCs w:val="24"/>
              </w:rPr>
              <w:instrText>ADDIN CSL_CITATION {"citationItems":[{"id":"ITEM-1","itemData":{"DOI":"10.3390/tropicalmed4040123","ISSN":"24146366","abstract":"Our world is rapidly urbanizing. According to the United Nations, between 1990 and 2015, the percent of the world's population living in urban areas grew from 43% to 54%. Estimates suggest that this trend will continue and that over 68% of the world's population will call cities home by 2050, with the majority of urbanization occurring in African countries. This urbanization is already having a profound effect on global health and could significantly impact the epidemiology of infectious diseases. A better understanding of infectious disease risk factors specific to urban settings is needed to plan for and mitigate against future urban outbreaks. We conducted a systematic literature review of the Web of Science and PubMed databases to assess the risk factors for infectious diseases in the urban environments of sub-Saharan Africa. A search combining keywords associated with cities, migration, African countries, infectious disease, and risk were used to identify relevant studies. Original research and meta-analyses published between 2004 and 2019 investigating geographical and behavioral risk factors, changing disease distributions, or control programs were included in the study. The search yielded 3610 papers, and 106 met the criteria for inclusion in the analysis. Papers were categorized according to risk factors, geographic area, and study type. The papers covered 31 countries in sub-Saharan Africa with East Africa being the most represented sub-region. Malaria and HIV were the most frequent disease focuses of the studies. The results of this work can inform public health policy as it relates to capacity building and health systems strengthening in rapidly urbanizing areas, as well as highlight knowledge gaps that warrant additional research.","author":[{"dropping-particle":"","family":"Boyce","given":"Matthew R.","non-dropping-particle":"","parse-names":false,"suffix":""},{"dropping-particle":"","family":"Katz","given":"Rebecca","non-dropping-particle":"","parse-names":false,"suffix":""},{"dropping-particle":"","family":"Standley","given":"Claire J.","non-dropping-particle":"","parse-names":false,"suffix":""}],"container-title":"Tropical Medicine and Infectious Disease","id":"ITEM-1","issue":"4","issued":{"date-parts":[["2019"]]},"title":"Risk factors for infectious diseases in urban environments of sub-Saharan Africa: A systematic review and critical appraisal of evidence","type":"article-journal","volume":"4"},"uris":["http://www.mendeley.com/documents/?uuid=f911a910-42cf-4bc7-88b8-da2a8da61d5e"]},{"id":"ITEM-2","itemData":{"DOI":"10.4269/ajtmh.18-0456","ISSN":"14761645","PMID":"32815497","abstract":"By sustaining transmission or causing malaria outbreaks, imported malaria undermines malaria elimination efforts. Few studies have examined the impact of travel on malaria epidemiology. We conducted a literature review and meta-analysis of studies investigating travel as a risk factor for malaria infection in sub-Saharan Africa using PubMed. We identified 22 studies and calculated a random-effects meta-analysis pooled odds ratio (OR) of 3.77 (95% CI: 2.49-5.70), indicating that travel is a significant risk factor for malaria infection. Odds ratios were particularly high in urban locations when travel was to rural areas, to more endemic/high transmission areas, and in young children. Although there was substantial heterogeneity in the magnitude of association across the studies, the pooled estimate and directional consistency support travel as an important risk factor for malaria infection.","author":[{"dropping-particle":"","family":"Ahmed","given":"Sundus","non-dropping-particle":"","parse-names":false,"suffix":""},{"dropping-particle":"","family":"Reithinger","given":"Richard","non-dropping-particle":"","parse-names":false,"suffix":""},{"dropping-particle":"","family":"Kaptoge","given":"Stephen K.","non-dropping-particle":"","parse-names":false,"suffix":""},{"dropping-particle":"","family":"Ngondi","given":"Jeremiah M.","non-dropping-particle":"","parse-names":false,"suffix":""}],"container-title":"American Journal of Tropical Medicine and Hygiene","id":"ITEM-2","issue":"4","issued":{"date-parts":[["2020"]]},"page":"1380-1387","title":"Travel is a key risk factor for malaria transmission in pre-elimination settings in Sub-Saharan Africa: A review of the literature and meta-analysis","type":"article-journal","volume":"103"},"uris":["http://www.mendeley.com/documents/?uuid=23870082-763d-4f74-9cc3-4620078c40b7"]},{"id":"ITEM-3","itemData":{"DOI":"10.3390/ijerph17238829","ISSN":"16604601","PMID":"33261060","abstract":"Background/Purpose: Globally, anaemia is a severe public health condition affecting over 24% of the world’s population. Children under five years old and pregnant women are the most vulnerable to this disease. This scoping review aimed to evaluate studies that used classical statistical regression methods on nationally representative health survey data to identify the individual socioeconomic, demographic and contextual risk factors associated with developing anaemia among children under five years of age in sub-Saharan Africa (SSA). Methods/Design: The reporting pattern followed the Preferred Reporting Items for Systematic Reviews and Meta-Analyses extension for Scoping Reviews (PRISMA-ScR) guidelines. The following databases were searched: MEDLINE, EMBASE (OVID platform), Web of Science, PUBMED, Cumulative Index to Nursing and Allied Health Literature (CINAHL), PsycINFO, Scopus, Cochrane library, African Journal of online (AJOL), Google Scholar and Measure DHS. Results: The review identified 20 relevant studies and the risk factors for anaemia were classified as child-related, parental/household-related and community-or area-related factors. The risk factors for anaemia identified included age, birth order, sex, comorbidities (such as fever, diarrhoea and acute respiratory infection), malnutrition or stunting, maternal education, maternal age, mother’s anaemia status, household wealth and place of residence. Conclusion: The outcome of this review is of significant value for health policy and planners to enable them to make informed decision that will correct any imbalances in anaemia across socioeconomic, demographic and contextual characteristics, with the view of making efficient distributions of health interventions.","author":[{"dropping-particle":"","family":"Obasohan","given":"Phillips Edomwonyi","non-dropping-particle":"","parse-names":false,"suffix":""},{"dropping-particle":"","family":"Walters","given":"Stephen J.","non-dropping-particle":"","parse-names":false,"suffix":""},{"dropping-particle":"","family":"Jacques","given":"Richard","non-dropping-particle":"","parse-names":false,"suffix":""},{"dropping-particle":"","family":"Khatab","given":"Khaled","non-dropping-particle":"","parse-names":false,"suffix":""}],"container-title":"International Journal of Environmental Research and Public Health","id":"ITEM-3","issue":"23","issued":{"date-parts":[["2020"]]},"page":"1-20","title":"A scoping review of the risk factors associated with anaemia among children under five years in sub-Saharan African countries","type":"article-journal","volume":"17"},"uris":["http://www.mendeley.com/documents/?uuid=682b4a69-d661-4a1b-a718-13ae6089ee67"]},{"id":"ITEM-4","itemData":{"DOI":"10.1371/journal.pone.0211205","ISBN":"1111111111","ISSN":"19326203","PMID":"30677102","abstract":"Background A clear understanding of the effects of housing structure, education, occupation, income, and wealth on malaria can help to better design socioeconomic interventions to control the disease. This literature review summarizes the relationship of housing structure, educational level, occupation, income, and wealth with the epidemiology of malaria in sub-Saharan Africa (SSA). Methods A systematic review and meta-analysis was conducted following the preferred reporting items for systematic reviews and meta-analyses guidelines. The protocol for this study is registered in PROSPERO (ID=CRD42017056070), an international database of prospectively registered systematic reviews. On January 16, 2016, available literature was searched in PubMed, Embase, CINAHL, and Cochrane Library. All but case studies, which reported prevalence or incidence of Plasmodium infection stratified by socioeconomic status among individuals living in SSA, were included without any limits. Odds Ratio (OR) and Relative Risk (RR), together with 95% CI and p-values were used as effect measures. Heterogeneity was assessed using chi-square, Moran’s I2, and tau2 tests. Fixed (I2&lt;30%), random (I230%) or log-linear dose-response model was used to estimate the summary OR or RR. Results After removing duplicates and screening of titles, abstracts, and full text, 84 articles were found eligible for systematic review, and 75 of them were included in the meta-analyses. Fifty-seven studies were cross-sectional, 12 were prospective cohort, 10 were case-control, and five were randomized control trials. The odds of Plasmodium infection increased among individuals who were living in poor quality houses (OR 2.13, 95% CI 1.56–3.23, I2 = 27.7), were uneducated (OR 1.36, 95% CI 1.19–1.54, I2 = 72.4.0%), and were farmers by occupation (OR 1.48, 95% CI 1.11–1.85, I2 = 0.0%) [p&lt;0.01 for all]. The odds of Plasmodium infection also increased with a decrease in the income (OR 1.02, 95% CI 1.01–1.03, tau2&lt;0.001), and wealth index of individuals (OR 1.25, 95% CI 1.18–1.35, tau2 = 0.028) [p&lt;0.001 for both]. Longitudinal studies also showed an increased risk of Plasmodium infection among individuals who were living in poor quality houses (RR 1.86, 95% CI 1.47–2.25, I2 = 0.0%), were uneducated (OR 1.27, 1.03–1.50, I2 = 0.0%), and were farmers (OR 1.36, 1.18–1.58) [p&lt;0.01 for all]. Conclusions Lack of education, low income, low wealth, living in poorly constructed houses, and having an occupation in farming may …","author":[{"dropping-particle":"","family":"Degarege","given":"Abraham","non-dropping-particle":"","parse-names":false,"suffix":""},{"dropping-particle":"","family":"Fennie","given":"Kristopher","non-dropping-particle":"","parse-names":false,"suffix":""},{"dropping-particle":"","family":"Degarege","given":"Dawit","non-dropping-particle":"","parse-names":false,"suffix":""},{"dropping-particle":"","family":"Chennupati","given":"Shasank","non-dropping-particle":"","parse-names":false,"suffix":""},{"dropping-particle":"","family":"Madhivanan","given":"Purnima","non-dropping-particle":"","parse-names":false,"suffix":""}],"container-title":"PLoS ONE","id":"ITEM-4","issue":"1","issued":{"date-parts":[["2019"]]},"page":"1-26","title":"Improving socioeconomic status may reduce the burden of malaria in sub Saharan Africa: A systematic review and meta-analysis","type":"article-journal","volume":"14"},"uris":["http://www.mendeley.com/documents/?uuid=f20a3eb8-bdf8-4349-9e91-48a8bf1553a6"]},{"id":"ITEM-5","itemData":{"abstract":"Stunting, or significantly impaired growth, threatens almost 25% of children around the world. Here’s a look at stunting and its impact across generations.","author":[{"dropping-particle":"","family":"Vilcins","given":"Dwan","non-dropping-particle":"","parse-names":false,"suffix":""},{"dropping-particle":"","family":"Sly","given":"Peter D","non-dropping-particle":"","parse-names":false,"suffix":""},{"dropping-particle":"","family":"Jagals","given":"Paul","non-dropping-particle":"","parse-names":false,"suffix":""}],"container-title":"Annals of Global Health","id":"ITEM-5","issue":"4","issued":{"date-parts":[["2018"]]},"page":"551-562","title":"Environmental Risk Factors Associated with Child Stunting: A Systematic Review of the Literature","type":"article-journal","volume":"84"},"uris":["http://www.mendeley.com/documents/?uuid=8a7e3a4a-c204-4349-92d3-55b2b69a0c33"]},{"id":"ITEM-6","itemData":{"DOI":"10.1002/14651858.CD013398","ISSN":"14651858","abstract":"This is a protocol for a Cochrane Review (Intervention). The objectives are as follows: Primary To assess the effects of different structural house modifications on malaria disease burden. Secondary To explore whether effects vary with level of transmission.","author":[{"dropping-particle":"","family":"Furnival-Adams","given":"Joanna","non-dropping-particle":"","parse-names":false,"suffix":""},{"dropping-particle":"","family":"Olanga","given":"Evelyn A.","non-dropping-particle":"","parse-names":false,"suffix":""},{"dropping-particle":"","family":"Napier","given":"Mark","non-dropping-particle":"","parse-names":false,"suffix":""},{"dropping-particle":"","family":"Garner","given":"Paul","non-dropping-particle":"","parse-names":false,"suffix":""}],"container-title":"Cochrane Database of Systematic Reviews","id":"ITEM-6","issue":"8","issued":{"date-parts":[["2019"]]},"title":"Housing interventions for preventing malaria","type":"article-journal","volume":"2019"},"uris":["http://www.mendeley.com/documents/?uuid=823e4b9c-a626-46b7-9490-baac908b637b"]},{"id":"ITEM-7","itemData":{"DOI":"10.1002/14651858.CD013398.pub3","ISSN":"14651858","PMID":"33471371","abstract":"Background: Despite being preventable, malaria remains an important public health problem. The World Health Organization (WHO) reports that overall progress in malaria control has plateaued for the first time since the turn of the century. Researchers and policymakers are therefore exploring alternative and supplementary malaria vector control tools. Research in 1900 indicated that modification of houses may be effective in reducing malaria: this is now being revisited, with new research now examining blocking house mosquito entry points or modifying house construction materials to reduce exposure of inhabitants to infectious bites. Objectives: To assess the effects of house modifications on malaria disease and transmission. Search methods: We searched the Cochrane Infectious Diseases Group Specialized Register; Central Register of Controlled Trials (CENTRAL), published in the Cochrane Library; MEDLINE (PubMed); Embase (OVID); Centre for Agriculture and Bioscience International (CAB) Abstracts (Web of Science); and the Latin American and Caribbean Health Science Information database (LILACS), up to 1 November 2019. We also searched the WHO International Clinical Trials Registry Platform (www.who.int/ictrp/search/en/), ClinicalTrials.gov (www.clinicaltrials.gov), and the ISRCTN registry (www.isrctn.com/) to identify ongoing trials up to the same date. Selection criteria: Randomized controlled trials, including cluster-randomized controlled trials (cRCTs), cross-over studies, and stepped-wedge designs were eligible, as were quasi-experimental trials, including controlled before-and-after studies, controlled interrupted time series, and non-randomized cross-over studies. We only considered studies reporting epidemiological outcomes (malaria case incidence, malaria infection incidence or parasite prevalence). We also summarised qualitative studies conducted alongside included studies. Data collection and analysis: Two review authors selected eligible studies, extracted data, and assessed the risk of bias. We used risk ratios (RR) to compare the effect of the intervention with the control for dichotomous data. For continuous data, we presented the mean difference; and for count and rate data, we used rate ratios. We presented all results with 95% confidence intervals (CIs). We assessed the certainty of evidence using the GRADE approach. Main results: Six cRCTs met our inclusion criteria, all conducted in sub-Saharan Africa; three randomized by household, two…","author":[{"dropping-particle":"","family":"Furnival-Adams","given":"Joanna","non-dropping-particle":"","parse-names":false,"suffix":""},{"dropping-particle":"","family":"Olanga","given":"Evelyn A.","non-dropping-particle":"","parse-names":false,"suffix":""},{"dropping-particle":"","family":"Napier","given":"Mark","non-dropping-particle":"","parse-names":false,"suffix":""},{"dropping-particle":"","family":"Garner","given":"Paul","non-dropping-particle":"","parse-names":false,"suffix":""}],"container-title":"Cochrane Database of Systematic Reviews","id":"ITEM-7","issue":"1","issued":{"date-parts":[["2021"]]},"title":"House modifications for preventing malaria","type":"article-journal","volume":"2021"},"uris":["http://www.mendeley.com/documents/?uuid=35b30687-4007-4ebf-a520-795cf6d77d17"]}],"mendeley":{"formattedCitation":"[1–7]","plainTextFormattedCitation":"[1–7]","previouslyFormattedCitation":"[1–7]"},"properties":{"noteIndex":0},"schema":"https://github.com/citation-style-language/schema/raw/master/csl-citation.json"}</w:instrText>
            </w:r>
            <w:r w:rsidRPr="002103DB">
              <w:rPr>
                <w:rFonts w:ascii="Times New Roman" w:hAnsi="Times New Roman" w:cs="Times New Roman"/>
                <w:sz w:val="24"/>
                <w:szCs w:val="24"/>
              </w:rPr>
              <w:fldChar w:fldCharType="separate"/>
            </w:r>
            <w:r w:rsidR="00946D78" w:rsidRPr="00946D78">
              <w:rPr>
                <w:rFonts w:ascii="Times New Roman" w:hAnsi="Times New Roman" w:cs="Times New Roman"/>
                <w:noProof/>
                <w:sz w:val="24"/>
                <w:szCs w:val="24"/>
              </w:rPr>
              <w:t>[1–7]</w:t>
            </w:r>
            <w:r w:rsidRPr="002103DB">
              <w:rPr>
                <w:rFonts w:ascii="Times New Roman" w:hAnsi="Times New Roman" w:cs="Times New Roman"/>
                <w:sz w:val="24"/>
                <w:szCs w:val="24"/>
              </w:rPr>
              <w:fldChar w:fldCharType="end"/>
            </w:r>
          </w:p>
        </w:tc>
      </w:tr>
      <w:tr w:rsidR="00DE17AC" w:rsidRPr="002103DB" w:rsidTr="006578A4">
        <w:trPr>
          <w:trHeight w:val="113"/>
        </w:trPr>
        <w:tc>
          <w:tcPr>
            <w:tcW w:w="1473" w:type="pct"/>
            <w:tcBorders>
              <w:top w:val="nil"/>
              <w:bottom w:val="nil"/>
            </w:tcBorders>
            <w:shd w:val="clear" w:color="auto" w:fill="auto"/>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Floor materials</w:t>
            </w:r>
          </w:p>
        </w:tc>
        <w:tc>
          <w:tcPr>
            <w:tcW w:w="1591" w:type="pct"/>
            <w:tcBorders>
              <w:top w:val="nil"/>
              <w:bottom w:val="nil"/>
            </w:tcBorders>
            <w:shd w:val="clear" w:color="auto" w:fill="auto"/>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hAnsi="Times New Roman" w:cs="Times New Roman"/>
                <w:sz w:val="24"/>
                <w:szCs w:val="24"/>
              </w:rPr>
              <w:t>Influences indoor mosquito density</w:t>
            </w:r>
          </w:p>
        </w:tc>
        <w:tc>
          <w:tcPr>
            <w:tcW w:w="1114" w:type="pct"/>
            <w:tcBorders>
              <w:top w:val="nil"/>
              <w:bottom w:val="nil"/>
            </w:tcBorders>
          </w:tcPr>
          <w:p w:rsidR="00DE17AC" w:rsidRDefault="00DE17AC" w:rsidP="00070955">
            <w:pPr>
              <w:jc w:val="center"/>
            </w:pPr>
            <w:r w:rsidRPr="007C37F2">
              <w:rPr>
                <w:rFonts w:ascii="Times New Roman" w:hAnsi="Times New Roman" w:cs="Times New Roman"/>
                <w:b/>
                <w:sz w:val="24"/>
                <w:szCs w:val="24"/>
                <w:u w:val="single"/>
              </w:rPr>
              <w:t>+</w:t>
            </w:r>
          </w:p>
        </w:tc>
        <w:tc>
          <w:tcPr>
            <w:tcW w:w="823" w:type="pct"/>
            <w:tcBorders>
              <w:top w:val="nil"/>
              <w:bottom w:val="nil"/>
            </w:tcBorders>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sidRPr="002103DB">
              <w:rPr>
                <w:rFonts w:ascii="Times New Roman" w:hAnsi="Times New Roman" w:cs="Times New Roman"/>
                <w:sz w:val="24"/>
                <w:szCs w:val="24"/>
              </w:rPr>
              <w:fldChar w:fldCharType="begin" w:fldLock="1"/>
            </w:r>
            <w:r w:rsidR="00946D78">
              <w:rPr>
                <w:rFonts w:ascii="Times New Roman" w:hAnsi="Times New Roman" w:cs="Times New Roman"/>
                <w:sz w:val="24"/>
                <w:szCs w:val="24"/>
              </w:rPr>
              <w:instrText>ADDIN CSL_CITATION {"citationItems":[{"id":"ITEM-1","itemData":{"DOI":"10.3390/tropicalmed4040123","ISSN":"24146366","abstract":"Our world is rapidly urbanizing. According to the United Nations, between 1990 and 2015, the percent of the world's population living in urban areas grew from 43% to 54%. Estimates suggest that this trend will continue and that over 68% of the world's population will call cities home by 2050, with the majority of urbanization occurring in African countries. This urbanization is already having a profound effect on global health and could significantly impact the epidemiology of infectious diseases. A better understanding of infectious disease risk factors specific to urban settings is needed to plan for and mitigate against future urban outbreaks. We conducted a systematic literature review of the Web of Science and PubMed databases to assess the risk factors for infectious diseases in the urban environments of sub-Saharan Africa. A search combining keywords associated with cities, migration, African countries, infectious disease, and risk were used to identify relevant studies. Original research and meta-analyses published between 2004 and 2019 investigating geographical and behavioral risk factors, changing disease distributions, or control programs were included in the study. The search yielded 3610 papers, and 106 met the criteria for inclusion in the analysis. Papers were categorized according to risk factors, geographic area, and study type. The papers covered 31 countries in sub-Saharan Africa with East Africa being the most represented sub-region. Malaria and HIV were the most frequent disease focuses of the studies. The results of this work can inform public health policy as it relates to capacity building and health systems strengthening in rapidly urbanizing areas, as well as highlight knowledge gaps that warrant additional research.","author":[{"dropping-particle":"","family":"Boyce","given":"Matthew R.","non-dropping-particle":"","parse-names":false,"suffix":""},{"dropping-particle":"","family":"Katz","given":"Rebecca","non-dropping-particle":"","parse-names":false,"suffix":""},{"dropping-particle":"","family":"Standley","given":"Claire J.","non-dropping-particle":"","parse-names":false,"suffix":""}],"container-title":"Tropical Medicine and Infectious Disease","id":"ITEM-1","issue":"4","issued":{"date-parts":[["2019"]]},"title":"Risk factors for infectious diseases in urban environments of sub-Saharan Africa: A systematic review and critical appraisal of evidence","type":"article-journal","volume":"4"},"uris":["http://www.mendeley.com/documents/?uuid=f911a910-42cf-4bc7-88b8-da2a8da61d5e"]},{"id":"ITEM-2","itemData":{"DOI":"10.4269/ajtmh.18-0456","ISSN":"14761645","PMID":"32815497","abstract":"By sustaining transmission or causing malaria outbreaks, imported malaria undermines malaria elimination efforts. Few studies have examined the impact of travel on malaria epidemiology. We conducted a literature review and meta-analysis of studies investigating travel as a risk factor for malaria infection in sub-Saharan Africa using PubMed. We identified 22 studies and calculated a random-effects meta-analysis pooled odds ratio (OR) of 3.77 (95% CI: 2.49-5.70), indicating that travel is a significant risk factor for malaria infection. Odds ratios were particularly high in urban locations when travel was to rural areas, to more endemic/high transmission areas, and in young children. Although there was substantial heterogeneity in the magnitude of association across the studies, the pooled estimate and directional consistency support travel as an important risk factor for malaria infection.","author":[{"dropping-particle":"","family":"Ahmed","given":"Sundus","non-dropping-particle":"","parse-names":false,"suffix":""},{"dropping-particle":"","family":"Reithinger","given":"Richard","non-dropping-particle":"","parse-names":false,"suffix":""},{"dropping-particle":"","family":"Kaptoge","given":"Stephen K.","non-dropping-particle":"","parse-names":false,"suffix":""},{"dropping-particle":"","family":"Ngondi","given":"Jeremiah M.","non-dropping-particle":"","parse-names":false,"suffix":""}],"container-title":"American Journal of Tropical Medicine and Hygiene","id":"ITEM-2","issue":"4","issued":{"date-parts":[["2020"]]},"page":"1380-1387","title":"Travel is a key risk factor for malaria transmission in pre-elimination settings in Sub-Saharan Africa: A review of the literature and meta-analysis","type":"article-journal","volume":"103"},"uris":["http://www.mendeley.com/documents/?uuid=23870082-763d-4f74-9cc3-4620078c40b7"]},{"id":"ITEM-3","itemData":{"DOI":"10.3390/ijerph17238829","ISSN":"16604601","PMID":"33261060","abstract":"Background/Purpose: Globally, anaemia is a severe public health condition affecting over 24% of the world’s population. Children under five years old and pregnant women are the most vulnerable to this disease. This scoping review aimed to evaluate studies that used classical statistical regression methods on nationally representative health survey data to identify the individual socioeconomic, demographic and contextual risk factors associated with developing anaemia among children under five years of age in sub-Saharan Africa (SSA). Methods/Design: The reporting pattern followed the Preferred Reporting Items for Systematic Reviews and Meta-Analyses extension for Scoping Reviews (PRISMA-ScR) guidelines. The following databases were searched: MEDLINE, EMBASE (OVID platform), Web of Science, PUBMED, Cumulative Index to Nursing and Allied Health Literature (CINAHL), PsycINFO, Scopus, Cochrane library, African Journal of online (AJOL), Google Scholar and Measure DHS. Results: The review identified 20 relevant studies and the risk factors for anaemia were classified as child-related, parental/household-related and community-or area-related factors. The risk factors for anaemia identified included age, birth order, sex, comorbidities (such as fever, diarrhoea and acute respiratory infection), malnutrition or stunting, maternal education, maternal age, mother’s anaemia status, household wealth and place of residence. Conclusion: The outcome of this review is of significant value for health policy and planners to enable them to make informed decision that will correct any imbalances in anaemia across socioeconomic, demographic and contextual characteristics, with the view of making efficient distributions of health interventions.","author":[{"dropping-particle":"","family":"Obasohan","given":"Phillips Edomwonyi","non-dropping-particle":"","parse-names":false,"suffix":""},{"dropping-particle":"","family":"Walters","given":"Stephen J.","non-dropping-particle":"","parse-names":false,"suffix":""},{"dropping-particle":"","family":"Jacques","given":"Richard","non-dropping-particle":"","parse-names":false,"suffix":""},{"dropping-particle":"","family":"Khatab","given":"Khaled","non-dropping-particle":"","parse-names":false,"suffix":""}],"container-title":"International Journal of Environmental Research and Public Health","id":"ITEM-3","issue":"23","issued":{"date-parts":[["2020"]]},"page":"1-20","title":"A scoping review of the risk factors associated with anaemia among children under five years in sub-Saharan African countries","type":"article-journal","volume":"17"},"uris":["http://www.mendeley.com/documents/?uuid=682b4a69-d661-4a1b-a718-13ae6089ee67"]},{"id":"ITEM-4","itemData":{"DOI":"10.1371/journal.pone.0211205","ISBN":"1111111111","ISSN":"19326203","PMID":"30677102","abstract":"Background A clear understanding of the effects of housing structure, education, occupation, income, and wealth on malaria can help to better design socioeconomic interventions to control the disease. This literature review summarizes the relationship of housing structure, educational level, occupation, income, and wealth with the epidemiology of malaria in sub-Saharan Africa (SSA). Methods A systematic review and meta-analysis was conducted following the preferred reporting items for systematic reviews and meta-analyses guidelines. The protocol for this study is registered in PROSPERO (ID=CRD42017056070), an international database of prospectively registered systematic reviews. On January 16, 2016, available literature was searched in PubMed, Embase, CINAHL, and Cochrane Library. All but case studies, which reported prevalence or incidence of Plasmodium infection stratified by socioeconomic status among individuals living in SSA, were included without any limits. Odds Ratio (OR) and Relative Risk (RR), together with 95% CI and p-values were used as effect measures. Heterogeneity was assessed using chi-square, Moran’s I2, and tau2 tests. Fixed (I2&lt;30%), random (I230%) or log-linear dose-response model was used to estimate the summary OR or RR. Results After removing duplicates and screening of titles, abstracts, and full text, 84 articles were found eligible for systematic review, and 75 of them were included in the meta-analyses. Fifty-seven studies were cross-sectional, 12 were prospective cohort, 10 were case-control, and five were randomized control trials. The odds of Plasmodium infection increased among individuals who were living in poor quality houses (OR 2.13, 95% CI 1.56–3.23, I2 = 27.7), were uneducated (OR 1.36, 95% CI 1.19–1.54, I2 = 72.4.0%), and were farmers by occupation (OR 1.48, 95% CI 1.11–1.85, I2 = 0.0%) [p&lt;0.01 for all]. The odds of Plasmodium infection also increased with a decrease in the income (OR 1.02, 95% CI 1.01–1.03, tau2&lt;0.001), and wealth index of individuals (OR 1.25, 95% CI 1.18–1.35, tau2 = 0.028) [p&lt;0.001 for both]. Longitudinal studies also showed an increased risk of Plasmodium infection among individuals who were living in poor quality houses (RR 1.86, 95% CI 1.47–2.25, I2 = 0.0%), were uneducated (OR 1.27, 1.03–1.50, I2 = 0.0%), and were farmers (OR 1.36, 1.18–1.58) [p&lt;0.01 for all]. Conclusions Lack of education, low income, low wealth, living in poorly constructed houses, and having an occupation in farming may …","author":[{"dropping-particle":"","family":"Degarege","given":"Abraham","non-dropping-particle":"","parse-names":false,"suffix":""},{"dropping-particle":"","family":"Fennie","given":"Kristopher","non-dropping-particle":"","parse-names":false,"suffix":""},{"dropping-particle":"","family":"Degarege","given":"Dawit","non-dropping-particle":"","parse-names":false,"suffix":""},{"dropping-particle":"","family":"Chennupati","given":"Shasank","non-dropping-particle":"","parse-names":false,"suffix":""},{"dropping-particle":"","family":"Madhivanan","given":"Purnima","non-dropping-particle":"","parse-names":false,"suffix":""}],"container-title":"PLoS ONE","id":"ITEM-4","issue":"1","issued":{"date-parts":[["2019"]]},"page":"1-26","title":"Improving socioeconomic status may reduce the burden of malaria in sub Saharan Africa: A systematic review and meta-analysis","type":"article-journal","volume":"14"},"uris":["http://www.mendeley.com/documents/?uuid=f20a3eb8-bdf8-4349-9e91-48a8bf1553a6"]},{"id":"ITEM-5","itemData":{"abstract":"Stunting, or significantly impaired growth, threatens almost 25% of children around the world. Here’s a look at stunting and its impact across generations.","author":[{"dropping-particle":"","family":"Vilcins","given":"Dwan","non-dropping-particle":"","parse-names":false,"suffix":""},{"dropping-particle":"","family":"Sly","given":"Peter D","non-dropping-particle":"","parse-names":false,"suffix":""},{"dropping-particle":"","family":"Jagals","given":"Paul","non-dropping-particle":"","parse-names":false,"suffix":""}],"container-title":"Annals of Global Health","id":"ITEM-5","issue":"4","issued":{"date-parts":[["2018"]]},"page":"551-562","title":"Environmental Risk Factors Associated with Child Stunting: A Systematic Review of the Literature","type":"article-journal","volume":"84"},"uris":["http://www.mendeley.com/documents/?uuid=8a7e3a4a-c204-4349-92d3-55b2b69a0c33"]},{"id":"ITEM-6","itemData":{"DOI":"10.1002/14651858.CD013398","ISSN":"14651858","abstract":"This is a protocol for a Cochrane Review (Intervention). The objectives are as follows: Primary To assess the effects of different structural house modifications on malaria disease burden. Secondary To explore whether effects vary with level of transmission.","author":[{"dropping-particle":"","family":"Furnival-Adams","given":"Joanna","non-dropping-particle":"","parse-names":false,"suffix":""},{"dropping-particle":"","family":"Olanga","given":"Evelyn A.","non-dropping-particle":"","parse-names":false,"suffix":""},{"dropping-particle":"","family":"Napier","given":"Mark","non-dropping-particle":"","parse-names":false,"suffix":""},{"dropping-particle":"","family":"Garner","given":"Paul","non-dropping-particle":"","parse-names":false,"suffix":""}],"container-title":"Cochrane Database of Systematic Reviews","id":"ITEM-6","issue":"8","issued":{"date-parts":[["2019"]]},"title":"Housing interventions for preventing malaria","type":"article-journal","volume":"2019"},"uris":["http://www.mendeley.com/documents/?uuid=823e4b9c-a626-46b7-9490-baac908b637b"]},{"id":"ITEM-7","itemData":{"DOI":"10.1002/14651858.CD013398.pub3","ISSN":"14651858","PMID":"33471371","abstract":"Background: Despite being preventable, malaria remains an important public health problem. The World Health Organization (WHO) reports that overall progress in malaria control has plateaued for the first time since the turn of the century. Researchers and policymakers are therefore exploring alternative and supplementary malaria vector control tools. Research in 1900 indicated that modification of houses may be effective in reducing malaria: this is now being revisited, with new research now examining blocking house mosquito entry points or modifying house construction materials to reduce exposure of inhabitants to infectious bites. Objectives: To assess the effects of house modifications on malaria disease and transmission. Search methods: We searched the Cochrane Infectious Diseases Group Specialized Register; Central Register of Controlled Trials (CENTRAL), published in the Cochrane Library; MEDLINE (PubMed); Embase (OVID); Centre for Agriculture and Bioscience International (CAB) Abstracts (Web of Science); and the Latin American and Caribbean Health Science Information database (LILACS), up to 1 November 2019. We also searched the WHO International Clinical Trials Registry Platform (www.who.int/ictrp/search/en/), ClinicalTrials.gov (www.clinicaltrials.gov), and the ISRCTN registry (www.isrctn.com/) to identify ongoing trials up to the same date. Selection criteria: Randomized controlled trials, including cluster-randomized controlled trials (cRCTs), cross-over studies, and stepped-wedge designs were eligible, as were quasi-experimental trials, including controlled before-and-after studies, controlled interrupted time series, and non-randomized cross-over studies. We only considered studies reporting epidemiological outcomes (malaria case incidence, malaria infection incidence or parasite prevalence). We also summarised qualitative studies conducted alongside included studies. Data collection and analysis: Two review authors selected eligible studies, extracted data, and assessed the risk of bias. We used risk ratios (RR) to compare the effect of the intervention with the control for dichotomous data. For continuous data, we presented the mean difference; and for count and rate data, we used rate ratios. We presented all results with 95% confidence intervals (CIs). We assessed the certainty of evidence using the GRADE approach. Main results: Six cRCTs met our inclusion criteria, all conducted in sub-Saharan Africa; three randomized by household, two…","author":[{"dropping-particle":"","family":"Furnival-Adams","given":"Joanna","non-dropping-particle":"","parse-names":false,"suffix":""},{"dropping-particle":"","family":"Olanga","given":"Evelyn A.","non-dropping-particle":"","parse-names":false,"suffix":""},{"dropping-particle":"","family":"Napier","given":"Mark","non-dropping-particle":"","parse-names":false,"suffix":""},{"dropping-particle":"","family":"Garner","given":"Paul","non-dropping-particle":"","parse-names":false,"suffix":""}],"container-title":"Cochrane Database of Systematic Reviews","id":"ITEM-7","issue":"1","issued":{"date-parts":[["2021"]]},"title":"House modifications for preventing malaria","type":"article-journal","volume":"2021"},"uris":["http://www.mendeley.com/documents/?uuid=35b30687-4007-4ebf-a520-795cf6d77d17"]}],"mendeley":{"formattedCitation":"[1–7]","plainTextFormattedCitation":"[1–7]","previouslyFormattedCitation":"[1–7]"},"properties":{"noteIndex":0},"schema":"https://github.com/citation-style-language/schema/raw/master/csl-citation.json"}</w:instrText>
            </w:r>
            <w:r w:rsidRPr="002103DB">
              <w:rPr>
                <w:rFonts w:ascii="Times New Roman" w:hAnsi="Times New Roman" w:cs="Times New Roman"/>
                <w:sz w:val="24"/>
                <w:szCs w:val="24"/>
              </w:rPr>
              <w:fldChar w:fldCharType="separate"/>
            </w:r>
            <w:r w:rsidR="00946D78" w:rsidRPr="00946D78">
              <w:rPr>
                <w:rFonts w:ascii="Times New Roman" w:hAnsi="Times New Roman" w:cs="Times New Roman"/>
                <w:noProof/>
                <w:sz w:val="24"/>
                <w:szCs w:val="24"/>
              </w:rPr>
              <w:t>[1–7]</w:t>
            </w:r>
            <w:r w:rsidRPr="002103DB">
              <w:rPr>
                <w:rFonts w:ascii="Times New Roman" w:hAnsi="Times New Roman" w:cs="Times New Roman"/>
                <w:sz w:val="24"/>
                <w:szCs w:val="24"/>
              </w:rPr>
              <w:fldChar w:fldCharType="end"/>
            </w:r>
          </w:p>
        </w:tc>
      </w:tr>
      <w:tr w:rsidR="00DE17AC" w:rsidRPr="002103DB" w:rsidTr="006578A4">
        <w:trPr>
          <w:trHeight w:val="481"/>
        </w:trPr>
        <w:tc>
          <w:tcPr>
            <w:tcW w:w="1473" w:type="pct"/>
            <w:tcBorders>
              <w:top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Sanitation</w:t>
            </w:r>
          </w:p>
        </w:tc>
        <w:tc>
          <w:tcPr>
            <w:tcW w:w="1591" w:type="pct"/>
            <w:tcBorders>
              <w:top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Determine</w:t>
            </w:r>
            <w:r>
              <w:rPr>
                <w:rFonts w:ascii="Times New Roman" w:eastAsia="Times New Roman" w:hAnsi="Times New Roman" w:cs="Times New Roman"/>
                <w:sz w:val="24"/>
                <w:szCs w:val="24"/>
              </w:rPr>
              <w:t>s</w:t>
            </w:r>
            <w:r w:rsidRPr="002103DB">
              <w:rPr>
                <w:rFonts w:ascii="Times New Roman" w:eastAsia="Times New Roman" w:hAnsi="Times New Roman" w:cs="Times New Roman"/>
                <w:sz w:val="24"/>
                <w:szCs w:val="24"/>
              </w:rPr>
              <w:t xml:space="preserve"> the nature of breeding sites for mosquitoes around households</w:t>
            </w:r>
          </w:p>
        </w:tc>
        <w:tc>
          <w:tcPr>
            <w:tcW w:w="1114" w:type="pct"/>
            <w:tcBorders>
              <w:top w:val="nil"/>
            </w:tcBorders>
          </w:tcPr>
          <w:p w:rsidR="00DE17AC" w:rsidRDefault="00DE17AC" w:rsidP="00070955">
            <w:pPr>
              <w:jc w:val="center"/>
            </w:pPr>
            <w:r w:rsidRPr="007C37F2">
              <w:rPr>
                <w:rFonts w:ascii="Times New Roman" w:hAnsi="Times New Roman" w:cs="Times New Roman"/>
                <w:b/>
                <w:sz w:val="24"/>
                <w:szCs w:val="24"/>
                <w:u w:val="single"/>
              </w:rPr>
              <w:t>+</w:t>
            </w:r>
          </w:p>
        </w:tc>
        <w:tc>
          <w:tcPr>
            <w:tcW w:w="823" w:type="pct"/>
            <w:tcBorders>
              <w:top w:val="nil"/>
            </w:tcBorders>
            <w:shd w:val="clear" w:color="auto" w:fill="auto"/>
            <w:hideMark/>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 3, 4, 8]</w:t>
            </w:r>
          </w:p>
        </w:tc>
      </w:tr>
      <w:tr w:rsidR="00DE17AC" w:rsidRPr="002103DB" w:rsidTr="006578A4">
        <w:trPr>
          <w:trHeight w:val="718"/>
        </w:trPr>
        <w:tc>
          <w:tcPr>
            <w:tcW w:w="1473" w:type="pct"/>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 xml:space="preserve">Drinking water sources </w:t>
            </w:r>
          </w:p>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p>
        </w:tc>
        <w:tc>
          <w:tcPr>
            <w:tcW w:w="1591" w:type="pct"/>
            <w:shd w:val="clear" w:color="auto" w:fill="auto"/>
            <w:hideMark/>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 xml:space="preserve">Influences the nature of </w:t>
            </w:r>
            <w:proofErr w:type="spellStart"/>
            <w:r w:rsidRPr="002103DB">
              <w:rPr>
                <w:rFonts w:ascii="Times New Roman" w:eastAsia="Times New Roman" w:hAnsi="Times New Roman" w:cs="Times New Roman"/>
                <w:sz w:val="24"/>
                <w:szCs w:val="24"/>
              </w:rPr>
              <w:t>ovi</w:t>
            </w:r>
            <w:proofErr w:type="spellEnd"/>
            <w:r>
              <w:rPr>
                <w:rFonts w:ascii="Times New Roman" w:eastAsia="Times New Roman" w:hAnsi="Times New Roman" w:cs="Times New Roman"/>
                <w:sz w:val="24"/>
                <w:szCs w:val="24"/>
              </w:rPr>
              <w:t>-</w:t>
            </w:r>
            <w:r w:rsidRPr="002103DB">
              <w:rPr>
                <w:rFonts w:ascii="Times New Roman" w:eastAsia="Times New Roman" w:hAnsi="Times New Roman" w:cs="Times New Roman"/>
                <w:sz w:val="24"/>
                <w:szCs w:val="24"/>
              </w:rPr>
              <w:t>position sites and the time required by vectors to locate them.</w:t>
            </w:r>
          </w:p>
        </w:tc>
        <w:tc>
          <w:tcPr>
            <w:tcW w:w="1114" w:type="pct"/>
          </w:tcPr>
          <w:p w:rsidR="00DE17AC" w:rsidRDefault="00DE17AC" w:rsidP="00070955">
            <w:pPr>
              <w:jc w:val="center"/>
            </w:pPr>
            <w:r w:rsidRPr="007C37F2">
              <w:rPr>
                <w:rFonts w:ascii="Times New Roman" w:hAnsi="Times New Roman" w:cs="Times New Roman"/>
                <w:b/>
                <w:sz w:val="24"/>
                <w:szCs w:val="24"/>
                <w:u w:val="single"/>
              </w:rPr>
              <w:t>+</w:t>
            </w:r>
          </w:p>
        </w:tc>
        <w:tc>
          <w:tcPr>
            <w:tcW w:w="823" w:type="pct"/>
            <w:shd w:val="clear" w:color="auto" w:fill="auto"/>
            <w:hideMark/>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 3, 4, 8]</w:t>
            </w:r>
          </w:p>
        </w:tc>
      </w:tr>
      <w:tr w:rsidR="00DE17AC" w:rsidRPr="002103DB" w:rsidTr="006578A4">
        <w:trPr>
          <w:trHeight w:val="718"/>
        </w:trPr>
        <w:tc>
          <w:tcPr>
            <w:tcW w:w="1473" w:type="pct"/>
            <w:shd w:val="clear" w:color="auto" w:fill="auto"/>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 xml:space="preserve">Distance to water sources </w:t>
            </w:r>
          </w:p>
        </w:tc>
        <w:tc>
          <w:tcPr>
            <w:tcW w:w="1591" w:type="pct"/>
            <w:shd w:val="clear" w:color="auto" w:fill="auto"/>
          </w:tcPr>
          <w:p w:rsidR="00DE17AC" w:rsidRPr="002103DB" w:rsidRDefault="00DE17AC" w:rsidP="00070955">
            <w:pPr>
              <w:adjustRightInd w:val="0"/>
              <w:snapToGrid w:val="0"/>
              <w:spacing w:after="0" w:line="240" w:lineRule="auto"/>
              <w:contextualSpacing/>
              <w:jc w:val="both"/>
              <w:rPr>
                <w:rFonts w:ascii="Times New Roman" w:eastAsia="Times New Roman" w:hAnsi="Times New Roman" w:cs="Times New Roman"/>
                <w:sz w:val="24"/>
                <w:szCs w:val="24"/>
              </w:rPr>
            </w:pPr>
            <w:r w:rsidRPr="002103DB">
              <w:rPr>
                <w:rFonts w:ascii="Times New Roman" w:eastAsia="Times New Roman" w:hAnsi="Times New Roman" w:cs="Times New Roman"/>
                <w:sz w:val="24"/>
                <w:szCs w:val="24"/>
              </w:rPr>
              <w:t>Determine</w:t>
            </w:r>
            <w:r>
              <w:rPr>
                <w:rFonts w:ascii="Times New Roman" w:eastAsia="Times New Roman" w:hAnsi="Times New Roman" w:cs="Times New Roman"/>
                <w:sz w:val="24"/>
                <w:szCs w:val="24"/>
              </w:rPr>
              <w:t>s</w:t>
            </w:r>
            <w:r w:rsidRPr="002103DB">
              <w:rPr>
                <w:rFonts w:ascii="Times New Roman" w:eastAsia="Times New Roman" w:hAnsi="Times New Roman" w:cs="Times New Roman"/>
                <w:sz w:val="24"/>
                <w:szCs w:val="24"/>
              </w:rPr>
              <w:t xml:space="preserve"> the time taken by mosquitoes to find a suitable breeding site. </w:t>
            </w:r>
          </w:p>
        </w:tc>
        <w:tc>
          <w:tcPr>
            <w:tcW w:w="1114" w:type="pct"/>
          </w:tcPr>
          <w:p w:rsidR="00DE17AC" w:rsidRDefault="00DE17AC" w:rsidP="00070955">
            <w:pPr>
              <w:jc w:val="center"/>
            </w:pPr>
            <w:r w:rsidRPr="007C37F2">
              <w:rPr>
                <w:rFonts w:ascii="Times New Roman" w:hAnsi="Times New Roman" w:cs="Times New Roman"/>
                <w:b/>
                <w:sz w:val="24"/>
                <w:szCs w:val="24"/>
                <w:u w:val="single"/>
              </w:rPr>
              <w:t>+</w:t>
            </w:r>
          </w:p>
        </w:tc>
        <w:tc>
          <w:tcPr>
            <w:tcW w:w="823"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 3, 8]</w:t>
            </w:r>
          </w:p>
        </w:tc>
      </w:tr>
      <w:tr w:rsidR="00DE17AC" w:rsidRPr="002103DB" w:rsidTr="006578A4">
        <w:trPr>
          <w:trHeight w:val="483"/>
        </w:trPr>
        <w:tc>
          <w:tcPr>
            <w:tcW w:w="1473"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Type of cooking fuel</w:t>
            </w:r>
          </w:p>
        </w:tc>
        <w:tc>
          <w:tcPr>
            <w:tcW w:w="1591" w:type="pct"/>
            <w:shd w:val="clear" w:color="auto" w:fill="auto"/>
          </w:tcPr>
          <w:p w:rsidR="00DE17AC" w:rsidRPr="002103DB" w:rsidRDefault="00DE17AC" w:rsidP="00070955">
            <w:pPr>
              <w:adjustRightInd w:val="0"/>
              <w:snapToGrid w:val="0"/>
              <w:spacing w:after="0" w:line="240" w:lineRule="auto"/>
              <w:contextualSpacing/>
              <w:rPr>
                <w:rFonts w:ascii="Times New Roman" w:eastAsia="Times New Roman" w:hAnsi="Times New Roman" w:cs="Times New Roman"/>
                <w:sz w:val="24"/>
                <w:szCs w:val="24"/>
              </w:rPr>
            </w:pPr>
            <w:r>
              <w:rPr>
                <w:rFonts w:ascii="Times New Roman" w:hAnsi="Times New Roman" w:cs="Times New Roman"/>
                <w:sz w:val="24"/>
                <w:szCs w:val="24"/>
              </w:rPr>
              <w:t xml:space="preserve">Influences </w:t>
            </w:r>
            <w:r w:rsidRPr="002103DB">
              <w:rPr>
                <w:rFonts w:ascii="Times New Roman" w:hAnsi="Times New Roman" w:cs="Times New Roman"/>
                <w:sz w:val="24"/>
                <w:szCs w:val="24"/>
              </w:rPr>
              <w:t>indoor mosquito density,</w:t>
            </w:r>
            <w:r>
              <w:rPr>
                <w:rFonts w:ascii="Times New Roman" w:hAnsi="Times New Roman" w:cs="Times New Roman"/>
                <w:sz w:val="24"/>
                <w:szCs w:val="24"/>
              </w:rPr>
              <w:t xml:space="preserve"> survival and biting rates</w:t>
            </w:r>
          </w:p>
        </w:tc>
        <w:tc>
          <w:tcPr>
            <w:tcW w:w="1114" w:type="pct"/>
          </w:tcPr>
          <w:p w:rsidR="00DE17AC" w:rsidRDefault="00DE17AC" w:rsidP="00070955">
            <w:pPr>
              <w:jc w:val="center"/>
            </w:pPr>
            <w:r w:rsidRPr="007C37F2">
              <w:rPr>
                <w:rFonts w:ascii="Times New Roman" w:hAnsi="Times New Roman" w:cs="Times New Roman"/>
                <w:b/>
                <w:sz w:val="24"/>
                <w:szCs w:val="24"/>
                <w:u w:val="single"/>
              </w:rPr>
              <w:t>+</w:t>
            </w:r>
          </w:p>
        </w:tc>
        <w:tc>
          <w:tcPr>
            <w:tcW w:w="823"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[3, 8]</w:t>
            </w:r>
          </w:p>
        </w:tc>
      </w:tr>
      <w:tr w:rsidR="00DE17AC" w:rsidRPr="002103DB" w:rsidTr="006578A4">
        <w:trPr>
          <w:trHeight w:val="718"/>
        </w:trPr>
        <w:tc>
          <w:tcPr>
            <w:tcW w:w="1473"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Knowledge of </w:t>
            </w:r>
            <w:r w:rsidRPr="002103DB">
              <w:rPr>
                <w:rFonts w:ascii="Times New Roman" w:hAnsi="Times New Roman" w:cs="Times New Roman"/>
                <w:sz w:val="24"/>
                <w:szCs w:val="24"/>
              </w:rPr>
              <w:t xml:space="preserve">the cause </w:t>
            </w:r>
            <w:r>
              <w:rPr>
                <w:rFonts w:ascii="Times New Roman" w:hAnsi="Times New Roman" w:cs="Times New Roman"/>
                <w:sz w:val="24"/>
                <w:szCs w:val="24"/>
              </w:rPr>
              <w:t>and prevention of malaria</w:t>
            </w:r>
          </w:p>
        </w:tc>
        <w:tc>
          <w:tcPr>
            <w:tcW w:w="1591"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sidRPr="004D1312">
              <w:rPr>
                <w:rFonts w:ascii="Times New Roman" w:hAnsi="Times New Roman" w:cs="Times New Roman"/>
                <w:sz w:val="24"/>
                <w:szCs w:val="24"/>
              </w:rPr>
              <w:t xml:space="preserve">Influences the likelihood of </w:t>
            </w:r>
            <w:proofErr w:type="spellStart"/>
            <w:r w:rsidRPr="004D1312">
              <w:rPr>
                <w:rFonts w:ascii="Times New Roman" w:hAnsi="Times New Roman" w:cs="Times New Roman"/>
                <w:sz w:val="24"/>
                <w:szCs w:val="24"/>
              </w:rPr>
              <w:t>ITN</w:t>
            </w:r>
            <w:proofErr w:type="spellEnd"/>
            <w:r w:rsidRPr="004D1312">
              <w:rPr>
                <w:rFonts w:ascii="Times New Roman" w:hAnsi="Times New Roman" w:cs="Times New Roman"/>
                <w:sz w:val="24"/>
                <w:szCs w:val="24"/>
              </w:rPr>
              <w:t xml:space="preserve"> use</w:t>
            </w:r>
            <w:r>
              <w:rPr>
                <w:rFonts w:ascii="Times New Roman" w:hAnsi="Times New Roman" w:cs="Times New Roman"/>
                <w:sz w:val="24"/>
                <w:szCs w:val="24"/>
              </w:rPr>
              <w:t xml:space="preserve"> and malaria treatment </w:t>
            </w:r>
            <w:r>
              <w:br/>
            </w:r>
          </w:p>
        </w:tc>
        <w:tc>
          <w:tcPr>
            <w:tcW w:w="1114" w:type="pct"/>
          </w:tcPr>
          <w:p w:rsidR="00DE17AC" w:rsidRDefault="00DE17AC" w:rsidP="00070955">
            <w:pPr>
              <w:jc w:val="center"/>
            </w:pPr>
            <w:r w:rsidRPr="007C37F2">
              <w:rPr>
                <w:rFonts w:ascii="Times New Roman" w:hAnsi="Times New Roman" w:cs="Times New Roman"/>
                <w:b/>
                <w:sz w:val="24"/>
                <w:szCs w:val="24"/>
                <w:u w:val="single"/>
              </w:rPr>
              <w:t>+</w:t>
            </w:r>
          </w:p>
        </w:tc>
        <w:tc>
          <w:tcPr>
            <w:tcW w:w="823" w:type="pct"/>
            <w:shd w:val="clear" w:color="auto" w:fill="auto"/>
          </w:tcPr>
          <w:p w:rsidR="00DE17AC" w:rsidRPr="002103DB"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[10]</w:t>
            </w:r>
          </w:p>
        </w:tc>
      </w:tr>
      <w:tr w:rsidR="00DE17AC" w:rsidRPr="002103DB" w:rsidTr="006578A4">
        <w:trPr>
          <w:trHeight w:val="718"/>
        </w:trPr>
        <w:tc>
          <w:tcPr>
            <w:tcW w:w="1473" w:type="pct"/>
            <w:shd w:val="clear" w:color="auto" w:fill="auto"/>
          </w:tcPr>
          <w:p w:rsidR="00DE17AC"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Livestock owned</w:t>
            </w:r>
          </w:p>
        </w:tc>
        <w:tc>
          <w:tcPr>
            <w:tcW w:w="1591" w:type="pct"/>
            <w:shd w:val="clear" w:color="auto" w:fill="auto"/>
          </w:tcPr>
          <w:p w:rsidR="00DE17AC" w:rsidRPr="004D1312" w:rsidRDefault="00103655"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May retard or divert mosquitoes from biting people</w:t>
            </w:r>
          </w:p>
        </w:tc>
        <w:tc>
          <w:tcPr>
            <w:tcW w:w="1114" w:type="pct"/>
          </w:tcPr>
          <w:p w:rsidR="00DE17AC" w:rsidRPr="007C37F2" w:rsidRDefault="00103655" w:rsidP="00070955">
            <w:pPr>
              <w:jc w:val="center"/>
              <w:rPr>
                <w:rFonts w:ascii="Times New Roman" w:hAnsi="Times New Roman" w:cs="Times New Roman"/>
                <w:b/>
                <w:sz w:val="24"/>
                <w:szCs w:val="24"/>
                <w:u w:val="single"/>
              </w:rPr>
            </w:pPr>
            <w:r w:rsidRPr="007C37F2">
              <w:rPr>
                <w:rFonts w:ascii="Times New Roman" w:hAnsi="Times New Roman" w:cs="Times New Roman"/>
                <w:b/>
                <w:sz w:val="24"/>
                <w:szCs w:val="24"/>
                <w:u w:val="single"/>
              </w:rPr>
              <w:t>+</w:t>
            </w:r>
          </w:p>
        </w:tc>
        <w:tc>
          <w:tcPr>
            <w:tcW w:w="823" w:type="pct"/>
            <w:shd w:val="clear" w:color="auto" w:fill="auto"/>
          </w:tcPr>
          <w:p w:rsidR="00DE17AC" w:rsidRDefault="00946D78"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{"citationItems":[{"id":"ITEM-1","itemData":{"DOI":"10.1186/s40249-023-01090-3","ISSN":"2049-9957","author":[{"dropping-particle":"","family":"Semakula","given":"Henry Musoke","non-dropping-particle":"","parse-names":false,"suffix":""},{"dropping-particle":"","family":"Liang","given":"Song","non-dropping-particle":"","parse-names":false,"suffix":""},{"dropping-particle":"","family":"Mukwaya","given":"Paul Isolo","non-dropping-particle":"","parse-names":false,"suffix":""},{"dropping-particle":"","family":"Mugagga","given":"Frank","non-dropping-particle":"","parse-names":false,"suffix":""},{"dropping-particle":"","family":"Swahn","given":"Monica","non-dropping-particle":"","parse-names":false,"suffix":""},{"dropping-particle":"","family":"Nseka","given":"Denis","non-dropping-particle":"","parse-names":false,"suffix":""},{"dropping-particle":"","family":"Wasswa","given":"Hannington","non-dropping-particle":"","parse-names":false,"suffix":""},{"dropping-particle":"","family":"Kayima","given":"Patrick","non-dropping-particle":"","parse-names":false,"suffix":""}],"container-title":"Infectious Diseases of Poverty","id":"ITEM-1","issued":{"date-parts":[["2023"]]},"page":"1-12","publisher":"BioMed Central","title":"Determinants of malaria infections among children in refugee settlements in Uganda. Analysis of data from Uganda malaria indicator survey, 2018-19","type":"article-journal","volume":"3"},"uris":["http://www.mendeley.com/documents/?uuid=78977b84-19a1-468f-a902-b97ff10eedb4"]},{"id":"ITEM-2","itemData":{"DOI":"10.1016/j.envsoft.2015.10.006","ISSN":"13648152","abstract":"Studies that focus on integrated modelling of household factors and the risk for malaria parasitaemia among children in sub-Saharan Africa (SSA) are scarce. By using Malaria Indicator Survey, Demographic Health Survey, AIDS Indicator Survey datasets, expert knowledge and existing literature on malaria, a Bayesian belief network (BBN) model was developed to bridge this gap. Results of sensitivity analysis indicate that drinking water sources, household wealth, nature of toilet facilities, mother's educational attainment, types of main wall, and roofing materials, were significant factors causing the largest entropy reduction in malaria parasitaemia. Cattle rearing and residence type had less influence. Model accuracy was 86.39% with an area under the receiver-operating characteristic curve of 0.82. The model's spherical payoff was 0.80 with the logarithmic and quadratic losses of 0.53 and 0.35 respectively indicating a strong predictive power. The study demonstrated how BBN modelling can be used in determining key interventions for malaria control.","author":[{"dropping-particle":"","family":"Semakula","given":"Henry Musoke","non-dropping-particle":"","parse-names":false,"suffix":""},{"dropping-particle":"","family":"Song","given":"Guobao","non-dropping-particle":"","parse-names":false,"suffix":""},{"dropping-particle":"","family":"Achuu","given":"Simon Peter","non-dropping-particle":"","parse-names":false,"suffix":""},{"dropping-particle":"","family":"Zhang","given":"Shushen","non-dropping-particle":"","parse-names":false,"suffix":""}],"container-title":"Environmental Modelling and Software","id":"ITEM-2","issued":{"date-parts":[["2016"]]},"page":"59-67","publisher":"Elsevier Ltd","title":"A Bayesian belief network modelling of household factors influencing the risk of malaria: A study of parasitaemia in children under five years of age in sub-Saharan Africa","type":"article-journal","volume":"75"},"uris":["http://www.mendeley.com/documents/?uuid=5d03817b-4d6f-4e96-b521-5e5a15c4e1d4"]},{"id":"ITEM-3","itemData":{"DOI":"10.4314/ahs.v15i3.16","ISSN":"16806905","abstract":"© 2015, Makerere University, Medical School. All rights reserved.Background: The increasing protection gaps of insecticide-treated nets and indoor-residual spraying methods against malaria have led to an emergence of residual transmission in sub-Saharan Africa and thus, supplementary strategies to control mosquitoes are urgently required. Objective: To assess household environmental resources and practices that increase or reduce malaria risk among children under-five years of age in order to identify those aspects that can be adopted to control residual transmission. Methods: Household environmental resources, practices and malaria test results were extracted from Malaria Indicators Survey datasets for Tanzania, Burundi, Malawi and Liberia with 16,747 children from 11,469 households utilised in the analysis. Logistic regressions were performed to quantify the contribution of each factor to malaria occurrence. Results: Cattle rearing reduced malaria risk between 26%-49% while rearing goats increased the risk between 26%-32%. All piped-water systems reduced malaria risk between 30%-87% (Tanzania), 48%-95% (Burundi), 67%-77% (Malawi) and 58%-73 (Liberia). Flush toilets reduced malaria risk between 47%-96%. Protected-wells increased malaria risk between 19%-44%. Interestingly, boreholes increased malaria risk between 19%-75%. Charcoal use reduced malaria risk between 11%-49%. Conclusion: Vector control options for tackling mosquitoes were revealed based on their risk levels. These included cattle rearing, installation of piped-water systems and flush toilets as well as use of smokeless fuels.","author":[{"dropping-particle":"","family":"Semakula","given":"H.M.","non-dropping-particle":"","parse-names":false,"suffix":""},{"dropping-particle":"","family":"Song","given":"G.","non-dropping-particle":"","parse-names":false,"suffix":""},{"dropping-particle":"","family":"Zhang","given":"S.","non-dropping-particle":"","parse-names":false,"suffix":""},{"dropping-particle":"","family":"Achuu","given":"S.P.","non-dropping-particle":"","parse-names":false,"suffix":""}],"container-title":"African Health Sciences","id":"ITEM-3","issue":"3","issued":{"date-parts":[["2015"]]},"title":"Potential of household environmental resources and practices in eliminating residual malaria transmission: A case study of tanzania, burundi, malawi and liberia","type":"article-journal","volume":"15"},"uris":["http://www.mendeley.com/documents/?uuid=d012e6e0-40f7-3759-8343-b1b6633db647"]}],"mendeley":{"formattedCitation":"[8–10]","plainTextFormattedCitation":"[8–10]","previouslyFormattedCitation":"[8–10]"},"properties":{"noteIndex":0},"schema":"https://github.com/citation-style-language/schema/raw/master/csl-citation.json"}</w:instrText>
            </w:r>
            <w:r>
              <w:rPr>
                <w:rFonts w:ascii="Times New Roman" w:hAnsi="Times New Roman" w:cs="Times New Roman"/>
                <w:sz w:val="24"/>
                <w:szCs w:val="24"/>
              </w:rPr>
              <w:fldChar w:fldCharType="separate"/>
            </w:r>
            <w:r w:rsidRPr="00946D78">
              <w:rPr>
                <w:rFonts w:ascii="Times New Roman" w:hAnsi="Times New Roman" w:cs="Times New Roman"/>
                <w:noProof/>
                <w:sz w:val="24"/>
                <w:szCs w:val="24"/>
              </w:rPr>
              <w:t>[8–10]</w:t>
            </w:r>
            <w:r>
              <w:rPr>
                <w:rFonts w:ascii="Times New Roman" w:hAnsi="Times New Roman" w:cs="Times New Roman"/>
                <w:sz w:val="24"/>
                <w:szCs w:val="24"/>
              </w:rPr>
              <w:fldChar w:fldCharType="end"/>
            </w:r>
          </w:p>
        </w:tc>
      </w:tr>
      <w:tr w:rsidR="00DE17AC" w:rsidRPr="002103DB" w:rsidTr="006578A4">
        <w:trPr>
          <w:trHeight w:val="718"/>
        </w:trPr>
        <w:tc>
          <w:tcPr>
            <w:tcW w:w="1473" w:type="pct"/>
            <w:shd w:val="clear" w:color="auto" w:fill="auto"/>
          </w:tcPr>
          <w:p w:rsidR="00DE17AC" w:rsidRDefault="00DE17AC"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Access to malaria information</w:t>
            </w:r>
          </w:p>
        </w:tc>
        <w:tc>
          <w:tcPr>
            <w:tcW w:w="1591" w:type="pct"/>
            <w:shd w:val="clear" w:color="auto" w:fill="auto"/>
          </w:tcPr>
          <w:p w:rsidR="00DE17AC" w:rsidRPr="004D1312" w:rsidRDefault="00103655" w:rsidP="00070955">
            <w:pPr>
              <w:adjustRightInd w:val="0"/>
              <w:snapToGrid w:val="0"/>
              <w:spacing w:after="0" w:line="240" w:lineRule="auto"/>
              <w:contextualSpacing/>
              <w:rPr>
                <w:rFonts w:ascii="Times New Roman" w:hAnsi="Times New Roman" w:cs="Times New Roman"/>
                <w:sz w:val="24"/>
                <w:szCs w:val="24"/>
              </w:rPr>
            </w:pPr>
            <w:r w:rsidRPr="004D1312">
              <w:rPr>
                <w:rFonts w:ascii="Times New Roman" w:hAnsi="Times New Roman" w:cs="Times New Roman"/>
                <w:sz w:val="24"/>
                <w:szCs w:val="24"/>
              </w:rPr>
              <w:t xml:space="preserve">Influences the likelihood of </w:t>
            </w:r>
            <w:proofErr w:type="spellStart"/>
            <w:r w:rsidRPr="004D1312">
              <w:rPr>
                <w:rFonts w:ascii="Times New Roman" w:hAnsi="Times New Roman" w:cs="Times New Roman"/>
                <w:sz w:val="24"/>
                <w:szCs w:val="24"/>
              </w:rPr>
              <w:t>ITN</w:t>
            </w:r>
            <w:proofErr w:type="spellEnd"/>
            <w:r w:rsidRPr="004D1312">
              <w:rPr>
                <w:rFonts w:ascii="Times New Roman" w:hAnsi="Times New Roman" w:cs="Times New Roman"/>
                <w:sz w:val="24"/>
                <w:szCs w:val="24"/>
              </w:rPr>
              <w:t xml:space="preserve"> use</w:t>
            </w:r>
            <w:r>
              <w:rPr>
                <w:rFonts w:ascii="Times New Roman" w:hAnsi="Times New Roman" w:cs="Times New Roman"/>
                <w:sz w:val="24"/>
                <w:szCs w:val="24"/>
              </w:rPr>
              <w:t xml:space="preserve"> and malaria treatment</w:t>
            </w:r>
          </w:p>
        </w:tc>
        <w:tc>
          <w:tcPr>
            <w:tcW w:w="1114" w:type="pct"/>
          </w:tcPr>
          <w:p w:rsidR="00DE17AC" w:rsidRPr="007C37F2" w:rsidRDefault="00103655" w:rsidP="00070955">
            <w:pPr>
              <w:jc w:val="center"/>
              <w:rPr>
                <w:rFonts w:ascii="Times New Roman" w:hAnsi="Times New Roman" w:cs="Times New Roman"/>
                <w:b/>
                <w:sz w:val="24"/>
                <w:szCs w:val="24"/>
                <w:u w:val="single"/>
              </w:rPr>
            </w:pPr>
            <w:r w:rsidRPr="007C37F2">
              <w:rPr>
                <w:rFonts w:ascii="Times New Roman" w:hAnsi="Times New Roman" w:cs="Times New Roman"/>
                <w:b/>
                <w:sz w:val="24"/>
                <w:szCs w:val="24"/>
                <w:u w:val="single"/>
              </w:rPr>
              <w:t>+</w:t>
            </w:r>
          </w:p>
        </w:tc>
        <w:tc>
          <w:tcPr>
            <w:tcW w:w="823" w:type="pct"/>
            <w:shd w:val="clear" w:color="auto" w:fill="auto"/>
          </w:tcPr>
          <w:p w:rsidR="00DE17AC" w:rsidRDefault="00946D78" w:rsidP="00070955">
            <w:pPr>
              <w:adjustRightInd w:val="0"/>
              <w:snapToGri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{"citationItems":[{"id":"ITEM-1","itemData":{"DOI":"10.1186/s40249-023-01090-3","ISSN":"2049-9957","author":[{"dropping-particle":"","family":"Semakula","given":"Henry Musoke","non-dropping-particle":"","parse-names":false,"suffix":""},{"dropping-particle":"","family":"Liang","given":"Song","non-dropping-particle":"","parse-names":false,"suffix":""},{"dropping-particle":"","family":"Mukwaya","given":"Paul Isolo","non-dropping-particle":"","parse-names":false,"suffix":""},{"dropping-particle":"","family":"Mugagga","given":"Frank","non-dropping-particle":"","parse-names":false,"suffix":""},{"dropping-particle":"","family":"Swahn","given":"Monica","non-dropping-particle":"","parse-names":false,"suffix":""},{"dropping-particle":"","family":"Nseka","given":"Denis","non-dropping-particle":"","parse-names":false,"suffix":""},{"dropping-particle":"","family":"Wasswa","given":"Hannington","non-dropping-particle":"","parse-names":false,"suffix":""},{"dropping-particle":"","family":"Kayima","given":"Patrick","non-dropping-particle":"","parse-names":false,"suffix":""}],"container-title":"Infectious Diseases of Poverty","id":"ITEM-1","issued":{"date-parts":[["2023"]]},"page":"1-12","publisher":"BioMed Central","title":"Determinants of malaria infections among children in refugee settlements in Uganda. Analysis of data from Uganda malaria indicator survey, 2018-19","type":"article-journal","volume":"3"},"uris":["http://www.mendeley.com/documents/?uuid=78977b84-19a1-468f-a902-b97ff10eedb4"]}],"mendeley":{"formattedCitation":"[8]","plainTextFormattedCitation":"[8]","previouslyFormattedCitation":"[8]"},"properties":{"noteIndex":0},"schema":"https://github.com/citation-style-language/schema/raw/master/csl-citation.json"}</w:instrText>
            </w:r>
            <w:r>
              <w:rPr>
                <w:rFonts w:ascii="Times New Roman" w:hAnsi="Times New Roman" w:cs="Times New Roman"/>
                <w:sz w:val="24"/>
                <w:szCs w:val="24"/>
              </w:rPr>
              <w:fldChar w:fldCharType="separate"/>
            </w:r>
            <w:r w:rsidRPr="00946D78">
              <w:rPr>
                <w:rFonts w:ascii="Times New Roman" w:hAnsi="Times New Roman" w:cs="Times New Roman"/>
                <w:noProof/>
                <w:sz w:val="24"/>
                <w:szCs w:val="24"/>
              </w:rPr>
              <w:t>[8]</w:t>
            </w:r>
            <w:r>
              <w:rPr>
                <w:rFonts w:ascii="Times New Roman" w:hAnsi="Times New Roman" w:cs="Times New Roman"/>
                <w:sz w:val="24"/>
                <w:szCs w:val="24"/>
              </w:rPr>
              <w:fldChar w:fldCharType="end"/>
            </w:r>
          </w:p>
        </w:tc>
      </w:tr>
    </w:tbl>
    <w:p w:rsidR="00DE17AC" w:rsidRDefault="00DE17AC" w:rsidP="00DE17AC">
      <w:pPr>
        <w:rPr>
          <w:rFonts w:ascii="Times New Roman" w:hAnsi="Times New Roman" w:cs="Times New Roman"/>
          <w:sz w:val="24"/>
          <w:szCs w:val="24"/>
          <w:lang w:val="en-US"/>
        </w:rPr>
      </w:pPr>
    </w:p>
    <w:p w:rsidR="00DE17AC" w:rsidRDefault="00DE17AC" w:rsidP="00DE17AC">
      <w:pPr>
        <w:rPr>
          <w:lang w:val="en-US"/>
        </w:rPr>
      </w:pPr>
    </w:p>
    <w:p w:rsidR="00DE17AC" w:rsidRDefault="00DE17AC" w:rsidP="00DE17AC">
      <w:pPr>
        <w:rPr>
          <w:lang w:val="en-US"/>
        </w:rPr>
      </w:pPr>
    </w:p>
    <w:p w:rsidR="00DE17AC" w:rsidRDefault="00DE17AC"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62548F" w:rsidRDefault="0062548F" w:rsidP="00DE17AC">
      <w:pPr>
        <w:rPr>
          <w:lang w:val="en-US"/>
        </w:rPr>
      </w:pPr>
    </w:p>
    <w:p w:rsidR="00DE17AC" w:rsidRDefault="00DE17AC" w:rsidP="00DE17AC">
      <w:pPr>
        <w:rPr>
          <w:lang w:val="en-US"/>
        </w:rPr>
      </w:pPr>
    </w:p>
    <w:p w:rsidR="00DE17AC" w:rsidRDefault="00DE17AC" w:rsidP="00DE17AC">
      <w:pPr>
        <w:rPr>
          <w:lang w:val="en-US"/>
        </w:rPr>
      </w:pPr>
    </w:p>
    <w:p w:rsidR="00BF2E2B" w:rsidRPr="00EC6B1B" w:rsidRDefault="008F5496">
      <w:pPr>
        <w:rPr>
          <w:rFonts w:ascii="Times New Roman" w:hAnsi="Times New Roman" w:cs="Times New Roman"/>
          <w:b/>
          <w:sz w:val="24"/>
          <w:szCs w:val="24"/>
        </w:rPr>
      </w:pPr>
      <w:r w:rsidRPr="00EC6B1B">
        <w:rPr>
          <w:rFonts w:ascii="Times New Roman" w:hAnsi="Times New Roman" w:cs="Times New Roman"/>
          <w:b/>
          <w:sz w:val="24"/>
          <w:szCs w:val="24"/>
        </w:rPr>
        <w:t>Sensitivity</w:t>
      </w:r>
      <w:r w:rsidR="00BF2E2B" w:rsidRPr="00EC6B1B">
        <w:rPr>
          <w:rFonts w:ascii="Times New Roman" w:hAnsi="Times New Roman" w:cs="Times New Roman"/>
          <w:b/>
          <w:sz w:val="24"/>
          <w:szCs w:val="24"/>
        </w:rPr>
        <w:t xml:space="preserve"> results</w:t>
      </w:r>
    </w:p>
    <w:p w:rsidR="00BF2E2B" w:rsidRDefault="00BF2E2B" w:rsidP="00BF2E2B">
      <w:pPr>
        <w:spacing w:line="360" w:lineRule="auto"/>
        <w:rPr>
          <w:rFonts w:ascii="Times New Roman" w:hAnsi="Times New Roman" w:cs="Times New Roman"/>
          <w:sz w:val="24"/>
          <w:szCs w:val="24"/>
          <w:lang w:val="en-US"/>
        </w:rPr>
      </w:pPr>
      <w:r w:rsidRPr="00864F27">
        <w:rPr>
          <w:rFonts w:ascii="Times New Roman" w:hAnsi="Times New Roman" w:cs="Times New Roman"/>
          <w:b/>
          <w:sz w:val="24"/>
          <w:szCs w:val="24"/>
          <w:lang w:val="en-US"/>
        </w:rPr>
        <w:t xml:space="preserve">Table </w:t>
      </w:r>
      <w:r>
        <w:rPr>
          <w:rFonts w:ascii="Times New Roman" w:hAnsi="Times New Roman" w:cs="Times New Roman"/>
          <w:b/>
          <w:sz w:val="24"/>
          <w:szCs w:val="24"/>
          <w:lang w:val="en-US"/>
        </w:rPr>
        <w:t>S</w:t>
      </w:r>
      <w:r w:rsidR="00946D78">
        <w:rPr>
          <w:rFonts w:ascii="Times New Roman" w:hAnsi="Times New Roman" w:cs="Times New Roman"/>
          <w:b/>
          <w:sz w:val="24"/>
          <w:szCs w:val="24"/>
          <w:lang w:val="en-US"/>
        </w:rPr>
        <w:t>2</w:t>
      </w:r>
      <w:r>
        <w:rPr>
          <w:rFonts w:ascii="Times New Roman" w:hAnsi="Times New Roman" w:cs="Times New Roman"/>
          <w:sz w:val="24"/>
          <w:szCs w:val="24"/>
          <w:lang w:val="en-US"/>
        </w:rPr>
        <w:t xml:space="preserve">. </w:t>
      </w:r>
      <w:r w:rsidRPr="00864F27">
        <w:rPr>
          <w:rFonts w:ascii="Times New Roman" w:hAnsi="Times New Roman" w:cs="Times New Roman"/>
          <w:sz w:val="24"/>
          <w:szCs w:val="24"/>
          <w:lang w:val="en-US"/>
        </w:rPr>
        <w:t xml:space="preserve">Sensitivity analysis results ranked in decreasing order of influence on </w:t>
      </w:r>
      <w:r>
        <w:rPr>
          <w:rFonts w:ascii="Times New Roman" w:hAnsi="Times New Roman" w:cs="Times New Roman"/>
          <w:sz w:val="24"/>
          <w:szCs w:val="24"/>
          <w:lang w:val="en-US"/>
        </w:rPr>
        <w:t xml:space="preserve">model output node </w:t>
      </w:r>
      <w:r w:rsidRPr="00864F27">
        <w:rPr>
          <w:rFonts w:ascii="Times New Roman" w:hAnsi="Times New Roman" w:cs="Times New Roman"/>
          <w:sz w:val="24"/>
          <w:szCs w:val="24"/>
          <w:lang w:val="en-US"/>
        </w:rPr>
        <w:t xml:space="preserve">based on mutual information </w:t>
      </w:r>
      <w:r>
        <w:rPr>
          <w:rFonts w:ascii="Times New Roman" w:hAnsi="Times New Roman" w:cs="Times New Roman"/>
          <w:sz w:val="24"/>
          <w:szCs w:val="24"/>
          <w:lang w:val="en-US"/>
        </w:rPr>
        <w:t xml:space="preserve">and </w:t>
      </w:r>
      <w:r w:rsidRPr="00864F27">
        <w:rPr>
          <w:rFonts w:ascii="Times New Roman" w:hAnsi="Times New Roman" w:cs="Times New Roman"/>
          <w:sz w:val="24"/>
          <w:szCs w:val="24"/>
          <w:lang w:val="en-US"/>
        </w:rPr>
        <w:t>entropy reduction</w:t>
      </w:r>
      <w:r>
        <w:rPr>
          <w:rFonts w:ascii="Times New Roman" w:hAnsi="Times New Roman" w:cs="Times New Roman"/>
          <w:sz w:val="24"/>
          <w:szCs w:val="24"/>
          <w:lang w:val="en-US"/>
        </w:rPr>
        <w:t>s</w:t>
      </w:r>
    </w:p>
    <w:tbl>
      <w:tblPr>
        <w:tblW w:w="5000" w:type="pct"/>
        <w:tblLook w:val="04A0" w:firstRow="1" w:lastRow="0" w:firstColumn="1" w:lastColumn="0" w:noHBand="0" w:noVBand="1"/>
      </w:tblPr>
      <w:tblGrid>
        <w:gridCol w:w="3314"/>
        <w:gridCol w:w="1989"/>
        <w:gridCol w:w="1804"/>
        <w:gridCol w:w="1920"/>
      </w:tblGrid>
      <w:tr w:rsidR="00BF2E2B" w:rsidRPr="004D7D47" w:rsidTr="007E4179">
        <w:trPr>
          <w:trHeight w:val="315"/>
        </w:trPr>
        <w:tc>
          <w:tcPr>
            <w:tcW w:w="1909" w:type="pct"/>
            <w:tcBorders>
              <w:top w:val="single" w:sz="4" w:space="0" w:color="auto"/>
              <w:left w:val="nil"/>
              <w:bottom w:val="single" w:sz="4" w:space="0" w:color="auto"/>
              <w:right w:val="nil"/>
            </w:tcBorders>
            <w:shd w:val="clear" w:color="auto" w:fill="auto"/>
            <w:noWrap/>
            <w:vAlign w:val="bottom"/>
            <w:hideMark/>
          </w:tcPr>
          <w:p w:rsidR="00BF2E2B" w:rsidRPr="00155013" w:rsidRDefault="00BF2E2B" w:rsidP="007E4179">
            <w:pPr>
              <w:spacing w:after="0" w:line="240" w:lineRule="auto"/>
              <w:rPr>
                <w:rFonts w:ascii="Times New Roman" w:eastAsia="Times New Roman" w:hAnsi="Times New Roman" w:cs="Times New Roman"/>
                <w:b/>
                <w:color w:val="000000"/>
                <w:sz w:val="24"/>
                <w:szCs w:val="24"/>
                <w:lang w:val="en-US"/>
              </w:rPr>
            </w:pPr>
            <w:r w:rsidRPr="00155013">
              <w:rPr>
                <w:rFonts w:ascii="Times New Roman" w:eastAsia="Times New Roman" w:hAnsi="Times New Roman" w:cs="Times New Roman"/>
                <w:b/>
                <w:color w:val="000000"/>
                <w:sz w:val="24"/>
                <w:szCs w:val="24"/>
                <w:lang w:val="en-US"/>
              </w:rPr>
              <w:t>Determinants</w:t>
            </w:r>
          </w:p>
        </w:tc>
        <w:tc>
          <w:tcPr>
            <w:tcW w:w="1064" w:type="pct"/>
            <w:tcBorders>
              <w:top w:val="single" w:sz="4" w:space="0" w:color="auto"/>
              <w:left w:val="nil"/>
              <w:bottom w:val="single" w:sz="4" w:space="0" w:color="auto"/>
              <w:right w:val="nil"/>
            </w:tcBorders>
            <w:shd w:val="clear" w:color="auto" w:fill="auto"/>
            <w:noWrap/>
            <w:vAlign w:val="bottom"/>
            <w:hideMark/>
          </w:tcPr>
          <w:p w:rsidR="00BF2E2B" w:rsidRPr="00155013" w:rsidRDefault="00BF2E2B" w:rsidP="007E4179">
            <w:pPr>
              <w:spacing w:after="0" w:line="240" w:lineRule="auto"/>
              <w:rPr>
                <w:rFonts w:ascii="Times New Roman" w:eastAsia="Times New Roman" w:hAnsi="Times New Roman" w:cs="Times New Roman"/>
                <w:b/>
                <w:color w:val="000000"/>
                <w:sz w:val="24"/>
                <w:szCs w:val="24"/>
                <w:lang w:val="en-US"/>
              </w:rPr>
            </w:pPr>
            <w:r w:rsidRPr="00155013">
              <w:rPr>
                <w:rFonts w:ascii="Times New Roman" w:eastAsia="Times New Roman" w:hAnsi="Times New Roman" w:cs="Times New Roman"/>
                <w:b/>
                <w:color w:val="000000"/>
                <w:sz w:val="24"/>
                <w:szCs w:val="24"/>
                <w:lang w:val="en-US"/>
              </w:rPr>
              <w:t>Mutual information</w:t>
            </w:r>
          </w:p>
        </w:tc>
        <w:tc>
          <w:tcPr>
            <w:tcW w:w="963" w:type="pct"/>
            <w:tcBorders>
              <w:top w:val="single" w:sz="4" w:space="0" w:color="auto"/>
              <w:left w:val="nil"/>
              <w:bottom w:val="single" w:sz="4" w:space="0" w:color="auto"/>
              <w:right w:val="nil"/>
            </w:tcBorders>
            <w:shd w:val="clear" w:color="auto" w:fill="auto"/>
            <w:noWrap/>
            <w:vAlign w:val="bottom"/>
            <w:hideMark/>
          </w:tcPr>
          <w:p w:rsidR="00BF2E2B" w:rsidRPr="00155013" w:rsidRDefault="00BF2E2B" w:rsidP="007E4179">
            <w:pPr>
              <w:spacing w:after="0" w:line="240" w:lineRule="auto"/>
              <w:rPr>
                <w:rFonts w:ascii="Times New Roman" w:eastAsia="Times New Roman" w:hAnsi="Times New Roman" w:cs="Times New Roman"/>
                <w:b/>
                <w:color w:val="000000"/>
                <w:sz w:val="24"/>
                <w:szCs w:val="24"/>
                <w:lang w:val="en-US"/>
              </w:rPr>
            </w:pPr>
            <w:r w:rsidRPr="00155013">
              <w:rPr>
                <w:rFonts w:ascii="Times New Roman" w:eastAsia="Times New Roman" w:hAnsi="Times New Roman" w:cs="Times New Roman"/>
                <w:b/>
                <w:color w:val="000000"/>
                <w:sz w:val="24"/>
                <w:szCs w:val="24"/>
                <w:lang w:val="en-US"/>
              </w:rPr>
              <w:t>Percent reduction</w:t>
            </w:r>
          </w:p>
        </w:tc>
        <w:tc>
          <w:tcPr>
            <w:tcW w:w="1063" w:type="pct"/>
            <w:tcBorders>
              <w:top w:val="single" w:sz="4" w:space="0" w:color="auto"/>
              <w:left w:val="nil"/>
              <w:bottom w:val="single" w:sz="4" w:space="0" w:color="auto"/>
              <w:right w:val="nil"/>
            </w:tcBorders>
            <w:shd w:val="clear" w:color="auto" w:fill="auto"/>
            <w:noWrap/>
            <w:vAlign w:val="bottom"/>
            <w:hideMark/>
          </w:tcPr>
          <w:p w:rsidR="00BF2E2B" w:rsidRPr="00155013" w:rsidRDefault="00BF2E2B" w:rsidP="007E4179">
            <w:pPr>
              <w:spacing w:after="0" w:line="240" w:lineRule="auto"/>
              <w:rPr>
                <w:rFonts w:ascii="Times New Roman" w:eastAsia="Times New Roman" w:hAnsi="Times New Roman" w:cs="Times New Roman"/>
                <w:b/>
                <w:color w:val="000000"/>
                <w:sz w:val="24"/>
                <w:szCs w:val="24"/>
                <w:lang w:val="en-US"/>
              </w:rPr>
            </w:pPr>
            <w:r w:rsidRPr="00155013">
              <w:rPr>
                <w:rFonts w:ascii="Times New Roman" w:eastAsia="Times New Roman" w:hAnsi="Times New Roman" w:cs="Times New Roman"/>
                <w:b/>
                <w:color w:val="000000"/>
                <w:sz w:val="24"/>
                <w:szCs w:val="24"/>
                <w:lang w:val="en-US"/>
              </w:rPr>
              <w:t>Variance of  beliefs</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 xml:space="preserve">Age of refugee child </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0.00062</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6.2</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0.000213</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Main roof material</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0.00048</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4.8</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0.000167</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 xml:space="preserve">Main wall material </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0.00046</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4.6</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0.000159</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Type of toilet facility</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0.00028</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2.8</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0.000096</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Type of cooking fuel used</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0.00020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2.0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0.000068</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Time to get to water source</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0.00018</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1.8</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0.000062</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Whether children sleep under ITNs</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0.00018</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1.8</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0.000061</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Source of household's drinking water</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0.00016</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1.6</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0.000055</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Main floor material</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0.00015</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1.5</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0.000051</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Household wealth status</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0.00014</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1.4</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0.000048</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Location of refugee household</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0.00003</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0.3</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0.000009</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Country of origin of refugees</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0.00001</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0.1</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0.000002</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Indoor Residual Spraying done</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0.000001</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Household has ITNs for sleeping</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0.000001</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Age of head of household</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0.000000</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Owns livestock and poultry</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0.000000</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 xml:space="preserve">Sex of head of household </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0.000000</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Access to malaria information</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0.000000</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Mother's educational level</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0.000000</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Knowledge on preventing malaria</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0.000000</w:t>
            </w:r>
          </w:p>
        </w:tc>
      </w:tr>
      <w:tr w:rsidR="00BF2E2B" w:rsidRPr="004D7D47" w:rsidTr="007E4179">
        <w:trPr>
          <w:trHeight w:val="315"/>
        </w:trPr>
        <w:tc>
          <w:tcPr>
            <w:tcW w:w="1909"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Knowledge on the causes of malaria</w:t>
            </w:r>
          </w:p>
        </w:tc>
        <w:tc>
          <w:tcPr>
            <w:tcW w:w="1064"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nil"/>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0.000000</w:t>
            </w:r>
          </w:p>
        </w:tc>
      </w:tr>
      <w:tr w:rsidR="00BF2E2B" w:rsidRPr="004D7D47" w:rsidTr="007E4179">
        <w:trPr>
          <w:trHeight w:val="315"/>
        </w:trPr>
        <w:tc>
          <w:tcPr>
            <w:tcW w:w="1909" w:type="pct"/>
            <w:tcBorders>
              <w:top w:val="nil"/>
              <w:left w:val="nil"/>
              <w:bottom w:val="single" w:sz="4" w:space="0" w:color="auto"/>
              <w:right w:val="nil"/>
            </w:tcBorders>
            <w:shd w:val="clear" w:color="auto" w:fill="auto"/>
            <w:noWrap/>
            <w:vAlign w:val="bottom"/>
            <w:hideMark/>
          </w:tcPr>
          <w:p w:rsidR="00BF2E2B" w:rsidRPr="004D7D47" w:rsidRDefault="00BF2E2B" w:rsidP="007E4179">
            <w:pPr>
              <w:spacing w:after="0" w:line="240" w:lineRule="auto"/>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Literacy status of refugees</w:t>
            </w:r>
          </w:p>
        </w:tc>
        <w:tc>
          <w:tcPr>
            <w:tcW w:w="1064" w:type="pct"/>
            <w:tcBorders>
              <w:top w:val="nil"/>
              <w:left w:val="nil"/>
              <w:bottom w:val="single" w:sz="4" w:space="0" w:color="auto"/>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w:t>
            </w:r>
          </w:p>
        </w:tc>
        <w:tc>
          <w:tcPr>
            <w:tcW w:w="963" w:type="pct"/>
            <w:tcBorders>
              <w:top w:val="nil"/>
              <w:left w:val="nil"/>
              <w:bottom w:val="single" w:sz="4" w:space="0" w:color="auto"/>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w:t>
            </w:r>
          </w:p>
        </w:tc>
        <w:tc>
          <w:tcPr>
            <w:tcW w:w="1063" w:type="pct"/>
            <w:tcBorders>
              <w:top w:val="nil"/>
              <w:left w:val="nil"/>
              <w:bottom w:val="single" w:sz="4" w:space="0" w:color="auto"/>
              <w:right w:val="nil"/>
            </w:tcBorders>
            <w:shd w:val="clear" w:color="auto" w:fill="auto"/>
            <w:noWrap/>
            <w:vAlign w:val="bottom"/>
            <w:hideMark/>
          </w:tcPr>
          <w:p w:rsidR="00BF2E2B" w:rsidRPr="004D7D47" w:rsidRDefault="00BF2E2B" w:rsidP="007E4179">
            <w:pPr>
              <w:spacing w:after="0" w:line="240" w:lineRule="auto"/>
              <w:jc w:val="right"/>
              <w:rPr>
                <w:rFonts w:ascii="Times New Roman" w:eastAsia="Times New Roman" w:hAnsi="Times New Roman" w:cs="Times New Roman"/>
                <w:color w:val="000000"/>
                <w:sz w:val="24"/>
                <w:szCs w:val="24"/>
                <w:lang w:val="en-US"/>
              </w:rPr>
            </w:pPr>
            <w:r w:rsidRPr="004D7D47">
              <w:rPr>
                <w:rFonts w:ascii="Times New Roman" w:eastAsia="Times New Roman" w:hAnsi="Times New Roman" w:cs="Times New Roman"/>
                <w:color w:val="000000"/>
                <w:sz w:val="24"/>
                <w:szCs w:val="24"/>
                <w:lang w:val="en-US"/>
              </w:rPr>
              <w:t>0.000000</w:t>
            </w:r>
          </w:p>
        </w:tc>
      </w:tr>
    </w:tbl>
    <w:p w:rsidR="00BF2E2B" w:rsidRDefault="00BF2E2B" w:rsidP="00BF2E2B">
      <w:pPr>
        <w:jc w:val="center"/>
        <w:rPr>
          <w:rFonts w:ascii="Times New Roman" w:hAnsi="Times New Roman" w:cs="Times New Roman"/>
          <w:sz w:val="24"/>
          <w:szCs w:val="24"/>
          <w:lang w:val="en-US"/>
        </w:rPr>
      </w:pPr>
    </w:p>
    <w:p w:rsidR="00BF2E2B" w:rsidRDefault="00BF2E2B"/>
    <w:p w:rsidR="00946D78" w:rsidRDefault="00946D78"/>
    <w:p w:rsidR="00946D78" w:rsidRDefault="00946D78"/>
    <w:p w:rsidR="00946D78" w:rsidRDefault="00946D78"/>
    <w:p w:rsidR="00946D78" w:rsidRDefault="00946D78"/>
    <w:p w:rsidR="00946D78" w:rsidRDefault="00946D78"/>
    <w:p w:rsidR="00946D78" w:rsidRDefault="00946D78"/>
    <w:p w:rsidR="00946D78" w:rsidRDefault="00946D78">
      <w:pPr>
        <w:rPr>
          <w:rFonts w:ascii="Times New Roman" w:hAnsi="Times New Roman" w:cs="Times New Roman"/>
          <w:b/>
          <w:sz w:val="24"/>
          <w:szCs w:val="24"/>
        </w:rPr>
      </w:pPr>
      <w:bookmarkStart w:id="7" w:name="_GoBack"/>
      <w:bookmarkEnd w:id="7"/>
      <w:r w:rsidRPr="00946D78">
        <w:rPr>
          <w:rFonts w:ascii="Times New Roman" w:hAnsi="Times New Roman" w:cs="Times New Roman"/>
          <w:b/>
          <w:sz w:val="24"/>
          <w:szCs w:val="24"/>
        </w:rPr>
        <w:t>References</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imes New Roman" w:hAnsi="Times New Roman" w:cs="Times New Roman"/>
          <w:b/>
          <w:sz w:val="24"/>
          <w:szCs w:val="24"/>
        </w:rPr>
        <w:fldChar w:fldCharType="begin" w:fldLock="1"/>
      </w:r>
      <w:r>
        <w:rPr>
          <w:rFonts w:ascii="Times New Roman" w:hAnsi="Times New Roman" w:cs="Times New Roman"/>
          <w:b/>
          <w:sz w:val="24"/>
          <w:szCs w:val="24"/>
        </w:rPr>
        <w:instrText xml:space="preserve">ADDIN Mendeley Bibliography CSL_BIBLIOGRAPHY </w:instrText>
      </w:r>
      <w:r>
        <w:rPr>
          <w:rFonts w:ascii="Times New Roman" w:hAnsi="Times New Roman" w:cs="Times New Roman"/>
          <w:b/>
          <w:sz w:val="24"/>
          <w:szCs w:val="24"/>
        </w:rPr>
        <w:fldChar w:fldCharType="separate"/>
      </w:r>
      <w:r w:rsidRPr="00946D78">
        <w:rPr>
          <w:rFonts w:ascii="Times New Roman" w:hAnsi="Times New Roman" w:cs="Times New Roman"/>
          <w:noProof/>
          <w:sz w:val="24"/>
          <w:szCs w:val="24"/>
        </w:rPr>
        <w:t>[1]</w:t>
      </w:r>
      <w:r w:rsidRPr="00946D78">
        <w:rPr>
          <w:rFonts w:ascii="Times New Roman" w:hAnsi="Times New Roman" w:cs="Times New Roman"/>
          <w:noProof/>
          <w:sz w:val="24"/>
          <w:szCs w:val="24"/>
        </w:rPr>
        <w:tab/>
        <w:t>Boyce MR, Katz R, Standley CJ. Risk factors for infectious diseases in urban environments of sub-Saharan Africa: A systematic review and critical appraisal of evidence. Trop Med Infect Dis 2019;4. https://doi.org/10.3390/tropicalmed4040123.</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sidRPr="00946D78">
        <w:rPr>
          <w:rFonts w:ascii="Times New Roman" w:hAnsi="Times New Roman" w:cs="Times New Roman"/>
          <w:noProof/>
          <w:sz w:val="24"/>
          <w:szCs w:val="24"/>
        </w:rPr>
        <w:t>[2]</w:t>
      </w:r>
      <w:r w:rsidRPr="00946D78">
        <w:rPr>
          <w:rFonts w:ascii="Times New Roman" w:hAnsi="Times New Roman" w:cs="Times New Roman"/>
          <w:noProof/>
          <w:sz w:val="24"/>
          <w:szCs w:val="24"/>
        </w:rPr>
        <w:tab/>
        <w:t>Ahmed S, Reithinger R, Kaptoge SK, Ngondi JM. Travel is a key risk factor for malaria transmission in pre-elimination settings in Sub-Saharan Africa: A review of the literature and meta-analysis. Am J Trop Med Hyg 2020;103:1380–7. https://doi.org/10.4269/ajtmh.18-0456.</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sidRPr="00946D78">
        <w:rPr>
          <w:rFonts w:ascii="Times New Roman" w:hAnsi="Times New Roman" w:cs="Times New Roman"/>
          <w:noProof/>
          <w:sz w:val="24"/>
          <w:szCs w:val="24"/>
        </w:rPr>
        <w:t>[3]</w:t>
      </w:r>
      <w:r w:rsidRPr="00946D78">
        <w:rPr>
          <w:rFonts w:ascii="Times New Roman" w:hAnsi="Times New Roman" w:cs="Times New Roman"/>
          <w:noProof/>
          <w:sz w:val="24"/>
          <w:szCs w:val="24"/>
        </w:rPr>
        <w:tab/>
        <w:t>Obasohan PE, Walters SJ, Jacques R, Khatab K. A scoping review of the risk factors associated with anaemia among children under five years in sub-Saharan African countries. Int J Environ Res Public Health 2020;17:1–20. https://doi.org/10.3390/ijerph17238829.</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sidRPr="00946D78">
        <w:rPr>
          <w:rFonts w:ascii="Times New Roman" w:hAnsi="Times New Roman" w:cs="Times New Roman"/>
          <w:noProof/>
          <w:sz w:val="24"/>
          <w:szCs w:val="24"/>
        </w:rPr>
        <w:t>[4]</w:t>
      </w:r>
      <w:r w:rsidRPr="00946D78">
        <w:rPr>
          <w:rFonts w:ascii="Times New Roman" w:hAnsi="Times New Roman" w:cs="Times New Roman"/>
          <w:noProof/>
          <w:sz w:val="24"/>
          <w:szCs w:val="24"/>
        </w:rPr>
        <w:tab/>
        <w:t>Degarege A, Fennie K, Degarege D, Chennupati S, Madhivanan P. Improving socioeconomic status may reduce the burden of malaria in sub Saharan Africa: A systematic review and meta-analysis. PLoS One 2019;14:1–26. https://doi.org/10.1371/journal.pone.0211205.</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sidRPr="00946D78">
        <w:rPr>
          <w:rFonts w:ascii="Times New Roman" w:hAnsi="Times New Roman" w:cs="Times New Roman"/>
          <w:noProof/>
          <w:sz w:val="24"/>
          <w:szCs w:val="24"/>
        </w:rPr>
        <w:t>[5]</w:t>
      </w:r>
      <w:r w:rsidRPr="00946D78">
        <w:rPr>
          <w:rFonts w:ascii="Times New Roman" w:hAnsi="Times New Roman" w:cs="Times New Roman"/>
          <w:noProof/>
          <w:sz w:val="24"/>
          <w:szCs w:val="24"/>
        </w:rPr>
        <w:tab/>
        <w:t>Vilcins D, Sly PD, Jagals P. Environmental Risk Factors Associated with Child Stunting: A Systematic Review of the Literature. Ann Glob Heal 2018;84:551–62.</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sidRPr="00946D78">
        <w:rPr>
          <w:rFonts w:ascii="Times New Roman" w:hAnsi="Times New Roman" w:cs="Times New Roman"/>
          <w:noProof/>
          <w:sz w:val="24"/>
          <w:szCs w:val="24"/>
        </w:rPr>
        <w:t>[6]</w:t>
      </w:r>
      <w:r w:rsidRPr="00946D78">
        <w:rPr>
          <w:rFonts w:ascii="Times New Roman" w:hAnsi="Times New Roman" w:cs="Times New Roman"/>
          <w:noProof/>
          <w:sz w:val="24"/>
          <w:szCs w:val="24"/>
        </w:rPr>
        <w:tab/>
        <w:t>Furnival-Adams J, Olanga EA, Napier M, Garner P. Housing interventions for preventing malaria. Cochrane Database Syst Rev 2019;2019. https://doi.org/10.1002/14651858.CD013398.</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sidRPr="00946D78">
        <w:rPr>
          <w:rFonts w:ascii="Times New Roman" w:hAnsi="Times New Roman" w:cs="Times New Roman"/>
          <w:noProof/>
          <w:sz w:val="24"/>
          <w:szCs w:val="24"/>
        </w:rPr>
        <w:t>[7]</w:t>
      </w:r>
      <w:r w:rsidRPr="00946D78">
        <w:rPr>
          <w:rFonts w:ascii="Times New Roman" w:hAnsi="Times New Roman" w:cs="Times New Roman"/>
          <w:noProof/>
          <w:sz w:val="24"/>
          <w:szCs w:val="24"/>
        </w:rPr>
        <w:tab/>
        <w:t>Furnival-Adams J, Olanga EA, Napier M, Garner P. House modifications for preventing malaria. Cochrane Database Syst Rev 2021;2021. https://doi.org/10.1002/14651858.CD013398.pub3.</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sidRPr="00946D78">
        <w:rPr>
          <w:rFonts w:ascii="Times New Roman" w:hAnsi="Times New Roman" w:cs="Times New Roman"/>
          <w:noProof/>
          <w:sz w:val="24"/>
          <w:szCs w:val="24"/>
        </w:rPr>
        <w:t>[8]</w:t>
      </w:r>
      <w:r w:rsidRPr="00946D78">
        <w:rPr>
          <w:rFonts w:ascii="Times New Roman" w:hAnsi="Times New Roman" w:cs="Times New Roman"/>
          <w:noProof/>
          <w:sz w:val="24"/>
          <w:szCs w:val="24"/>
        </w:rPr>
        <w:tab/>
        <w:t>Semakula HM, Liang S, Mukwaya PI, Mugagga F, Swahn M, Nseka D, et al. Determinants of malaria infections among children in refugee settlements in Uganda. Analysis of data from Uganda malaria indicator survey, 2018-19. Infect Dis Poverty 2023;3:1–12. https://doi.org/10.1186/s40249-023-01090-3.</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szCs w:val="24"/>
        </w:rPr>
      </w:pPr>
      <w:r w:rsidRPr="00946D78">
        <w:rPr>
          <w:rFonts w:ascii="Times New Roman" w:hAnsi="Times New Roman" w:cs="Times New Roman"/>
          <w:noProof/>
          <w:sz w:val="24"/>
          <w:szCs w:val="24"/>
        </w:rPr>
        <w:t>[9]</w:t>
      </w:r>
      <w:r w:rsidRPr="00946D78">
        <w:rPr>
          <w:rFonts w:ascii="Times New Roman" w:hAnsi="Times New Roman" w:cs="Times New Roman"/>
          <w:noProof/>
          <w:sz w:val="24"/>
          <w:szCs w:val="24"/>
        </w:rPr>
        <w:tab/>
        <w:t>Semakula HM, Song G, Achuu SP, Zhang S. A Bayesian belief network modelling of household factors influencing the risk of malaria: A study of parasitaemia in children under five years of age in sub-Saharan Africa. Environ Model Softw 2016;75:59–67. https://doi.org/10.1016/j.envsoft.2015.10.006.</w:t>
      </w:r>
    </w:p>
    <w:p w:rsidR="00946D78" w:rsidRPr="00946D78" w:rsidRDefault="00946D78" w:rsidP="00946D78">
      <w:pPr>
        <w:widowControl w:val="0"/>
        <w:autoSpaceDE w:val="0"/>
        <w:autoSpaceDN w:val="0"/>
        <w:adjustRightInd w:val="0"/>
        <w:spacing w:line="240" w:lineRule="auto"/>
        <w:ind w:left="640" w:hanging="640"/>
        <w:rPr>
          <w:rFonts w:ascii="Times New Roman" w:hAnsi="Times New Roman" w:cs="Times New Roman"/>
          <w:noProof/>
          <w:sz w:val="24"/>
        </w:rPr>
      </w:pPr>
      <w:r w:rsidRPr="00946D78">
        <w:rPr>
          <w:rFonts w:ascii="Times New Roman" w:hAnsi="Times New Roman" w:cs="Times New Roman"/>
          <w:noProof/>
          <w:sz w:val="24"/>
          <w:szCs w:val="24"/>
        </w:rPr>
        <w:t>[10]</w:t>
      </w:r>
      <w:r w:rsidRPr="00946D78">
        <w:rPr>
          <w:rFonts w:ascii="Times New Roman" w:hAnsi="Times New Roman" w:cs="Times New Roman"/>
          <w:noProof/>
          <w:sz w:val="24"/>
          <w:szCs w:val="24"/>
        </w:rPr>
        <w:tab/>
        <w:t>Semakula HM, Song G, Zhang S, Achuu SP. Potential of household environmental resources and practices in eliminating residual malaria transmission: A case study of tanzania, burundi, malawi and liberia. Afr Health Sci 2015;15. https://doi.org/10.4314/ahs.v15i3.16.</w:t>
      </w:r>
    </w:p>
    <w:p w:rsidR="00946D78" w:rsidRPr="00946D78" w:rsidRDefault="00946D78">
      <w:pPr>
        <w:rPr>
          <w:rFonts w:ascii="Times New Roman" w:hAnsi="Times New Roman" w:cs="Times New Roman"/>
          <w:b/>
          <w:sz w:val="24"/>
          <w:szCs w:val="24"/>
        </w:rPr>
      </w:pPr>
      <w:r>
        <w:rPr>
          <w:rFonts w:ascii="Times New Roman" w:hAnsi="Times New Roman" w:cs="Times New Roman"/>
          <w:b/>
          <w:sz w:val="24"/>
          <w:szCs w:val="24"/>
        </w:rPr>
        <w:fldChar w:fldCharType="end"/>
      </w:r>
    </w:p>
    <w:p w:rsidR="00946D78" w:rsidRDefault="00946D78"/>
    <w:p w:rsidR="00946D78" w:rsidRDefault="00946D78"/>
    <w:sectPr w:rsidR="00946D78" w:rsidSect="00BF2E2B">
      <w:pgSz w:w="11907" w:h="16839" w:code="9"/>
      <w:pgMar w:top="1440" w:right="1440" w:bottom="1440" w:left="1440" w:header="720" w:footer="544"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E2B"/>
    <w:rsid w:val="00103655"/>
    <w:rsid w:val="002B1090"/>
    <w:rsid w:val="00606A35"/>
    <w:rsid w:val="0062548F"/>
    <w:rsid w:val="006578A4"/>
    <w:rsid w:val="008A19F2"/>
    <w:rsid w:val="008F5496"/>
    <w:rsid w:val="00946D78"/>
    <w:rsid w:val="00B071B8"/>
    <w:rsid w:val="00B41694"/>
    <w:rsid w:val="00BF2E2B"/>
    <w:rsid w:val="00C8152F"/>
    <w:rsid w:val="00D229A4"/>
    <w:rsid w:val="00DE17AC"/>
    <w:rsid w:val="00EC6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414100-7A3A-4466-95C8-069145C11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C6B1B"/>
    <w:rPr>
      <w:i/>
      <w:iCs/>
    </w:rPr>
  </w:style>
  <w:style w:type="character" w:styleId="Hyperlink">
    <w:name w:val="Hyperlink"/>
    <w:basedOn w:val="DefaultParagraphFont"/>
    <w:uiPriority w:val="99"/>
    <w:unhideWhenUsed/>
    <w:rsid w:val="00EC6B1B"/>
    <w:rPr>
      <w:color w:val="0000FF"/>
      <w:u w:val="single"/>
    </w:rPr>
  </w:style>
  <w:style w:type="paragraph" w:customStyle="1" w:styleId="Authors">
    <w:name w:val="Authors"/>
    <w:basedOn w:val="Normal"/>
    <w:rsid w:val="00EC6B1B"/>
    <w:pPr>
      <w:spacing w:before="120" w:after="360" w:line="240" w:lineRule="auto"/>
      <w:jc w:val="center"/>
    </w:pPr>
    <w:rPr>
      <w:rFonts w:ascii="Times New Roman" w:eastAsia="Times New Roman" w:hAnsi="Times New Roman" w:cs="Times New Roman"/>
      <w:sz w:val="24"/>
      <w:szCs w:val="24"/>
      <w:lang w:val="en-US"/>
    </w:rPr>
  </w:style>
  <w:style w:type="paragraph" w:customStyle="1" w:styleId="Paragraph">
    <w:name w:val="Paragraph"/>
    <w:basedOn w:val="Normal"/>
    <w:rsid w:val="00EC6B1B"/>
    <w:pPr>
      <w:spacing w:before="120" w:after="0" w:line="240" w:lineRule="auto"/>
      <w:ind w:firstLine="720"/>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isolomukwaya@mak.ac.ug" TargetMode="External"/><Relationship Id="rId13" Type="http://schemas.openxmlformats.org/officeDocument/2006/relationships/hyperlink" Target="mailto:kayimapatrick1789@gmail.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ongliang@ufl.edu" TargetMode="External"/><Relationship Id="rId12" Type="http://schemas.openxmlformats.org/officeDocument/2006/relationships/hyperlink" Target="mailto:patomwanzia@yahoo.com" TargetMode="External"/><Relationship Id="rId17" Type="http://schemas.openxmlformats.org/officeDocument/2006/relationships/hyperlink" Target="mailto:semhm2000@yahoo.co.uk" TargetMode="External"/><Relationship Id="rId2" Type="http://schemas.openxmlformats.org/officeDocument/2006/relationships/styles" Target="styles.xml"/><Relationship Id="rId16" Type="http://schemas.openxmlformats.org/officeDocument/2006/relationships/hyperlink" Target="mailto:henry.semakula@mak.ac.ug" TargetMode="External"/><Relationship Id="rId1" Type="http://schemas.openxmlformats.org/officeDocument/2006/relationships/customXml" Target="../customXml/item1.xml"/><Relationship Id="rId6" Type="http://schemas.openxmlformats.org/officeDocument/2006/relationships/hyperlink" Target="mailto:352%20273-9203" TargetMode="External"/><Relationship Id="rId11" Type="http://schemas.openxmlformats.org/officeDocument/2006/relationships/hyperlink" Target="mailto:pmwendwa@jkuat.ac.ke" TargetMode="External"/><Relationship Id="rId5" Type="http://schemas.openxmlformats.org/officeDocument/2006/relationships/hyperlink" Target="mailto:henry.semakula@mak.ac.ug" TargetMode="External"/><Relationship Id="rId15" Type="http://schemas.openxmlformats.org/officeDocument/2006/relationships/hyperlink" Target="mailto:peter.achuu@nema.go.ug" TargetMode="External"/><Relationship Id="rId10" Type="http://schemas.openxmlformats.org/officeDocument/2006/relationships/hyperlink" Target="mailto:wasswahans@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frank.mugagga@mak.ac.ug" TargetMode="External"/><Relationship Id="rId14" Type="http://schemas.openxmlformats.org/officeDocument/2006/relationships/hyperlink" Target="mailto:acusacu@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273E8-AF19-4E3D-ABC9-F9F59E40B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7555</Words>
  <Characters>43069</Characters>
  <Application>Microsoft Office Word</Application>
  <DocSecurity>0</DocSecurity>
  <Lines>358</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dc:creator>
  <cp:keywords/>
  <dc:description/>
  <cp:lastModifiedBy>Henry</cp:lastModifiedBy>
  <cp:revision>6</cp:revision>
  <dcterms:created xsi:type="dcterms:W3CDTF">2023-05-30T22:36:00Z</dcterms:created>
  <dcterms:modified xsi:type="dcterms:W3CDTF">2023-05-31T17:46:00Z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(deprecated)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http://www.zotero.org/styles/journal-of-cleaner-production</vt:lpwstr>
  </property>
  <property fmtid="{D5CDD505-2E9C-101B-9397-08002B2CF9AE}" pid="13" name="Mendeley Recent Style Name 5_1">
    <vt:lpwstr>Journal of Cleaner Production</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http://www.zotero.org/styles/renewable-energy-focus</vt:lpwstr>
  </property>
  <property fmtid="{D5CDD505-2E9C-101B-9397-08002B2CF9AE}" pid="17" name="Mendeley Recent Style Name 7_1">
    <vt:lpwstr>Renewable Energy Focus</vt:lpwstr>
  </property>
  <property fmtid="{D5CDD505-2E9C-101B-9397-08002B2CF9AE}" pid="18" name="Mendeley Recent Style Id 8_1">
    <vt:lpwstr>http://www.zotero.org/styles/renewable-and-sustainable-energy-reviews</vt:lpwstr>
  </property>
  <property fmtid="{D5CDD505-2E9C-101B-9397-08002B2CF9AE}" pid="19" name="Mendeley Recent Style Name 8_1">
    <vt:lpwstr>Renewable and Sustainable Energy Reviews</vt:lpwstr>
  </property>
  <property fmtid="{D5CDD505-2E9C-101B-9397-08002B2CF9AE}" pid="20" name="Mendeley Recent Style Id 9_1">
    <vt:lpwstr>http://www.zotero.org/styles/world-development</vt:lpwstr>
  </property>
  <property fmtid="{D5CDD505-2E9C-101B-9397-08002B2CF9AE}" pid="21" name="Mendeley Recent Style Name 9_1">
    <vt:lpwstr>World Development</vt:lpwstr>
  </property>
  <property fmtid="{D5CDD505-2E9C-101B-9397-08002B2CF9AE}" pid="22" name="Mendeley Document_1">
    <vt:lpwstr>True</vt:lpwstr>
  </property>
  <property fmtid="{D5CDD505-2E9C-101B-9397-08002B2CF9AE}" pid="23" name="Mendeley Unique User Id_1">
    <vt:lpwstr>ca0ad859-e3b3-30ee-a564-14ead394cb3f</vt:lpwstr>
  </property>
  <property fmtid="{D5CDD505-2E9C-101B-9397-08002B2CF9AE}" pid="24" name="Mendeley Citation Style_1">
    <vt:lpwstr>http://www.zotero.org/styles/renewable-and-sustainable-energy-reviews</vt:lpwstr>
  </property>
</Properties>
</file>