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1FFC" w14:textId="77777777" w:rsidR="00761F03" w:rsidRDefault="00000000"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Calibri" w:hAnsi="Calibri" w:cs="Calibri"/>
          <w:color w:val="000000"/>
          <w:sz w:val="40"/>
          <w:szCs w:val="40"/>
        </w:rPr>
        <w:t>Supporting Information</w:t>
      </w:r>
    </w:p>
    <w:p w14:paraId="17D3E94E" w14:textId="77777777" w:rsidR="00761F03" w:rsidRDefault="00000000">
      <w:pPr>
        <w:widowControl/>
        <w:spacing w:before="100" w:beforeAutospacing="1" w:after="100" w:afterAutospacing="1" w:line="264" w:lineRule="auto"/>
        <w:jc w:val="left"/>
        <w:outlineLvl w:val="0"/>
        <w:rPr>
          <w:rFonts w:ascii="Calibri" w:cstheme="minorHAnsi"/>
          <w:sz w:val="36"/>
          <w:szCs w:val="36"/>
        </w:rPr>
      </w:pPr>
      <w:r>
        <w:rPr>
          <w:rFonts w:ascii="Calibri" w:cstheme="minorHAnsi"/>
          <w:sz w:val="36"/>
          <w:szCs w:val="36"/>
        </w:rPr>
        <w:t>Activation of super-enhancer-driven ITGA6 by TP63 enhances stemness features of squamous cell carcinoma through stabilizing c-myc protein</w:t>
      </w:r>
    </w:p>
    <w:p w14:paraId="37AA183F" w14:textId="77777777" w:rsidR="00761F03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The PDF file includes: </w:t>
      </w:r>
    </w:p>
    <w:p w14:paraId="13710A99" w14:textId="77777777" w:rsidR="00761F03" w:rsidRDefault="00761F03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14:paraId="72B03DA9" w14:textId="77777777" w:rsidR="00761F03" w:rsidRDefault="0000000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Figure S1. JQ1/I-BET151 regulates gene expression changes in SCC cells.</w:t>
      </w:r>
    </w:p>
    <w:p w14:paraId="6E3A716E" w14:textId="77777777" w:rsidR="00761F03" w:rsidRDefault="0000000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Figure S2. ITGA6 was highly expressed in SCC cells.</w:t>
      </w:r>
    </w:p>
    <w:p w14:paraId="531E7EAC" w14:textId="77777777" w:rsidR="00761F03" w:rsidRDefault="0000000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Figure S3. ITGA6 inhibits the malignant behavior of SCC cells.</w:t>
      </w:r>
    </w:p>
    <w:p w14:paraId="53EE741C" w14:textId="77777777" w:rsidR="00761F03" w:rsidRDefault="0000000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Figure S4. MYC played an oncogenic role in SCC.</w:t>
      </w:r>
    </w:p>
    <w:p w14:paraId="7DE93806" w14:textId="77777777" w:rsidR="00761F03" w:rsidRDefault="0000000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Figure S5. YAP could regulate the malignant behavior of SCC cells.</w:t>
      </w:r>
    </w:p>
    <w:p w14:paraId="771746EC" w14:textId="77777777" w:rsidR="00761F03" w:rsidRDefault="0000000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</w:p>
    <w:p w14:paraId="5308B89B" w14:textId="77777777" w:rsidR="00761F03" w:rsidRDefault="0000000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Table S1. Antibodies used in western blotting assays.</w:t>
      </w:r>
    </w:p>
    <w:p w14:paraId="109EE94E" w14:textId="77777777" w:rsidR="00761F03" w:rsidRDefault="00000000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Table S2. </w:t>
      </w:r>
      <w:bookmarkStart w:id="0" w:name="_Hlk119503023"/>
      <w:r>
        <w:rPr>
          <w:rFonts w:ascii="Times New Roman" w:eastAsia="宋体" w:hAnsi="Times New Roman" w:cs="Times New Roman"/>
          <w:color w:val="000000"/>
          <w:kern w:val="0"/>
          <w:sz w:val="24"/>
        </w:rPr>
        <w:t>RT-PCR primers used in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this study.</w:t>
      </w:r>
    </w:p>
    <w:bookmarkEnd w:id="0"/>
    <w:p w14:paraId="3B690464" w14:textId="77777777" w:rsidR="00761F03" w:rsidRDefault="00000000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Table S3. siRNA and </w:t>
      </w:r>
      <w:r>
        <w:rPr>
          <w:rFonts w:ascii="Times New Roman" w:eastAsia="宋体" w:hAnsi="Times New Roman" w:cs="Times New Roman"/>
          <w:kern w:val="0"/>
          <w:sz w:val="24"/>
        </w:rPr>
        <w:t>sg-RNA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used in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this study.</w:t>
      </w:r>
    </w:p>
    <w:p w14:paraId="46DA4CDD" w14:textId="77777777" w:rsidR="00761F03" w:rsidRDefault="00761F03">
      <w:pPr>
        <w:jc w:val="center"/>
        <w:rPr>
          <w:b/>
          <w:bCs/>
          <w:sz w:val="24"/>
        </w:rPr>
      </w:pPr>
    </w:p>
    <w:p w14:paraId="3FC3A0A3" w14:textId="77777777" w:rsidR="00761F03" w:rsidRDefault="00761F03">
      <w:pPr>
        <w:jc w:val="left"/>
        <w:rPr>
          <w:b/>
          <w:bCs/>
          <w:sz w:val="24"/>
        </w:rPr>
      </w:pPr>
    </w:p>
    <w:p w14:paraId="4EF66BB3" w14:textId="77777777" w:rsidR="00761F03" w:rsidRDefault="00761F03">
      <w:pPr>
        <w:jc w:val="left"/>
        <w:rPr>
          <w:b/>
          <w:bCs/>
          <w:sz w:val="24"/>
        </w:rPr>
      </w:pPr>
    </w:p>
    <w:p w14:paraId="5E8E8DBD" w14:textId="77777777" w:rsidR="00761F03" w:rsidRDefault="00761F03">
      <w:pPr>
        <w:jc w:val="left"/>
        <w:rPr>
          <w:b/>
          <w:bCs/>
          <w:sz w:val="24"/>
        </w:rPr>
      </w:pPr>
    </w:p>
    <w:p w14:paraId="1DE07217" w14:textId="77777777" w:rsidR="00761F03" w:rsidRDefault="00761F03">
      <w:pPr>
        <w:jc w:val="left"/>
        <w:rPr>
          <w:b/>
          <w:bCs/>
          <w:sz w:val="24"/>
        </w:rPr>
      </w:pPr>
    </w:p>
    <w:p w14:paraId="46859B72" w14:textId="77777777" w:rsidR="00761F03" w:rsidRDefault="00761F03">
      <w:pPr>
        <w:jc w:val="left"/>
        <w:rPr>
          <w:b/>
          <w:bCs/>
          <w:sz w:val="24"/>
        </w:rPr>
      </w:pPr>
    </w:p>
    <w:p w14:paraId="0EA93C02" w14:textId="77777777" w:rsidR="00761F03" w:rsidRDefault="00761F03">
      <w:pPr>
        <w:jc w:val="left"/>
        <w:rPr>
          <w:b/>
          <w:bCs/>
          <w:sz w:val="24"/>
        </w:rPr>
      </w:pPr>
    </w:p>
    <w:p w14:paraId="0D6FD92B" w14:textId="77777777" w:rsidR="00761F03" w:rsidRDefault="00761F03">
      <w:pPr>
        <w:jc w:val="left"/>
        <w:rPr>
          <w:b/>
          <w:bCs/>
          <w:sz w:val="24"/>
        </w:rPr>
      </w:pPr>
    </w:p>
    <w:p w14:paraId="16EB0231" w14:textId="77777777" w:rsidR="00761F03" w:rsidRDefault="00761F03">
      <w:pPr>
        <w:jc w:val="left"/>
        <w:rPr>
          <w:b/>
          <w:bCs/>
          <w:sz w:val="24"/>
        </w:rPr>
      </w:pPr>
    </w:p>
    <w:p w14:paraId="50BFD4C9" w14:textId="77777777" w:rsidR="00761F03" w:rsidRDefault="00761F03">
      <w:pPr>
        <w:jc w:val="left"/>
        <w:rPr>
          <w:b/>
          <w:bCs/>
          <w:sz w:val="24"/>
        </w:rPr>
      </w:pPr>
    </w:p>
    <w:p w14:paraId="6A530BB1" w14:textId="77777777" w:rsidR="00761F03" w:rsidRDefault="00761F03">
      <w:pPr>
        <w:jc w:val="left"/>
        <w:rPr>
          <w:b/>
          <w:bCs/>
          <w:sz w:val="24"/>
        </w:rPr>
      </w:pPr>
    </w:p>
    <w:p w14:paraId="0EF47BFE" w14:textId="77777777" w:rsidR="00761F03" w:rsidRDefault="00761F03">
      <w:pPr>
        <w:jc w:val="left"/>
        <w:rPr>
          <w:b/>
          <w:bCs/>
          <w:sz w:val="24"/>
        </w:rPr>
      </w:pPr>
    </w:p>
    <w:p w14:paraId="544567F5" w14:textId="77777777" w:rsidR="00761F03" w:rsidRDefault="00761F03">
      <w:pPr>
        <w:jc w:val="left"/>
        <w:rPr>
          <w:b/>
          <w:bCs/>
          <w:sz w:val="24"/>
        </w:rPr>
      </w:pPr>
    </w:p>
    <w:p w14:paraId="05B2140C" w14:textId="77777777" w:rsidR="00761F03" w:rsidRDefault="00761F03">
      <w:pPr>
        <w:jc w:val="left"/>
        <w:rPr>
          <w:b/>
          <w:bCs/>
          <w:sz w:val="24"/>
        </w:rPr>
      </w:pPr>
    </w:p>
    <w:p w14:paraId="1BB7D55F" w14:textId="77777777" w:rsidR="00761F03" w:rsidRDefault="00761F03">
      <w:pPr>
        <w:jc w:val="left"/>
        <w:rPr>
          <w:b/>
          <w:bCs/>
          <w:sz w:val="24"/>
        </w:rPr>
      </w:pPr>
    </w:p>
    <w:p w14:paraId="76815C26" w14:textId="77777777" w:rsidR="00761F03" w:rsidRDefault="00761F03">
      <w:pPr>
        <w:jc w:val="left"/>
        <w:rPr>
          <w:b/>
          <w:bCs/>
          <w:sz w:val="24"/>
        </w:rPr>
      </w:pPr>
    </w:p>
    <w:p w14:paraId="5BB91850" w14:textId="77777777" w:rsidR="00761F03" w:rsidRDefault="00761F03">
      <w:pPr>
        <w:jc w:val="left"/>
        <w:rPr>
          <w:b/>
          <w:bCs/>
          <w:sz w:val="24"/>
        </w:rPr>
      </w:pPr>
    </w:p>
    <w:p w14:paraId="66E68E4D" w14:textId="77777777" w:rsidR="00761F03" w:rsidRDefault="00761F03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35EE06A0" w14:textId="77777777" w:rsidR="00761F03" w:rsidRDefault="00761F03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0780FC20" w14:textId="77777777" w:rsidR="00761F03" w:rsidRDefault="00000000">
      <w:pPr>
        <w:jc w:val="left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>Figure S1</w:t>
      </w:r>
    </w:p>
    <w:p w14:paraId="7A54FC7D" w14:textId="40758770" w:rsidR="00761F03" w:rsidRDefault="00C00FF1">
      <w:pPr>
        <w:widowControl/>
        <w:rPr>
          <w:b/>
          <w:bCs/>
        </w:rPr>
      </w:pPr>
      <w:r w:rsidRPr="00C00FF1">
        <w:rPr>
          <w:b/>
          <w:bCs/>
          <w:noProof/>
        </w:rPr>
        <w:drawing>
          <wp:inline distT="0" distB="0" distL="0" distR="0" wp14:anchorId="72980B09" wp14:editId="400FEB73">
            <wp:extent cx="5274310" cy="59499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72F56" w14:textId="77777777" w:rsidR="00761F03" w:rsidRDefault="00000000" w:rsidP="00165AED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sz w:val="24"/>
          <w:lang w:bidi="ar"/>
        </w:rPr>
        <w:t>Figure. S1.</w:t>
      </w:r>
      <w:bookmarkStart w:id="1" w:name="_Hlk119498772"/>
      <w:r>
        <w:rPr>
          <w:rFonts w:ascii="Times New Roman" w:eastAsia="宋体" w:hAnsi="Times New Roman" w:cs="Times New Roman"/>
          <w:b/>
          <w:bCs/>
          <w:sz w:val="24"/>
          <w:lang w:bidi="ar"/>
        </w:rPr>
        <w:t xml:space="preserve"> JQ1/I-BET151 regulates gene expression changes in SCC cells.</w:t>
      </w:r>
      <w:bookmarkEnd w:id="1"/>
      <w:r>
        <w:rPr>
          <w:rFonts w:ascii="Times New Roman" w:eastAsia="宋体" w:hAnsi="Times New Roman" w:cs="Times New Roman"/>
          <w:b/>
          <w:bCs/>
          <w:sz w:val="24"/>
          <w:lang w:bidi="ar"/>
        </w:rPr>
        <w:t xml:space="preserve"> </w:t>
      </w:r>
    </w:p>
    <w:p w14:paraId="4594ED4F" w14:textId="54B91373" w:rsidR="00242F3E" w:rsidRPr="00675F05" w:rsidRDefault="00000000" w:rsidP="00675F05">
      <w:pPr>
        <w:widowControl/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>
        <w:rPr>
          <w:rFonts w:ascii="Times New Roman" w:eastAsia="宋体" w:hAnsi="Times New Roman" w:cs="Times New Roman"/>
          <w:b/>
          <w:sz w:val="24"/>
          <w:lang w:bidi="ar"/>
        </w:rPr>
        <w:t>A.</w:t>
      </w:r>
      <w:r>
        <w:rPr>
          <w:rFonts w:ascii="Times New Roman" w:eastAsia="宋体" w:hAnsi="Times New Roman" w:cs="Times New Roman"/>
          <w:sz w:val="24"/>
          <w:lang w:bidi="ar"/>
        </w:rPr>
        <w:t xml:space="preserve"> </w:t>
      </w:r>
      <w:r w:rsidR="00C00FF1">
        <w:rPr>
          <w:rFonts w:ascii="Times New Roman" w:eastAsia="宋体" w:hAnsi="Times New Roman" w:cs="Times New Roman"/>
          <w:sz w:val="24"/>
          <w:lang w:bidi="ar"/>
        </w:rPr>
        <w:t>Heat</w:t>
      </w:r>
      <w:r>
        <w:rPr>
          <w:rFonts w:ascii="Times New Roman" w:eastAsia="宋体" w:hAnsi="Times New Roman" w:cs="Times New Roman"/>
          <w:sz w:val="24"/>
          <w:lang w:bidi="ar"/>
        </w:rPr>
        <w:t xml:space="preserve"> map of differentially expressed genes (DEGs) (in JQ1, I-BET151-treated HK1 cells. </w:t>
      </w:r>
      <w:r w:rsidR="00242F3E">
        <w:rPr>
          <w:rFonts w:ascii="Times New Roman" w:eastAsia="宋体" w:hAnsi="Times New Roman" w:cs="Times New Roman"/>
          <w:b/>
          <w:bCs/>
          <w:sz w:val="24"/>
          <w:lang w:bidi="ar"/>
        </w:rPr>
        <w:t>B</w:t>
      </w:r>
      <w:r>
        <w:rPr>
          <w:rFonts w:ascii="Times New Roman" w:eastAsia="宋体" w:hAnsi="Times New Roman" w:cs="Times New Roman"/>
          <w:b/>
          <w:bCs/>
          <w:sz w:val="24"/>
          <w:lang w:bidi="ar"/>
        </w:rPr>
        <w:t>.</w:t>
      </w:r>
      <w:r>
        <w:rPr>
          <w:rFonts w:ascii="Times New Roman" w:eastAsia="宋体" w:hAnsi="Times New Roman" w:cs="Times New Roman"/>
          <w:sz w:val="24"/>
          <w:lang w:bidi="ar"/>
        </w:rPr>
        <w:t xml:space="preserve"> Venn diagram of co-downregulated/upregulated genes in JQ1, I-BET151-treated HK1 cells. </w:t>
      </w:r>
      <w:r w:rsidR="00242F3E">
        <w:rPr>
          <w:rFonts w:ascii="Times New Roman" w:eastAsia="宋体" w:hAnsi="Times New Roman" w:cs="Times New Roman"/>
          <w:b/>
          <w:bCs/>
          <w:sz w:val="24"/>
          <w:lang w:bidi="ar"/>
        </w:rPr>
        <w:t>C</w:t>
      </w:r>
      <w:r>
        <w:rPr>
          <w:rFonts w:ascii="Times New Roman" w:eastAsia="宋体" w:hAnsi="Times New Roman" w:cs="Times New Roman"/>
          <w:b/>
          <w:bCs/>
          <w:sz w:val="24"/>
          <w:lang w:bidi="ar"/>
        </w:rPr>
        <w:t xml:space="preserve"> and </w:t>
      </w:r>
      <w:r w:rsidR="00242F3E">
        <w:rPr>
          <w:rFonts w:ascii="Times New Roman" w:eastAsia="宋体" w:hAnsi="Times New Roman" w:cs="Times New Roman"/>
          <w:b/>
          <w:bCs/>
          <w:sz w:val="24"/>
          <w:lang w:bidi="ar"/>
        </w:rPr>
        <w:t>D</w:t>
      </w:r>
      <w:r>
        <w:rPr>
          <w:rFonts w:ascii="Times New Roman" w:eastAsia="宋体" w:hAnsi="Times New Roman" w:cs="Times New Roman"/>
          <w:b/>
          <w:bCs/>
          <w:sz w:val="24"/>
          <w:lang w:bidi="ar"/>
        </w:rPr>
        <w:t>.</w:t>
      </w:r>
      <w:r>
        <w:rPr>
          <w:rFonts w:ascii="Times New Roman" w:eastAsia="宋体" w:hAnsi="Times New Roman" w:cs="Times New Roman"/>
          <w:sz w:val="24"/>
          <w:lang w:bidi="ar"/>
        </w:rPr>
        <w:t xml:space="preserve"> Venn diagram showing genes regulated by SEs and down-regulated by BRD4 inhibitor treatment.</w:t>
      </w:r>
      <w:r>
        <w:rPr>
          <w:rFonts w:ascii="Times New Roman" w:eastAsia="宋体" w:hAnsi="Times New Roman" w:cs="Times New Roman"/>
          <w:b/>
          <w:bCs/>
          <w:sz w:val="24"/>
          <w:lang w:bidi="ar"/>
        </w:rPr>
        <w:t xml:space="preserve"> </w:t>
      </w:r>
      <w:r w:rsidR="00242F3E">
        <w:rPr>
          <w:rFonts w:ascii="Times New Roman" w:eastAsia="宋体" w:hAnsi="Times New Roman" w:cs="Times New Roman"/>
          <w:b/>
          <w:bCs/>
          <w:sz w:val="24"/>
          <w:lang w:bidi="ar"/>
        </w:rPr>
        <w:t>E</w:t>
      </w:r>
      <w:r>
        <w:rPr>
          <w:rFonts w:ascii="Times New Roman" w:eastAsia="宋体" w:hAnsi="Times New Roman" w:cs="Times New Roman"/>
          <w:b/>
          <w:bCs/>
          <w:sz w:val="24"/>
          <w:lang w:bidi="ar"/>
        </w:rPr>
        <w:t>.</w:t>
      </w:r>
      <w:r>
        <w:rPr>
          <w:rFonts w:ascii="Times New Roman" w:eastAsia="宋体" w:hAnsi="Times New Roman" w:cs="Times New Roman"/>
          <w:sz w:val="24"/>
          <w:lang w:bidi="ar"/>
        </w:rPr>
        <w:t xml:space="preserve"> IGV software demonstrates H3K27ac ChIP-seq peaks of ITGA6, CAV2, DST, FAT2, PDLIM1, and PKPI genes. </w:t>
      </w:r>
      <w:r w:rsidR="00242F3E">
        <w:rPr>
          <w:rFonts w:ascii="Times New Roman" w:eastAsia="宋体" w:hAnsi="Times New Roman" w:cs="Times New Roman"/>
          <w:b/>
          <w:bCs/>
          <w:sz w:val="24"/>
          <w:lang w:bidi="ar"/>
        </w:rPr>
        <w:t>F</w:t>
      </w:r>
      <w:r>
        <w:rPr>
          <w:rFonts w:ascii="Times New Roman" w:eastAsia="宋体" w:hAnsi="Times New Roman" w:cs="Times New Roman"/>
          <w:b/>
          <w:bCs/>
          <w:sz w:val="24"/>
          <w:lang w:bidi="ar"/>
        </w:rPr>
        <w:t>.</w:t>
      </w:r>
      <w:r>
        <w:rPr>
          <w:rFonts w:ascii="Times New Roman" w:eastAsia="宋体" w:hAnsi="Times New Roman" w:cs="Times New Roman"/>
          <w:sz w:val="24"/>
          <w:lang w:bidi="ar"/>
        </w:rPr>
        <w:t xml:space="preserve"> Expression of ITGA6, CAV2, DST, FAT2, PDLIM1, and PKPI genes was analyzed using the HNSC-TCGA database.</w:t>
      </w:r>
      <w:r>
        <w:rPr>
          <w:rFonts w:ascii="Times New Roman" w:hAnsi="Times New Roman" w:cs="Times New Roman"/>
          <w:sz w:val="24"/>
        </w:rPr>
        <w:t xml:space="preserve"> 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0.01, ***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</w:t>
      </w:r>
    </w:p>
    <w:p w14:paraId="5B72D9FA" w14:textId="05A928F5" w:rsidR="00761F03" w:rsidRDefault="00000000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>Figure S2</w:t>
      </w:r>
    </w:p>
    <w:p w14:paraId="602132D8" w14:textId="77777777" w:rsidR="00761F03" w:rsidRDefault="00000000">
      <w:pPr>
        <w:widowControl/>
        <w:jc w:val="left"/>
        <w:rPr>
          <w:b/>
          <w:bCs/>
        </w:rPr>
      </w:pPr>
      <w:r>
        <w:rPr>
          <w:noProof/>
        </w:rPr>
        <w:drawing>
          <wp:inline distT="0" distB="0" distL="0" distR="0" wp14:anchorId="13E8BD7B" wp14:editId="62B9D5F2">
            <wp:extent cx="5274310" cy="815911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87F4D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18"/>
          <w:szCs w:val="18"/>
          <w:lang w:bidi="ar"/>
        </w:rPr>
      </w:pPr>
    </w:p>
    <w:p w14:paraId="7F28B052" w14:textId="0559D35B" w:rsidR="00761F03" w:rsidRDefault="00000000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18"/>
          <w:lang w:bidi="ar"/>
        </w:rPr>
      </w:pP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lastRenderedPageBreak/>
        <w:t>Fig</w:t>
      </w:r>
      <w:r w:rsidR="00904FD4">
        <w:rPr>
          <w:rFonts w:ascii="Times New Roman" w:eastAsia="宋体" w:hAnsi="Times New Roman" w:cs="Times New Roman" w:hint="eastAsia"/>
          <w:b/>
          <w:sz w:val="24"/>
          <w:szCs w:val="18"/>
          <w:lang w:bidi="ar"/>
        </w:rPr>
        <w:t>ure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. S2. </w:t>
      </w:r>
      <w:bookmarkStart w:id="2" w:name="_Hlk119498832"/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ITGA6 was highly expressed in SCC cells.</w:t>
      </w:r>
      <w:bookmarkEnd w:id="2"/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 </w:t>
      </w:r>
    </w:p>
    <w:p w14:paraId="570123A9" w14:textId="77777777" w:rsidR="00761F03" w:rsidRDefault="00000000">
      <w:pPr>
        <w:widowControl/>
        <w:spacing w:line="360" w:lineRule="auto"/>
        <w:rPr>
          <w:rFonts w:ascii="Times New Roman" w:eastAsia="宋体" w:hAnsi="Times New Roman" w:cs="Times New Roman"/>
          <w:bCs/>
          <w:sz w:val="24"/>
          <w:szCs w:val="18"/>
          <w:lang w:bidi="ar"/>
        </w:rPr>
      </w:pP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A.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The expression of ITGA6 in each tumor was analyzed using the GEPIA database.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B.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UALCAN database was used to analyze the expression of ITGA6 in head and neck squamous cell carcinoma (HNSC) and pancreatic squamous cell carcinoma (PAAD).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C.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KM-plot software was used to analyze the relationship between ITGA6 expression level and the prognosis of patients with SCC.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D.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ITGA6 is associated with tumor grade in HNSC and PAAD patients.</w:t>
      </w:r>
      <w:r>
        <w:rPr>
          <w:rFonts w:ascii="Times New Roman" w:hAnsi="Times New Roman" w:cs="Times New Roman"/>
          <w:sz w:val="24"/>
          <w:szCs w:val="18"/>
        </w:rPr>
        <w:t xml:space="preserve"> *</w:t>
      </w:r>
      <w:r>
        <w:rPr>
          <w:rFonts w:ascii="Times New Roman" w:hAnsi="Times New Roman" w:cs="Times New Roman"/>
          <w:iCs/>
          <w:sz w:val="24"/>
          <w:szCs w:val="18"/>
        </w:rPr>
        <w:t>P</w:t>
      </w:r>
      <w:r>
        <w:rPr>
          <w:rFonts w:ascii="Times New Roman" w:hAnsi="Times New Roman" w:cs="Times New Roman"/>
          <w:sz w:val="24"/>
          <w:szCs w:val="18"/>
        </w:rPr>
        <w:t xml:space="preserve"> &lt; 0.05, **</w:t>
      </w:r>
      <w:r>
        <w:rPr>
          <w:rFonts w:ascii="Times New Roman" w:hAnsi="Times New Roman" w:cs="Times New Roman"/>
          <w:iCs/>
          <w:sz w:val="24"/>
          <w:szCs w:val="18"/>
        </w:rPr>
        <w:t>P</w:t>
      </w:r>
      <w:r>
        <w:rPr>
          <w:rFonts w:ascii="Times New Roman" w:hAnsi="Times New Roman" w:cs="Times New Roman"/>
          <w:sz w:val="24"/>
          <w:szCs w:val="18"/>
        </w:rPr>
        <w:t xml:space="preserve"> &lt; 0.01, ***</w:t>
      </w:r>
      <w:r>
        <w:rPr>
          <w:rFonts w:ascii="Times New Roman" w:hAnsi="Times New Roman" w:cs="Times New Roman"/>
          <w:iCs/>
          <w:sz w:val="24"/>
          <w:szCs w:val="18"/>
        </w:rPr>
        <w:t>P</w:t>
      </w:r>
      <w:r>
        <w:rPr>
          <w:rFonts w:ascii="Times New Roman" w:hAnsi="Times New Roman" w:cs="Times New Roman"/>
          <w:sz w:val="24"/>
          <w:szCs w:val="18"/>
        </w:rPr>
        <w:t xml:space="preserve"> &lt; 0.001.</w:t>
      </w:r>
    </w:p>
    <w:p w14:paraId="61C1FD8F" w14:textId="77777777" w:rsidR="00761F03" w:rsidRDefault="00761F03">
      <w:pPr>
        <w:widowControl/>
        <w:spacing w:line="360" w:lineRule="auto"/>
        <w:rPr>
          <w:rFonts w:ascii="Times New Roman" w:eastAsia="宋体" w:hAnsi="Times New Roman" w:cs="Times New Roman"/>
          <w:bCs/>
          <w:sz w:val="24"/>
          <w:szCs w:val="18"/>
          <w:lang w:bidi="ar"/>
        </w:rPr>
      </w:pPr>
    </w:p>
    <w:p w14:paraId="6A2937C1" w14:textId="77777777" w:rsidR="00761F03" w:rsidRDefault="00000000">
      <w:pPr>
        <w:widowControl/>
        <w:jc w:val="left"/>
        <w:rPr>
          <w:b/>
          <w:bCs/>
          <w:i/>
          <w:iCs/>
          <w:sz w:val="24"/>
        </w:rPr>
      </w:pPr>
      <w:r>
        <w:rPr>
          <w:rFonts w:ascii="Times New Roman" w:eastAsia="宋体" w:hAnsi="Times New Roman" w:cs="Times New Roman"/>
          <w:b/>
          <w:bCs/>
          <w:i/>
          <w:iCs/>
          <w:sz w:val="24"/>
          <w:lang w:bidi="ar"/>
        </w:rPr>
        <w:t>Figure S3</w:t>
      </w:r>
    </w:p>
    <w:p w14:paraId="4A4CDB07" w14:textId="77777777" w:rsidR="00761F03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E51A2F2" wp14:editId="6CE4E551">
            <wp:extent cx="5274310" cy="465074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B7550" w14:textId="3E676EB0" w:rsidR="00761F03" w:rsidRDefault="00000000">
      <w:pPr>
        <w:spacing w:line="360" w:lineRule="auto"/>
        <w:rPr>
          <w:rFonts w:ascii="Times New Roman" w:eastAsia="宋体" w:hAnsi="Times New Roman" w:cs="Times New Roman"/>
          <w:b/>
          <w:sz w:val="24"/>
          <w:szCs w:val="18"/>
          <w:lang w:bidi="ar"/>
        </w:rPr>
      </w:pP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Fig</w:t>
      </w:r>
      <w:r w:rsidR="00904FD4">
        <w:rPr>
          <w:rFonts w:ascii="Times New Roman" w:eastAsia="宋体" w:hAnsi="Times New Roman" w:cs="Times New Roman"/>
          <w:b/>
          <w:sz w:val="24"/>
          <w:szCs w:val="18"/>
          <w:lang w:bidi="ar"/>
        </w:rPr>
        <w:t>ure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. S3. ITGA6 inhibits the malignant behavior of SCC cells. </w:t>
      </w:r>
    </w:p>
    <w:p w14:paraId="78502266" w14:textId="77777777" w:rsidR="00761F03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18"/>
          <w:lang w:bidi="ar"/>
        </w:rPr>
      </w:pP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 xml:space="preserve">A.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Cell viability assays. HK1 and BXPC3 cells were exposed to different concentrations of cisplatin. 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>B.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Cell viability assays showed that ITGA6 deficiency inhibited cell growth. 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>C.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Wound-healing assays showed </w:t>
      </w:r>
      <w:bookmarkStart w:id="3" w:name="_Hlk115893057"/>
      <w:r>
        <w:rPr>
          <w:rFonts w:ascii="Times New Roman" w:eastAsia="宋体" w:hAnsi="Times New Roman" w:cs="Times New Roman"/>
          <w:sz w:val="24"/>
          <w:szCs w:val="18"/>
          <w:lang w:bidi="ar"/>
        </w:rPr>
        <w:t>ITGA6-knockdown inhibits SCC cell migration ability.</w:t>
      </w:r>
      <w:bookmarkEnd w:id="3"/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>D.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Invasion assays demonstrated ITGA6-knockdown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lastRenderedPageBreak/>
        <w:t xml:space="preserve">inhibits SCC cell invasion ability. 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>E.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Ki67 immunofluorescence assays were assessed to detect SCC cells' proliferation ability. 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>F.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Colony formation assays demonstrated that ITGA6-knockdown reduced cell viability. 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>P</w:t>
      </w:r>
      <w:r>
        <w:rPr>
          <w:rFonts w:ascii="Times New Roman" w:eastAsia="宋体" w:hAnsi="Times New Roman" w:cs="Times New Roman"/>
          <w:iCs/>
          <w:sz w:val="24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&lt; 0.05, **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 xml:space="preserve">P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&lt; 0.01, ***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>P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&lt; 0.001.</w:t>
      </w:r>
    </w:p>
    <w:p w14:paraId="3544A6EE" w14:textId="77777777" w:rsidR="00761F03" w:rsidRDefault="00761F03">
      <w:pPr>
        <w:ind w:firstLineChars="200" w:firstLine="360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25C4D1DA" w14:textId="77777777" w:rsidR="00761F03" w:rsidRDefault="00000000">
      <w:pPr>
        <w:rPr>
          <w:rFonts w:ascii="Times New Roman" w:eastAsia="宋体" w:hAnsi="Times New Roman" w:cs="Times New Roman"/>
          <w:b/>
          <w:bCs/>
          <w:i/>
          <w:iCs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i/>
          <w:iCs/>
          <w:sz w:val="24"/>
          <w:lang w:bidi="ar"/>
        </w:rPr>
        <w:t>Figure S4</w:t>
      </w:r>
    </w:p>
    <w:p w14:paraId="0AB3666D" w14:textId="223B9C54" w:rsidR="00761F03" w:rsidRDefault="006A551A">
      <w:pPr>
        <w:widowControl/>
        <w:jc w:val="left"/>
        <w:rPr>
          <w:sz w:val="18"/>
          <w:szCs w:val="18"/>
        </w:rPr>
      </w:pPr>
      <w:r>
        <w:rPr>
          <w:noProof/>
        </w:rPr>
        <w:drawing>
          <wp:inline distT="0" distB="0" distL="0" distR="0" wp14:anchorId="4E5C3931" wp14:editId="674F6385">
            <wp:extent cx="5274310" cy="33343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D08FD" w14:textId="59E10350" w:rsidR="00761F03" w:rsidRDefault="00000000">
      <w:pPr>
        <w:widowControl/>
        <w:spacing w:line="360" w:lineRule="auto"/>
        <w:rPr>
          <w:rFonts w:ascii="Times New Roman" w:eastAsia="宋体" w:hAnsi="Times New Roman" w:cs="Times New Roman"/>
          <w:b/>
          <w:sz w:val="24"/>
          <w:szCs w:val="18"/>
          <w:lang w:bidi="ar"/>
        </w:rPr>
      </w:pP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Fig</w:t>
      </w:r>
      <w:r w:rsidR="00904FD4">
        <w:rPr>
          <w:rFonts w:ascii="Times New Roman" w:eastAsia="宋体" w:hAnsi="Times New Roman" w:cs="Times New Roman"/>
          <w:b/>
          <w:sz w:val="24"/>
          <w:szCs w:val="18"/>
          <w:lang w:bidi="ar"/>
        </w:rPr>
        <w:t>ure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. S4. </w:t>
      </w:r>
      <w:bookmarkStart w:id="4" w:name="_Hlk119499063"/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MYC played an oncogenic role in SCC. </w:t>
      </w:r>
      <w:bookmarkEnd w:id="4"/>
    </w:p>
    <w:p w14:paraId="34FE9DE3" w14:textId="77777777" w:rsidR="00761F03" w:rsidRDefault="00000000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18"/>
          <w:lang w:bidi="ar"/>
        </w:rPr>
      </w:pP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A.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The expression of MYC in HNSC was assessed in the TCGA database.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B.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The relationship between MYC and the prognosis of HNSC patients was assessed in the TCGA database.</w:t>
      </w:r>
      <w:r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C.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The protein levels of MYC were measured by western blot.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D.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The cell viability of HK1 and BXPC3 cells was measured by cell viability assays.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E.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RT-qPCR demonstrated that MYC deficiency reduced the mRNA levels of CD133 and Snail.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F.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Tumor sphere formation assays revealed that MYC deficiency inhibited the sphere-forming ability of HK1 and BXPC3 cells.</w:t>
      </w:r>
      <w:r>
        <w:rPr>
          <w:rFonts w:ascii="Times New Roman" w:eastAsia="宋体" w:hAnsi="Times New Roman" w:cs="Times New Roman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>P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&lt; 0.05, **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>P</w:t>
      </w:r>
      <w:r>
        <w:rPr>
          <w:rFonts w:ascii="Times New Roman" w:eastAsia="宋体" w:hAnsi="Times New Roman" w:cs="Times New Roman"/>
          <w:iCs/>
          <w:sz w:val="24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&lt; 0.01, ***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>P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&lt; 0.001.</w:t>
      </w:r>
    </w:p>
    <w:p w14:paraId="26FBEE59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29F3A0DA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026EA0D8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691D232E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1DDB9C11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0CFF086D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2EF305AE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3C2DB403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405F9BB9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2EE5F0BC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b/>
          <w:bCs/>
          <w:i/>
          <w:iCs/>
          <w:sz w:val="24"/>
          <w:lang w:bidi="ar"/>
        </w:rPr>
      </w:pPr>
    </w:p>
    <w:p w14:paraId="46511EAF" w14:textId="77777777" w:rsidR="00761F03" w:rsidRDefault="00000000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eastAsia="宋体" w:hAnsi="Times New Roman" w:cs="Times New Roman"/>
          <w:b/>
          <w:bCs/>
          <w:i/>
          <w:iCs/>
          <w:sz w:val="24"/>
          <w:lang w:bidi="ar"/>
        </w:rPr>
        <w:t>Figure S5</w:t>
      </w:r>
    </w:p>
    <w:p w14:paraId="3112F6DE" w14:textId="77777777" w:rsidR="00761F03" w:rsidRDefault="00000000">
      <w:pPr>
        <w:widowControl/>
        <w:jc w:val="left"/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inline distT="0" distB="0" distL="0" distR="0" wp14:anchorId="6CF2C87D" wp14:editId="3902457E">
            <wp:extent cx="5274310" cy="31629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56D94" w14:textId="79BF4639" w:rsidR="00761F03" w:rsidRDefault="00000000">
      <w:pPr>
        <w:widowControl/>
        <w:spacing w:line="360" w:lineRule="auto"/>
        <w:rPr>
          <w:rFonts w:ascii="Times New Roman" w:eastAsia="宋体" w:hAnsi="Times New Roman" w:cs="Times New Roman"/>
          <w:b/>
          <w:sz w:val="24"/>
          <w:szCs w:val="18"/>
          <w:lang w:bidi="ar"/>
        </w:rPr>
      </w:pP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Fig</w:t>
      </w:r>
      <w:r w:rsidR="00904FD4">
        <w:rPr>
          <w:rFonts w:ascii="Times New Roman" w:eastAsia="宋体" w:hAnsi="Times New Roman" w:cs="Times New Roman"/>
          <w:b/>
          <w:sz w:val="24"/>
          <w:szCs w:val="18"/>
          <w:lang w:bidi="ar"/>
        </w:rPr>
        <w:t>ure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. S5. YAP could regulate the malignant behavior of SCC cells. </w:t>
      </w:r>
    </w:p>
    <w:p w14:paraId="38A243C7" w14:textId="79E7504B" w:rsidR="00761F03" w:rsidRDefault="00000000">
      <w:pPr>
        <w:widowControl/>
        <w:spacing w:line="360" w:lineRule="auto"/>
        <w:rPr>
          <w:rFonts w:ascii="Times New Roman" w:eastAsia="宋体" w:hAnsi="Times New Roman" w:cs="Times New Roman"/>
          <w:bCs/>
          <w:sz w:val="24"/>
          <w:lang w:bidi="ar"/>
        </w:rPr>
      </w:pP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A.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Immunofluorescence showed co-localization of ITGA6 and YAP.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>B.</w:t>
      </w:r>
      <w:r>
        <w:rPr>
          <w:rFonts w:ascii="Times New Roman" w:eastAsia="宋体" w:hAnsi="Times New Roman" w:cs="Times New Roman"/>
          <w:bCs/>
          <w:sz w:val="24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>Tumor sphere formation assays revealed that knockdown of YAP in ITGA6-deficient cells could rescue the sphere-forming ability of HK1 and BXPC3 cells.</w:t>
      </w:r>
      <w:r>
        <w:rPr>
          <w:rFonts w:ascii="Times New Roman" w:eastAsia="宋体" w:hAnsi="Times New Roman" w:cs="Times New Roman"/>
          <w:sz w:val="24"/>
          <w:lang w:bidi="ar"/>
        </w:rPr>
        <w:t xml:space="preserve"> Left,</w:t>
      </w:r>
      <w:r>
        <w:rPr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cell sphere photography; right,</w:t>
      </w:r>
      <w:r>
        <w:rPr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statistical chart.</w:t>
      </w:r>
      <w:r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18"/>
          <w:lang w:bidi="ar"/>
        </w:rPr>
        <w:t xml:space="preserve">C.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RT-qPCR assays showed that the knockdown of YAP in ITGA6-deficient HK1 and BXPC3 cells increased the expression of CD133, CD44, and Snail. </w:t>
      </w:r>
      <w:r>
        <w:rPr>
          <w:rFonts w:ascii="Times New Roman" w:eastAsia="宋体" w:hAnsi="Times New Roman" w:cs="Times New Roman"/>
          <w:b/>
          <w:sz w:val="24"/>
          <w:lang w:bidi="ar"/>
        </w:rPr>
        <w:t xml:space="preserve">D. 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Cell viability assays demonstrated that the knockdown of YAP in ITGA6-deficient cells could rescue cellular viability in SCC cells. </w:t>
      </w:r>
      <w:bookmarkStart w:id="5" w:name="_Hlk116424050"/>
      <w:r>
        <w:rPr>
          <w:rFonts w:ascii="Times New Roman" w:eastAsia="宋体" w:hAnsi="Times New Roman" w:cs="Times New Roman"/>
          <w:sz w:val="24"/>
          <w:szCs w:val="18"/>
          <w:lang w:bidi="ar"/>
        </w:rPr>
        <w:t>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>P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&lt; 0.05, **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>P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&lt; 0.01, ***</w:t>
      </w:r>
      <w:r>
        <w:rPr>
          <w:rFonts w:ascii="Times New Roman" w:eastAsia="宋体" w:hAnsi="Times New Roman" w:cs="Times New Roman"/>
          <w:i/>
          <w:sz w:val="24"/>
          <w:szCs w:val="18"/>
          <w:lang w:bidi="ar"/>
        </w:rPr>
        <w:t>P</w:t>
      </w:r>
      <w:r>
        <w:rPr>
          <w:rFonts w:ascii="Times New Roman" w:eastAsia="宋体" w:hAnsi="Times New Roman" w:cs="Times New Roman"/>
          <w:sz w:val="24"/>
          <w:szCs w:val="18"/>
          <w:lang w:bidi="ar"/>
        </w:rPr>
        <w:t xml:space="preserve"> &lt; 0.001.</w:t>
      </w:r>
      <w:bookmarkEnd w:id="5"/>
    </w:p>
    <w:p w14:paraId="440EF9B1" w14:textId="77777777" w:rsidR="00761F03" w:rsidRDefault="00761F03">
      <w:pPr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0D8DD152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14A3FE59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726161B6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1CEE8AF7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0655E559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284C42FA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10B23AC7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2085A27C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41B73FBF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2E154DEA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025AE773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746DC74B" w14:textId="77777777" w:rsidR="00761F03" w:rsidRDefault="00761F03">
      <w:pPr>
        <w:widowControl/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</w:p>
    <w:p w14:paraId="32838202" w14:textId="77777777" w:rsidR="00761F03" w:rsidRDefault="00000000">
      <w:pPr>
        <w:widowControl/>
        <w:jc w:val="left"/>
        <w:rPr>
          <w:rFonts w:ascii="Times New Roman" w:eastAsia="宋体" w:hAnsi="Times New Roman" w:cs="Times New Roman"/>
          <w:sz w:val="18"/>
          <w:szCs w:val="18"/>
          <w:lang w:bidi="ar"/>
        </w:rPr>
      </w:pPr>
      <w:r>
        <w:rPr>
          <w:rFonts w:ascii="Times New Roman" w:eastAsia="宋体" w:hAnsi="Times New Roman" w:cs="Times New Roman"/>
          <w:kern w:val="0"/>
          <w:sz w:val="24"/>
        </w:rPr>
        <w:t>Table S1. Antibodies information used in this study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80"/>
        <w:gridCol w:w="3663"/>
        <w:gridCol w:w="1779"/>
      </w:tblGrid>
      <w:tr w:rsidR="00761F03" w14:paraId="13FE8DD8" w14:textId="77777777">
        <w:trPr>
          <w:trHeight w:val="285"/>
        </w:trPr>
        <w:tc>
          <w:tcPr>
            <w:tcW w:w="18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A1F5792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Antibodies</w:t>
            </w:r>
          </w:p>
        </w:tc>
        <w:tc>
          <w:tcPr>
            <w:tcW w:w="21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F6F7BDE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SOURCE</w:t>
            </w:r>
          </w:p>
        </w:tc>
        <w:tc>
          <w:tcPr>
            <w:tcW w:w="10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2EFC8FF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IDENTIFIER</w:t>
            </w:r>
          </w:p>
        </w:tc>
      </w:tr>
      <w:tr w:rsidR="00761F03" w14:paraId="70434F57" w14:textId="77777777">
        <w:trPr>
          <w:trHeight w:val="285"/>
        </w:trPr>
        <w:tc>
          <w:tcPr>
            <w:tcW w:w="180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27945B95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ITGA6</w:t>
            </w:r>
          </w:p>
        </w:tc>
        <w:tc>
          <w:tcPr>
            <w:tcW w:w="214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18A1AE1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1044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2A35E29C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27189-1-AP</w:t>
            </w:r>
          </w:p>
        </w:tc>
      </w:tr>
      <w:tr w:rsidR="00761F03" w14:paraId="0E7EAC26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47ABAF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TP63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92508A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86A31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13109S</w:t>
            </w:r>
          </w:p>
        </w:tc>
      </w:tr>
      <w:tr w:rsidR="00761F03" w14:paraId="7FB7D2AF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EF92F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YAP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CA4F92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Abclonal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B8988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A1002</w:t>
            </w:r>
          </w:p>
        </w:tc>
      </w:tr>
      <w:tr w:rsidR="00761F03" w14:paraId="1B932EB7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A9130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YAP/TAZ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40C3F6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AAB94A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8418T</w:t>
            </w:r>
          </w:p>
        </w:tc>
      </w:tr>
      <w:tr w:rsidR="00761F03" w14:paraId="5EAB5DE2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73EC5B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Histone3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F6303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C6189F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60932</w:t>
            </w:r>
          </w:p>
        </w:tc>
      </w:tr>
      <w:tr w:rsidR="00761F03" w14:paraId="25B25029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3D83EF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FBXO32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FB6A0D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2042E0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67172-1-Ig</w:t>
            </w:r>
          </w:p>
        </w:tc>
      </w:tr>
      <w:tr w:rsidR="00761F03" w14:paraId="5185AAE9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BA04FE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TEAD1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5E64C8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Santa Cruz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4D24B2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Sc-393976</w:t>
            </w:r>
          </w:p>
        </w:tc>
      </w:tr>
      <w:tr w:rsidR="00761F03" w14:paraId="43C996D3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A9C37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MYC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47AF37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Abcam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19A488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Ab32072</w:t>
            </w:r>
          </w:p>
        </w:tc>
      </w:tr>
      <w:tr w:rsidR="00761F03" w14:paraId="1ABF5D48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BF6F1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GAPDH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D50AC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C9725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60004-1-Ig</w:t>
            </w:r>
          </w:p>
        </w:tc>
      </w:tr>
      <w:tr w:rsidR="00761F03" w14:paraId="5B7A5547" w14:textId="77777777">
        <w:trPr>
          <w:trHeight w:val="285"/>
        </w:trPr>
        <w:tc>
          <w:tcPr>
            <w:tcW w:w="180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A6A49C8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TEAD1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A9D4118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Santa Cruze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DD6FB7B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Sc-393976</w:t>
            </w:r>
          </w:p>
        </w:tc>
      </w:tr>
    </w:tbl>
    <w:p w14:paraId="7F267C73" w14:textId="77777777" w:rsidR="00761F03" w:rsidRDefault="00761F0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97"/>
        <w:gridCol w:w="3565"/>
        <w:gridCol w:w="3260"/>
      </w:tblGrid>
      <w:tr w:rsidR="00761F03" w14:paraId="3529148E" w14:textId="77777777">
        <w:trPr>
          <w:trHeight w:val="28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814B0E" w14:textId="77777777" w:rsidR="00761F03" w:rsidRDefault="0000000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Table S2. RT-qPCR primers used in this study</w:t>
            </w:r>
          </w:p>
        </w:tc>
      </w:tr>
      <w:tr w:rsidR="00761F03" w14:paraId="1E539FFA" w14:textId="77777777">
        <w:trPr>
          <w:trHeight w:val="285"/>
        </w:trPr>
        <w:tc>
          <w:tcPr>
            <w:tcW w:w="18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4065579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Gene</w:t>
            </w:r>
          </w:p>
        </w:tc>
        <w:tc>
          <w:tcPr>
            <w:tcW w:w="162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209AAD3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Forward primer</w:t>
            </w:r>
          </w:p>
        </w:tc>
        <w:tc>
          <w:tcPr>
            <w:tcW w:w="15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7EB060B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Reverse primer</w:t>
            </w:r>
          </w:p>
        </w:tc>
      </w:tr>
      <w:tr w:rsidR="00761F03" w14:paraId="6D9EDF64" w14:textId="77777777">
        <w:trPr>
          <w:trHeight w:val="285"/>
        </w:trPr>
        <w:tc>
          <w:tcPr>
            <w:tcW w:w="1804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92D0B59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YAP</w:t>
            </w:r>
          </w:p>
        </w:tc>
        <w:tc>
          <w:tcPr>
            <w:tcW w:w="162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18FA6C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ACACCGTGCTGCCATTAAAG</w:t>
            </w:r>
          </w:p>
        </w:tc>
        <w:tc>
          <w:tcPr>
            <w:tcW w:w="157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4BD7B3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TCAGTACAGAGGGCATCGTA</w:t>
            </w:r>
          </w:p>
        </w:tc>
      </w:tr>
      <w:tr w:rsidR="00761F03" w14:paraId="4EFAC7E7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ECF8CA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TAZ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121CB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CACCCGGCCTTGATGTTTAT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A3C5F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TGTGTGGTGTGCTATCAGGT</w:t>
            </w:r>
          </w:p>
        </w:tc>
      </w:tr>
      <w:tr w:rsidR="00761F03" w14:paraId="50B056EB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D3B606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FBXO32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AB423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AGTGAAGGTGAGGCCTTTGAAG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D5FC9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AAGTCTGTGCTGGTCGGGAA</w:t>
            </w:r>
          </w:p>
        </w:tc>
      </w:tr>
      <w:tr w:rsidR="00761F03" w14:paraId="48003064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3585B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ITGA6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14C83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AGCTGTGCTTGCTCTACCTG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112EF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GAGCAACGACCGCTTGTCC</w:t>
            </w:r>
          </w:p>
        </w:tc>
      </w:tr>
      <w:tr w:rsidR="00761F03" w14:paraId="5E1FBF74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4D56CD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MYC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7D496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GATTCTCTGCTCTCCTCGAC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3375E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TCCAGACTCTGACCTTTTGC</w:t>
            </w:r>
          </w:p>
        </w:tc>
      </w:tr>
      <w:tr w:rsidR="00761F03" w14:paraId="5B063FDD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0A8B9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CD133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5840B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GCCTTTCTCCTGCCT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774BD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GGGGTCATTCACTCAAGG</w:t>
            </w:r>
          </w:p>
        </w:tc>
      </w:tr>
      <w:tr w:rsidR="00761F03" w14:paraId="0B64C349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CECE3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CD44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86DA5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CACAACAACACAAATGGCTG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34117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CAATGCCTGATCCAGAAAAA</w:t>
            </w:r>
          </w:p>
        </w:tc>
      </w:tr>
      <w:tr w:rsidR="00761F03" w14:paraId="5CE01DCE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A47647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Snail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A4275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TTACCTTCCAGCAGCCCTAC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452F9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AGCCTTTCCCACTGTCCTC</w:t>
            </w:r>
          </w:p>
        </w:tc>
      </w:tr>
      <w:tr w:rsidR="00761F03" w14:paraId="3953B772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451B6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GAPDH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F7FD7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CTTCGCTCTCTGCTCCTCCT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85B4F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GTTAAAAGCAGCCCTGGTGA</w:t>
            </w:r>
          </w:p>
        </w:tc>
      </w:tr>
      <w:tr w:rsidR="00761F03" w14:paraId="7A295882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170C5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KARB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02609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GTTTGTGGACTTCACCAGGGAG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FF365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CTCTTCTCCCTTCTCCAA</w:t>
            </w:r>
          </w:p>
        </w:tc>
      </w:tr>
      <w:tr w:rsidR="00761F03" w14:paraId="07A88BD5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565DF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ITGA6-SE#1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1CC30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AAATAACCAGAGCACCAG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345C6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CTCAAACAGGCAAACAAG</w:t>
            </w:r>
          </w:p>
        </w:tc>
      </w:tr>
      <w:tr w:rsidR="00761F03" w14:paraId="2105D4A9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9281E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ITGA6-SE#2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4FA83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GACAAGTTCATACATGGGAGTA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B57D8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TTGACATGCCTACCTCTT</w:t>
            </w:r>
          </w:p>
        </w:tc>
      </w:tr>
      <w:tr w:rsidR="00761F03" w14:paraId="5ECC9FB4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C0D0A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ITGA6-SE#3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D3AF0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GAAGCAAATCTTTGTGAAA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AB7DF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TTTTGAACCAAGCAACTA</w:t>
            </w:r>
          </w:p>
        </w:tc>
      </w:tr>
      <w:tr w:rsidR="00761F03" w14:paraId="2364BC61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7B758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ITGA6-SE#4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1ADF2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GTTGATGGCTGTTGGTGT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AE3DE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TGACAAGTTATCAGGTGGA</w:t>
            </w:r>
          </w:p>
        </w:tc>
      </w:tr>
      <w:tr w:rsidR="00761F03" w14:paraId="1A64E5BE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B8B1C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TP63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4A203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CCAGAGATGGGCAAGTCCTG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83C0F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GTGTGTTCTGACGAAACGGG</w:t>
            </w:r>
          </w:p>
        </w:tc>
      </w:tr>
      <w:tr w:rsidR="00761F03" w14:paraId="2AF95254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E58C8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TEAD1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0B152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ATGCCAACCATTCTTACA 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F6743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TCTACTACTTGCTTCCCAAA</w:t>
            </w:r>
          </w:p>
        </w:tc>
      </w:tr>
      <w:tr w:rsidR="00761F03" w14:paraId="67DCCAC0" w14:textId="77777777">
        <w:trPr>
          <w:trHeight w:val="285"/>
        </w:trPr>
        <w:tc>
          <w:tcPr>
            <w:tcW w:w="18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9D823F4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FBXO32-ChIP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3E80D66" w14:textId="77777777" w:rsidR="00761F0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ACTAACCCACATTGTTCATA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856E003" w14:textId="77777777" w:rsidR="00761F0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GAGACTACAGGCACTCACC</w:t>
            </w:r>
          </w:p>
        </w:tc>
      </w:tr>
    </w:tbl>
    <w:p w14:paraId="1C5B04AA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6ACEAA39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15653CF4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67E01403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1A6C99D9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5356DCBE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465F46BB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50294861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5ACA7FE9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259A0335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2079E1DF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7EDAE4C6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2E878C0C" w14:textId="77777777" w:rsidR="00761F03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T</w:t>
      </w:r>
      <w:r>
        <w:rPr>
          <w:rFonts w:ascii="Times New Roman" w:eastAsia="宋体" w:hAnsi="Times New Roman" w:cs="Times New Roman"/>
          <w:kern w:val="0"/>
          <w:sz w:val="24"/>
        </w:rPr>
        <w:t>able S3 siRNA and sgRNA sequences in this study</w:t>
      </w:r>
    </w:p>
    <w:tbl>
      <w:tblPr>
        <w:tblW w:w="3427" w:type="pct"/>
        <w:tblLook w:val="04A0" w:firstRow="1" w:lastRow="0" w:firstColumn="1" w:lastColumn="0" w:noHBand="0" w:noVBand="1"/>
      </w:tblPr>
      <w:tblGrid>
        <w:gridCol w:w="1928"/>
        <w:gridCol w:w="4060"/>
      </w:tblGrid>
      <w:tr w:rsidR="00761F03" w14:paraId="37E5F049" w14:textId="77777777">
        <w:trPr>
          <w:trHeight w:val="285"/>
        </w:trPr>
        <w:tc>
          <w:tcPr>
            <w:tcW w:w="26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114759D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Gene</w:t>
            </w:r>
          </w:p>
        </w:tc>
        <w:tc>
          <w:tcPr>
            <w:tcW w:w="23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8F0C5ED" w14:textId="77777777" w:rsidR="00761F0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sequence</w:t>
            </w:r>
          </w:p>
        </w:tc>
      </w:tr>
      <w:tr w:rsidR="00761F03" w14:paraId="7B8409EF" w14:textId="77777777">
        <w:trPr>
          <w:trHeight w:val="285"/>
        </w:trPr>
        <w:tc>
          <w:tcPr>
            <w:tcW w:w="263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3FFC89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TP63-siRNA#1</w:t>
            </w:r>
          </w:p>
        </w:tc>
        <w:tc>
          <w:tcPr>
            <w:tcW w:w="2366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C7C958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CCGUUUCGUCAGAACACACAU</w:t>
            </w:r>
          </w:p>
        </w:tc>
      </w:tr>
      <w:tr w:rsidR="00761F03" w14:paraId="7D92C055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E1548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TP63-siRNA#2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31D95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CAUCUGACCUGGCAUCUAAUU</w:t>
            </w:r>
          </w:p>
        </w:tc>
      </w:tr>
      <w:tr w:rsidR="00761F03" w14:paraId="73AA97A9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9699B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ITGA6-siRNA#1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501FF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CAACUGAAGUCACCUUUGAUU</w:t>
            </w:r>
          </w:p>
        </w:tc>
      </w:tr>
      <w:tr w:rsidR="00761F03" w14:paraId="1F25576A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92142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ITGA6-siRNA#2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DCC5A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GGAUAUGCCUCCAGGUUAAUU</w:t>
            </w:r>
          </w:p>
        </w:tc>
      </w:tr>
      <w:tr w:rsidR="00761F03" w14:paraId="5C6516F3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73241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YAP-siRNA#1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FE306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GACAUCUUCUGGUCAGAGA </w:t>
            </w:r>
          </w:p>
        </w:tc>
      </w:tr>
      <w:tr w:rsidR="00761F03" w14:paraId="48AC1FEA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E43D7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YAP-siRNA#2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D6798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CUGGUCAGAGAUACUUCUU </w:t>
            </w:r>
          </w:p>
        </w:tc>
      </w:tr>
      <w:tr w:rsidR="00761F03" w14:paraId="395135A0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12ADA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TEAD1-siRNA#1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5B4AD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CCAGAAGGAAAUCTCGUGAUU</w:t>
            </w:r>
          </w:p>
        </w:tc>
      </w:tr>
      <w:tr w:rsidR="00761F03" w14:paraId="2EB24EB8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320B9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TEAD1-siRNA#2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B6518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CCGAUUUGUAUACCGAAUAAA</w:t>
            </w:r>
          </w:p>
        </w:tc>
      </w:tr>
      <w:tr w:rsidR="00761F03" w14:paraId="48478414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2AC35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FBXO32-siRNA#1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52C0A" w14:textId="77777777" w:rsidR="00761F03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CUCAGUACUUCCAUCAAGA</w:t>
            </w:r>
          </w:p>
        </w:tc>
      </w:tr>
      <w:tr w:rsidR="00761F03" w14:paraId="0AC4B6FA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2C443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FBXO32-siRNA#2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025BD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CUACGUAGUAAGGCUGUUG</w:t>
            </w:r>
          </w:p>
        </w:tc>
      </w:tr>
      <w:tr w:rsidR="00761F03" w14:paraId="58EAD40A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C5D34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ITGA6-sgRNA#1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05932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CACC GTTCCTACGGGCATAAAAGGG</w:t>
            </w:r>
          </w:p>
        </w:tc>
      </w:tr>
      <w:tr w:rsidR="00761F03" w14:paraId="440D9E43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56DA8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ITGA6-sgRNA#2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CA0B1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CACC GTTGGGTGACTAATATCCCCT</w:t>
            </w:r>
          </w:p>
        </w:tc>
      </w:tr>
      <w:tr w:rsidR="00761F03" w14:paraId="205537B5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D42D6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ITGA6-sgRNA#3</w:t>
            </w: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9E50F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CACC GAGGGAAATAATTTGGTGCCA</w:t>
            </w:r>
          </w:p>
        </w:tc>
      </w:tr>
      <w:tr w:rsidR="00761F03" w14:paraId="1AF1CCC3" w14:textId="77777777">
        <w:trPr>
          <w:trHeight w:val="285"/>
        </w:trPr>
        <w:tc>
          <w:tcPr>
            <w:tcW w:w="26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46EAA2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ITGA6-sgRNA#4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A3EE17" w14:textId="77777777" w:rsidR="00761F0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CACC GAGTGCGTGGGAAATGTTTCG</w:t>
            </w:r>
          </w:p>
        </w:tc>
      </w:tr>
    </w:tbl>
    <w:p w14:paraId="494925FD" w14:textId="77777777" w:rsidR="00761F03" w:rsidRDefault="00761F03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sectPr w:rsidR="00761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D5FF7" w14:textId="77777777" w:rsidR="00D65D03" w:rsidRDefault="00D65D03" w:rsidP="00610061">
      <w:r>
        <w:separator/>
      </w:r>
    </w:p>
  </w:endnote>
  <w:endnote w:type="continuationSeparator" w:id="0">
    <w:p w14:paraId="77503770" w14:textId="77777777" w:rsidR="00D65D03" w:rsidRDefault="00D65D03" w:rsidP="0061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3825C" w14:textId="77777777" w:rsidR="00D65D03" w:rsidRDefault="00D65D03" w:rsidP="00610061">
      <w:r>
        <w:separator/>
      </w:r>
    </w:p>
  </w:footnote>
  <w:footnote w:type="continuationSeparator" w:id="0">
    <w:p w14:paraId="6A987098" w14:textId="77777777" w:rsidR="00D65D03" w:rsidRDefault="00D65D03" w:rsidP="00610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1tDQzNTI3sjAxMTZX0lEKTi0uzszPAykwrAUAX6WbcCwAAAA="/>
    <w:docVar w:name="commondata" w:val="eyJoZGlkIjoiNGE4NzAwZmQ3NDRiMWY5NzQ3NmZjOWM2ZGExNjE3YTAifQ=="/>
  </w:docVars>
  <w:rsids>
    <w:rsidRoot w:val="00A20309"/>
    <w:rsid w:val="00057392"/>
    <w:rsid w:val="000626F7"/>
    <w:rsid w:val="00073109"/>
    <w:rsid w:val="00082E98"/>
    <w:rsid w:val="000841FB"/>
    <w:rsid w:val="000A3005"/>
    <w:rsid w:val="000B1F6A"/>
    <w:rsid w:val="000C6B0E"/>
    <w:rsid w:val="001225D5"/>
    <w:rsid w:val="001249AF"/>
    <w:rsid w:val="00126C05"/>
    <w:rsid w:val="00165AED"/>
    <w:rsid w:val="001C096A"/>
    <w:rsid w:val="001C6F04"/>
    <w:rsid w:val="001D05B9"/>
    <w:rsid w:val="001E5299"/>
    <w:rsid w:val="001F218F"/>
    <w:rsid w:val="00242F3E"/>
    <w:rsid w:val="002D7238"/>
    <w:rsid w:val="00343157"/>
    <w:rsid w:val="003700BA"/>
    <w:rsid w:val="00393343"/>
    <w:rsid w:val="003E3B96"/>
    <w:rsid w:val="0043470F"/>
    <w:rsid w:val="004426E0"/>
    <w:rsid w:val="004B1A1E"/>
    <w:rsid w:val="004F0294"/>
    <w:rsid w:val="00547659"/>
    <w:rsid w:val="005565CC"/>
    <w:rsid w:val="00596CE1"/>
    <w:rsid w:val="00610061"/>
    <w:rsid w:val="00646F1C"/>
    <w:rsid w:val="0065001F"/>
    <w:rsid w:val="00675F05"/>
    <w:rsid w:val="00675F93"/>
    <w:rsid w:val="00684F8F"/>
    <w:rsid w:val="006A551A"/>
    <w:rsid w:val="006B2E5A"/>
    <w:rsid w:val="00761F03"/>
    <w:rsid w:val="00764D1C"/>
    <w:rsid w:val="007D3E95"/>
    <w:rsid w:val="007F4221"/>
    <w:rsid w:val="00826D56"/>
    <w:rsid w:val="00840C45"/>
    <w:rsid w:val="00846142"/>
    <w:rsid w:val="00855E64"/>
    <w:rsid w:val="00883DFE"/>
    <w:rsid w:val="00897A39"/>
    <w:rsid w:val="008C7BDA"/>
    <w:rsid w:val="008C7D29"/>
    <w:rsid w:val="008D0C2E"/>
    <w:rsid w:val="00904FD4"/>
    <w:rsid w:val="009B087B"/>
    <w:rsid w:val="009C5935"/>
    <w:rsid w:val="009D26FC"/>
    <w:rsid w:val="009F4C78"/>
    <w:rsid w:val="00A040D0"/>
    <w:rsid w:val="00A20309"/>
    <w:rsid w:val="00A3680A"/>
    <w:rsid w:val="00A603E1"/>
    <w:rsid w:val="00AA1077"/>
    <w:rsid w:val="00AF5585"/>
    <w:rsid w:val="00C00FF1"/>
    <w:rsid w:val="00C46C82"/>
    <w:rsid w:val="00CC1A58"/>
    <w:rsid w:val="00CD5863"/>
    <w:rsid w:val="00D14DD2"/>
    <w:rsid w:val="00D65D03"/>
    <w:rsid w:val="00DE4E40"/>
    <w:rsid w:val="00E00B8A"/>
    <w:rsid w:val="00E2603F"/>
    <w:rsid w:val="00E437AC"/>
    <w:rsid w:val="00E51737"/>
    <w:rsid w:val="00EB5C03"/>
    <w:rsid w:val="00EC72E0"/>
    <w:rsid w:val="00EC7B7B"/>
    <w:rsid w:val="00EE663F"/>
    <w:rsid w:val="00EF3400"/>
    <w:rsid w:val="00F23A05"/>
    <w:rsid w:val="00F34C97"/>
    <w:rsid w:val="00F35554"/>
    <w:rsid w:val="1C730137"/>
    <w:rsid w:val="1D3A6FEF"/>
    <w:rsid w:val="26D727F3"/>
    <w:rsid w:val="2DA5381C"/>
    <w:rsid w:val="3481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701760"/>
  <w15:docId w15:val="{D6DA8AAA-BA53-4316-9428-41901A50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">
    <w:name w:val="修订2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3">
    <w:name w:val="修订3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六六</dc:creator>
  <cp:lastModifiedBy>刘 影</cp:lastModifiedBy>
  <cp:revision>57</cp:revision>
  <dcterms:created xsi:type="dcterms:W3CDTF">2022-10-25T07:47:00Z</dcterms:created>
  <dcterms:modified xsi:type="dcterms:W3CDTF">2023-02-04T07:29:00Z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8BAE6E7318BF42FF96CED0CA1E008F06</vt:lpwstr>
  </property>
</Properties>
</file>