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F085DC" w14:textId="77777777" w:rsidR="00541552" w:rsidRPr="001748F1" w:rsidRDefault="00541552" w:rsidP="00541552">
      <w:pPr>
        <w:spacing w:after="0" w:line="240" w:lineRule="auto"/>
        <w:jc w:val="center"/>
        <w:rPr>
          <w:rFonts w:ascii="Times New Roman" w:hAnsi="Times New Roman" w:cs="Times New Roman"/>
          <w:b/>
          <w:sz w:val="24"/>
          <w:szCs w:val="24"/>
        </w:rPr>
      </w:pPr>
      <w:r w:rsidRPr="001748F1">
        <w:rPr>
          <w:rFonts w:ascii="Times New Roman" w:hAnsi="Times New Roman" w:cs="Times New Roman"/>
          <w:b/>
          <w:sz w:val="24"/>
          <w:szCs w:val="24"/>
        </w:rPr>
        <w:t>Supplemental Data</w:t>
      </w:r>
    </w:p>
    <w:p w14:paraId="074C1B46" w14:textId="77777777" w:rsidR="00541552" w:rsidRPr="001748F1" w:rsidRDefault="00541552" w:rsidP="00541552">
      <w:pPr>
        <w:spacing w:after="0" w:line="240" w:lineRule="auto"/>
        <w:rPr>
          <w:rFonts w:ascii="Times New Roman" w:hAnsi="Times New Roman" w:cs="Times New Roman"/>
          <w:sz w:val="24"/>
          <w:szCs w:val="24"/>
        </w:rPr>
      </w:pPr>
    </w:p>
    <w:p w14:paraId="0DBEF173" w14:textId="77777777" w:rsidR="00541552" w:rsidRPr="001748F1" w:rsidRDefault="00541552" w:rsidP="00541552">
      <w:pPr>
        <w:spacing w:after="0" w:line="240" w:lineRule="auto"/>
        <w:rPr>
          <w:rFonts w:ascii="Times New Roman" w:hAnsi="Times New Roman" w:cs="Times New Roman"/>
          <w:b/>
          <w:sz w:val="24"/>
          <w:szCs w:val="24"/>
        </w:rPr>
      </w:pPr>
      <w:r w:rsidRPr="001748F1">
        <w:rPr>
          <w:rFonts w:ascii="Times New Roman" w:hAnsi="Times New Roman" w:cs="Times New Roman"/>
          <w:b/>
          <w:sz w:val="24"/>
          <w:szCs w:val="24"/>
        </w:rPr>
        <w:t>Measures</w:t>
      </w:r>
    </w:p>
    <w:p w14:paraId="714171E9" w14:textId="77777777" w:rsidR="00541552" w:rsidRPr="001748F1" w:rsidRDefault="00541552" w:rsidP="00541552">
      <w:pPr>
        <w:spacing w:after="0" w:line="240" w:lineRule="auto"/>
        <w:rPr>
          <w:rFonts w:ascii="Times New Roman" w:hAnsi="Times New Roman" w:cs="Times New Roman"/>
          <w:sz w:val="24"/>
          <w:szCs w:val="24"/>
        </w:rPr>
      </w:pPr>
    </w:p>
    <w:p w14:paraId="76BBED21" w14:textId="77777777" w:rsidR="00541552" w:rsidRPr="001748F1" w:rsidRDefault="00541552" w:rsidP="00541552">
      <w:pPr>
        <w:spacing w:after="0" w:line="240" w:lineRule="auto"/>
        <w:rPr>
          <w:rFonts w:ascii="Times New Roman" w:hAnsi="Times New Roman" w:cs="Times New Roman"/>
          <w:b/>
          <w:sz w:val="24"/>
          <w:szCs w:val="24"/>
        </w:rPr>
      </w:pPr>
      <w:r w:rsidRPr="001748F1">
        <w:rPr>
          <w:rFonts w:ascii="Times New Roman" w:hAnsi="Times New Roman" w:cs="Times New Roman"/>
          <w:b/>
          <w:sz w:val="24"/>
          <w:szCs w:val="24"/>
        </w:rPr>
        <w:t>Interconnectedness</w:t>
      </w:r>
    </w:p>
    <w:p w14:paraId="22850400" w14:textId="77777777" w:rsidR="00541552" w:rsidRPr="001748F1" w:rsidRDefault="00541552" w:rsidP="00541552">
      <w:pPr>
        <w:spacing w:after="0" w:line="240" w:lineRule="auto"/>
        <w:rPr>
          <w:rFonts w:ascii="Times New Roman" w:hAnsi="Times New Roman" w:cs="Times New Roman"/>
          <w:b/>
          <w:sz w:val="24"/>
          <w:szCs w:val="24"/>
        </w:rPr>
      </w:pPr>
    </w:p>
    <w:p w14:paraId="63F734F6" w14:textId="77777777" w:rsidR="00541552" w:rsidRPr="001748F1" w:rsidRDefault="00541552" w:rsidP="00541552">
      <w:pPr>
        <w:spacing w:after="0" w:line="240" w:lineRule="auto"/>
        <w:ind w:left="270"/>
        <w:rPr>
          <w:rFonts w:ascii="Times New Roman" w:hAnsi="Times New Roman" w:cs="Times New Roman"/>
          <w:i/>
          <w:sz w:val="24"/>
          <w:szCs w:val="24"/>
        </w:rPr>
      </w:pPr>
      <w:r w:rsidRPr="001748F1">
        <w:rPr>
          <w:rFonts w:ascii="Times New Roman" w:hAnsi="Times New Roman" w:cs="Times New Roman"/>
          <w:i/>
          <w:sz w:val="24"/>
          <w:szCs w:val="24"/>
        </w:rPr>
        <w:t xml:space="preserve">-The Cloninger Self-Transcendence Scale </w:t>
      </w:r>
      <w:r w:rsidRPr="001748F1">
        <w:rPr>
          <w:rFonts w:ascii="Times New Roman" w:hAnsi="Times New Roman" w:cs="Times New Roman"/>
          <w:i/>
          <w:sz w:val="24"/>
          <w:szCs w:val="24"/>
        </w:rPr>
        <w:fldChar w:fldCharType="begin"/>
      </w:r>
      <w:r w:rsidRPr="001748F1">
        <w:rPr>
          <w:rFonts w:ascii="Times New Roman" w:hAnsi="Times New Roman" w:cs="Times New Roman"/>
          <w:i/>
          <w:sz w:val="24"/>
          <w:szCs w:val="24"/>
        </w:rPr>
        <w:instrText xml:space="preserve"> ADDIN ZOTERO_ITEM CSL_CITATION {"citationID":"YeXwBeXp","properties":{"formattedCitation":"(Cloninger et al., 1994)","plainCitation":"(Cloninger et al., 1994)","noteIndex":0},"citationItems":[{"id":1900,"uris":["http://zotero.org/users/5440140/items/UV4VH3PP"],"uri":["http://zotero.org/users/5440140/items/UV4VH3PP"],"itemData":{"id":1900,"type":"book","event-place":"St. Lous, MO","publisher":"Center for Psychobiology of Personality, Washington University","publisher-place":"St. Lous, MO","title":"The Temperament and Character Inventory (TCI): A guide to its development and use","author":[{"family":"Cloninger","given":"C. R."},{"family":"Przybeck","given":"T. R."},{"family":"Svrakic","given":"D. M."},{"family":"Wetzel","given":"R. D."}],"issued":{"date-parts":[["1994"]]}}}],"schema":"https://github.com/citation-style-language/schema/raw/master/csl-citation.json"} </w:instrText>
      </w:r>
      <w:r w:rsidRPr="001748F1">
        <w:rPr>
          <w:rFonts w:ascii="Times New Roman" w:hAnsi="Times New Roman" w:cs="Times New Roman"/>
          <w:i/>
          <w:sz w:val="24"/>
          <w:szCs w:val="24"/>
        </w:rPr>
        <w:fldChar w:fldCharType="separate"/>
      </w:r>
      <w:r w:rsidRPr="001748F1">
        <w:rPr>
          <w:rFonts w:ascii="Times New Roman" w:hAnsi="Times New Roman" w:cs="Times New Roman"/>
          <w:sz w:val="24"/>
          <w:szCs w:val="24"/>
        </w:rPr>
        <w:t>(Cloninger et al., 1994)</w:t>
      </w:r>
      <w:r w:rsidRPr="001748F1">
        <w:rPr>
          <w:rFonts w:ascii="Times New Roman" w:hAnsi="Times New Roman" w:cs="Times New Roman"/>
          <w:i/>
          <w:sz w:val="24"/>
          <w:szCs w:val="24"/>
        </w:rPr>
        <w:fldChar w:fldCharType="end"/>
      </w:r>
      <w:r w:rsidRPr="001748F1">
        <w:rPr>
          <w:rFonts w:ascii="Times New Roman" w:hAnsi="Times New Roman" w:cs="Times New Roman"/>
          <w:sz w:val="24"/>
          <w:szCs w:val="24"/>
        </w:rPr>
        <w:t xml:space="preserve"> - This measure uses the 15-item self-transcendence subscale of the Cloninger 125-item Temperament and Character Inventory. Cloninger et al. (1993) defined self-transcendence as “the extent to which a person identifies the self as…an integral part of the universe as a whole” (p. 975). Thus, a person high on self-transcendence is keenly aware of being part of a larger whole—of being in a spiritual union with God or nature. Participants answer each item with a slider anchored with “Definitely False” (0) and “Definitely True” (10). The scale is scored by summing all 15 items and then dividing by 10. Total scores range from 0-15. </w:t>
      </w:r>
    </w:p>
    <w:p w14:paraId="1DB7ADB7" w14:textId="77777777" w:rsidR="00541552" w:rsidRPr="001748F1" w:rsidRDefault="00541552" w:rsidP="00541552">
      <w:pPr>
        <w:spacing w:after="0" w:line="240" w:lineRule="auto"/>
        <w:ind w:left="270"/>
        <w:rPr>
          <w:rFonts w:ascii="Times New Roman" w:hAnsi="Times New Roman" w:cs="Times New Roman"/>
          <w:i/>
          <w:sz w:val="24"/>
          <w:szCs w:val="24"/>
        </w:rPr>
      </w:pPr>
    </w:p>
    <w:p w14:paraId="2A9011FC" w14:textId="77777777" w:rsidR="00541552" w:rsidRPr="001748F1" w:rsidRDefault="00541552" w:rsidP="00541552">
      <w:pPr>
        <w:spacing w:after="0" w:line="240" w:lineRule="auto"/>
        <w:ind w:left="270"/>
        <w:rPr>
          <w:rFonts w:ascii="Times New Roman" w:hAnsi="Times New Roman" w:cs="Times New Roman"/>
          <w:sz w:val="24"/>
          <w:szCs w:val="24"/>
        </w:rPr>
      </w:pPr>
      <w:r w:rsidRPr="001748F1">
        <w:rPr>
          <w:rFonts w:ascii="Times New Roman" w:hAnsi="Times New Roman" w:cs="Times New Roman"/>
          <w:i/>
          <w:sz w:val="24"/>
          <w:szCs w:val="24"/>
        </w:rPr>
        <w:t>-Inclusion of Nature in Self (INS)</w:t>
      </w:r>
      <w:r w:rsidRPr="001748F1">
        <w:rPr>
          <w:rFonts w:ascii="Times New Roman" w:hAnsi="Times New Roman" w:cs="Times New Roman"/>
          <w:sz w:val="24"/>
          <w:szCs w:val="24"/>
        </w:rPr>
        <w:t xml:space="preserve"> </w:t>
      </w:r>
      <w:r w:rsidRPr="001748F1">
        <w:rPr>
          <w:rFonts w:ascii="Times New Roman" w:hAnsi="Times New Roman" w:cs="Times New Roman"/>
          <w:sz w:val="24"/>
          <w:szCs w:val="24"/>
        </w:rPr>
        <w:fldChar w:fldCharType="begin"/>
      </w:r>
      <w:r w:rsidRPr="001748F1">
        <w:rPr>
          <w:rFonts w:ascii="Times New Roman" w:hAnsi="Times New Roman" w:cs="Times New Roman"/>
          <w:sz w:val="24"/>
          <w:szCs w:val="24"/>
        </w:rPr>
        <w:instrText xml:space="preserve"> ADDIN ZOTERO_ITEM CSL_CITATION {"citationID":"NYJlLrdC","properties":{"formattedCitation":"(Schultz, 2002; Schultz et al., 2004)","plainCitation":"(Schultz, 2002; Schultz et al., 2004)","noteIndex":0},"citationItems":[{"id":5311,"uris":["http://zotero.org/users/5440140/items/YDTTNZYI"],"uri":["http://zotero.org/users/5440140/items/YDTTNZYI"],"itemData":{"id":5311,"type":"chapter","container-title":"Psychology of sustainable development","page":"61-78","publisher":"Springer","title":"Inclusion with nature: The psychology of human-nature relations","author":[{"family":"Schultz","given":"P Wesley"}],"issued":{"date-parts":[["2002"]]}}},{"id":41963,"uris":["http://zotero.org/groups/2275793/items/EP4BFY4Y"],"uri":["http://zotero.org/groups/2275793/items/EP4BFY4Y"],"itemData":{"id":41963,"type":"article-journal","abstract":"Previous research has suggested that attitudes about environmental issues are rooted in the degree to which people believe that they are part of the natural environment. Researchers have distinguished between egoistic concerns, which focus on self, and biospheric concerns, which focus on all living things. In the current paper, we argue that the type of concerns a person develops about environmental issues is associated with the extent to which the individual believes that s/he is part of nature. We argue that this connection is implicit, and exists outside of conscious awareness. Two studies are reported on the relationship between implicit connections with nature and explicit environmental concerns, and on the cognitive strategies associated with egoistic and biospheric attitudes. Study 1 reports the results from a modiﬁed Implicit Association Test (IAT) designed to measure the degree to which people associate themselves with nature. Results showed a moderate positive relationship between biospheric concerns and implicit connections with nature, and a negative relationship between implicit connections with nature and egoistic concerns. Study 2 replicated this basic effect, and also examined the test–retest (immediate, 1 week, and 4 weeks) reliability of the explicit and implicit measures. Results are interpreted within a broad model of environmental inclusion.","container-title":"Journal of Environmental Psychology","DOI":"10.1016/S0272-4944(03)00022-7","ISSN":"02724944","issue":"1","journalAbbreviation":"Journal of Environmental Psychology","language":"en","page":"31-42","source":"DOI.org (Crossref)","title":"Implicit connections with nature","volume":"24","author":[{"family":"Schultz","given":"P.Wesley"},{"family":"Shriver","given":"Chris"},{"family":"Tabanico","given":"Jennifer J"},{"family":"Khazian","given":"Azar M"}],"issued":{"date-parts":[["2004",3]]}}}],"schema":"https://github.com/citation-style-language/schema/raw/master/csl-citation.json"} </w:instrText>
      </w:r>
      <w:r w:rsidRPr="001748F1">
        <w:rPr>
          <w:rFonts w:ascii="Times New Roman" w:hAnsi="Times New Roman" w:cs="Times New Roman"/>
          <w:sz w:val="24"/>
          <w:szCs w:val="24"/>
        </w:rPr>
        <w:fldChar w:fldCharType="separate"/>
      </w:r>
      <w:r w:rsidRPr="001748F1">
        <w:rPr>
          <w:rFonts w:ascii="Times New Roman" w:hAnsi="Times New Roman" w:cs="Times New Roman"/>
          <w:sz w:val="24"/>
          <w:szCs w:val="24"/>
        </w:rPr>
        <w:t>(Schultz, 2002; Schultz et al., 2004)</w:t>
      </w:r>
      <w:r w:rsidRPr="001748F1">
        <w:rPr>
          <w:rFonts w:ascii="Times New Roman" w:hAnsi="Times New Roman" w:cs="Times New Roman"/>
          <w:sz w:val="24"/>
          <w:szCs w:val="24"/>
        </w:rPr>
        <w:fldChar w:fldCharType="end"/>
      </w:r>
      <w:r w:rsidRPr="001748F1">
        <w:rPr>
          <w:rFonts w:ascii="Times New Roman" w:hAnsi="Times New Roman" w:cs="Times New Roman"/>
          <w:i/>
          <w:sz w:val="24"/>
          <w:szCs w:val="24"/>
        </w:rPr>
        <w:t xml:space="preserve"> - </w:t>
      </w:r>
      <w:r w:rsidRPr="001748F1">
        <w:rPr>
          <w:rFonts w:ascii="Times New Roman" w:hAnsi="Times New Roman" w:cs="Times New Roman"/>
          <w:sz w:val="24"/>
          <w:szCs w:val="24"/>
        </w:rPr>
        <w:t xml:space="preserve">Interconnectedness with Nature is evaluated with a graphical single-item scale. The scale contains seven circle pairs with differing overlap of the two circles labeled ‘nature’ and ‘self.’ We used an adapted form with three graphical representations representing the Self and Nature completely separated, partially and completely overlapped. The instructions are: “Please move the slider below to the picture that best describes your relationship with the natural environment. How interconnected are you with nature? ("Self" = you; "Nature" = the environment)?” Slider with a range of 0-100, with 0 being anchored by Not at All and 100 being anchored by Completely. The item results with one score between 0 and 100, with 100 representing the greatest interconnection with nature. The INS test-retest correlations are very high after four weeks. Additionally, compared to other multiple-item scales, the INS scale is very accurate for measuring individual differences in connectedness with nature. </w:t>
      </w:r>
    </w:p>
    <w:p w14:paraId="740EB57A" w14:textId="77777777" w:rsidR="00541552" w:rsidRPr="001748F1" w:rsidRDefault="00541552" w:rsidP="00541552">
      <w:pPr>
        <w:spacing w:after="0" w:line="240" w:lineRule="auto"/>
        <w:ind w:left="270"/>
        <w:rPr>
          <w:rFonts w:ascii="Times New Roman" w:hAnsi="Times New Roman" w:cs="Times New Roman"/>
          <w:sz w:val="24"/>
          <w:szCs w:val="24"/>
        </w:rPr>
      </w:pPr>
    </w:p>
    <w:p w14:paraId="73550DB7" w14:textId="77777777" w:rsidR="00541552" w:rsidRPr="001748F1" w:rsidRDefault="00541552" w:rsidP="00541552">
      <w:pPr>
        <w:spacing w:after="0" w:line="240" w:lineRule="auto"/>
        <w:ind w:left="270"/>
        <w:rPr>
          <w:rFonts w:ascii="Times New Roman" w:hAnsi="Times New Roman" w:cs="Times New Roman"/>
          <w:sz w:val="24"/>
          <w:szCs w:val="24"/>
        </w:rPr>
      </w:pPr>
      <w:r w:rsidRPr="001748F1">
        <w:rPr>
          <w:rFonts w:ascii="Times New Roman" w:hAnsi="Times New Roman" w:cs="Times New Roman"/>
          <w:noProof/>
          <w:color w:val="000000"/>
          <w:sz w:val="24"/>
          <w:szCs w:val="24"/>
          <w:bdr w:val="none" w:sz="0" w:space="0" w:color="auto" w:frame="1"/>
        </w:rPr>
        <w:drawing>
          <wp:inline distT="0" distB="0" distL="0" distR="0" wp14:anchorId="01CCEE57" wp14:editId="2DE02166">
            <wp:extent cx="5661660" cy="829945"/>
            <wp:effectExtent l="0" t="0" r="0" b="8255"/>
            <wp:docPr id="1" name="Picture 1" descr="https://lh4.googleusercontent.com/5hxz57ijNpJtphZl5bBkeuIn7EIIU2G5BG_DAgZdJ7qNBMNES9SAbreFrMqSQjdYnTaQh_Yzcvh08TKQgbOYiQf4zxqXKCjF04wm7qWkFFtymqkkN8qDoEPq4ruXlZCTMUuW1hK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h4.googleusercontent.com/5hxz57ijNpJtphZl5bBkeuIn7EIIU2G5BG_DAgZdJ7qNBMNES9SAbreFrMqSQjdYnTaQh_Yzcvh08TKQgbOYiQf4zxqXKCjF04wm7qWkFFtymqkkN8qDoEPq4ruXlZCTMUuW1hKp"/>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661660" cy="829945"/>
                    </a:xfrm>
                    <a:prstGeom prst="rect">
                      <a:avLst/>
                    </a:prstGeom>
                    <a:noFill/>
                    <a:ln>
                      <a:noFill/>
                    </a:ln>
                  </pic:spPr>
                </pic:pic>
              </a:graphicData>
            </a:graphic>
          </wp:inline>
        </w:drawing>
      </w:r>
    </w:p>
    <w:p w14:paraId="20FC2430" w14:textId="77777777" w:rsidR="00541552" w:rsidRPr="001748F1" w:rsidRDefault="00541552" w:rsidP="00541552">
      <w:pPr>
        <w:pStyle w:val="NormalWeb"/>
        <w:spacing w:before="240" w:beforeAutospacing="0" w:after="240" w:afterAutospacing="0"/>
        <w:ind w:left="270"/>
      </w:pPr>
      <w:r w:rsidRPr="001748F1">
        <w:rPr>
          <w:color w:val="000000"/>
        </w:rPr>
        <w:t xml:space="preserve">Not at all                                                                                                       </w:t>
      </w:r>
      <w:r w:rsidRPr="001748F1">
        <w:rPr>
          <w:rStyle w:val="apple-tab-span"/>
          <w:color w:val="000000"/>
        </w:rPr>
        <w:tab/>
      </w:r>
      <w:r w:rsidRPr="001748F1">
        <w:rPr>
          <w:color w:val="000000"/>
        </w:rPr>
        <w:t>Completely</w:t>
      </w:r>
    </w:p>
    <w:p w14:paraId="0404FEE9" w14:textId="77777777" w:rsidR="00541552" w:rsidRPr="001748F1" w:rsidRDefault="00541552" w:rsidP="00541552">
      <w:pPr>
        <w:spacing w:after="0" w:line="240" w:lineRule="auto"/>
        <w:ind w:left="270"/>
        <w:rPr>
          <w:rFonts w:ascii="Times New Roman" w:hAnsi="Times New Roman" w:cs="Times New Roman"/>
          <w:sz w:val="24"/>
          <w:szCs w:val="24"/>
        </w:rPr>
      </w:pPr>
    </w:p>
    <w:p w14:paraId="4EB3F055" w14:textId="77777777" w:rsidR="00541552" w:rsidRPr="001748F1" w:rsidRDefault="00541552" w:rsidP="00541552">
      <w:pPr>
        <w:ind w:left="270"/>
        <w:rPr>
          <w:rFonts w:ascii="Times New Roman" w:eastAsia="Times New Roman" w:hAnsi="Times New Roman" w:cs="Times New Roman"/>
          <w:sz w:val="24"/>
          <w:szCs w:val="24"/>
        </w:rPr>
      </w:pPr>
      <w:r w:rsidRPr="001748F1">
        <w:rPr>
          <w:rFonts w:ascii="Times New Roman" w:hAnsi="Times New Roman" w:cs="Times New Roman"/>
          <w:i/>
          <w:sz w:val="24"/>
          <w:szCs w:val="24"/>
        </w:rPr>
        <w:t>-Inclusion of the Other in Self (IOS)</w:t>
      </w:r>
      <w:r w:rsidRPr="001748F1">
        <w:rPr>
          <w:rFonts w:ascii="Times New Roman" w:hAnsi="Times New Roman" w:cs="Times New Roman"/>
          <w:sz w:val="24"/>
          <w:szCs w:val="24"/>
        </w:rPr>
        <w:t xml:space="preserve"> </w:t>
      </w:r>
      <w:r w:rsidRPr="001748F1">
        <w:rPr>
          <w:rFonts w:ascii="Times New Roman" w:hAnsi="Times New Roman" w:cs="Times New Roman"/>
          <w:sz w:val="24"/>
          <w:szCs w:val="24"/>
        </w:rPr>
        <w:fldChar w:fldCharType="begin"/>
      </w:r>
      <w:r w:rsidRPr="001748F1">
        <w:rPr>
          <w:rFonts w:ascii="Times New Roman" w:hAnsi="Times New Roman" w:cs="Times New Roman"/>
          <w:sz w:val="24"/>
          <w:szCs w:val="24"/>
        </w:rPr>
        <w:instrText xml:space="preserve"> ADDIN ZOTERO_ITEM CSL_CITATION {"citationID":"HRtD0US3","properties":{"formattedCitation":"(Aron et al., 1991, 1992)","plainCitation":"(Aron et al., 1991, 1992)","noteIndex":0},"citationItems":[{"id":17685,"uris":["http://zotero.org/groups/2275793/items/QB7DDSJV"],"uri":["http://zotero.org/groups/2275793/items/QB7DDSJV"],"itemData":{"id":17685,"type":"article-journal","container-title":"Journal of personality and social psychology","ISSN":"1939-1315","issue":"2","journalAbbreviation":"Journal of personality and social psychology","note":"publisher: American Psychological Association","page":"241","title":"Close relationships as including other in the self.","volume":"60","author":[{"family":"Aron","given":"Arthur"},{"family":"Aron","given":"Elaine N"},{"family":"Tudor","given":"Michael"},{"family":"Nelson","given":"Greg"}],"issued":{"date-parts":[["1991"]]}}},{"id":17672,"uris":["http://zotero.org/groups/2275793/items/THZ4UGI8"],"uri":["http://zotero.org/groups/2275793/items/THZ4UGI8"],"itemData":{"id":17672,"type":"article-journal","container-title":"Journal of personality and social psychology","ISSN":"1939-1315","issue":"4","journalAbbreviation":"Journal of personality and social psychology","note":"publisher: American Psychological Association","page":"596","title":"Inclusion of other in the self scale and the structure of interpersonal closeness.","volume":"63","author":[{"family":"Aron","given":"Arthur"},{"family":"Aron","given":"Elaine N"},{"family":"Smollan","given":"Danny"}],"issued":{"date-parts":[["1992"]]}}}],"schema":"https://github.com/citation-style-language/schema/raw/master/csl-citation.json"} </w:instrText>
      </w:r>
      <w:r w:rsidRPr="001748F1">
        <w:rPr>
          <w:rFonts w:ascii="Times New Roman" w:hAnsi="Times New Roman" w:cs="Times New Roman"/>
          <w:sz w:val="24"/>
          <w:szCs w:val="24"/>
        </w:rPr>
        <w:fldChar w:fldCharType="separate"/>
      </w:r>
      <w:r w:rsidRPr="001748F1">
        <w:rPr>
          <w:rFonts w:ascii="Times New Roman" w:hAnsi="Times New Roman" w:cs="Times New Roman"/>
          <w:sz w:val="24"/>
          <w:szCs w:val="24"/>
        </w:rPr>
        <w:t>(Aron et al., 1991, 1992)</w:t>
      </w:r>
      <w:r w:rsidRPr="001748F1">
        <w:rPr>
          <w:rFonts w:ascii="Times New Roman" w:hAnsi="Times New Roman" w:cs="Times New Roman"/>
          <w:sz w:val="24"/>
          <w:szCs w:val="24"/>
        </w:rPr>
        <w:fldChar w:fldCharType="end"/>
      </w:r>
      <w:r w:rsidRPr="001748F1">
        <w:rPr>
          <w:rFonts w:ascii="Times New Roman" w:hAnsi="Times New Roman" w:cs="Times New Roman"/>
          <w:sz w:val="24"/>
          <w:szCs w:val="24"/>
        </w:rPr>
        <w:t xml:space="preserve"> - Interconnectedness with ‘other’ is measured using the IOS. Social psychologist Arthur Aron and colleagues developed the single-item Inclusion of Other in the Self (IOS) scale to measure how close the respondent feels with another person or group. Feeling connected with other people drives outcomes that relate to social mobility. For instance, in studies where the ‘other’ on the IOS scale is a romantic partner, high scores are associated with marriage quality and can even predict whether a dating couple will still be together in three months. We used an adapted form with three graphical representations representing the Self and Other completely separated, partially and completely overlapped. Participants move a slider to represent their answer on a sliding </w:t>
      </w:r>
      <w:r w:rsidRPr="001748F1">
        <w:rPr>
          <w:rFonts w:ascii="Times New Roman" w:hAnsi="Times New Roman" w:cs="Times New Roman"/>
          <w:sz w:val="24"/>
          <w:szCs w:val="24"/>
        </w:rPr>
        <w:lastRenderedPageBreak/>
        <w:t xml:space="preserve">bar anchored by Not at all and Completely. The scale asks the participant to “Please move the slider below to the picture that best describes your relationship with other people. How interconnected are you with others? (Self = you; Others = other people)?” The slider is anchored by 0 representing Not at All and 100 representing completely. Higher scores represent greater subjective interconnection with ‘other.’ </w:t>
      </w:r>
    </w:p>
    <w:p w14:paraId="6817D5DA" w14:textId="77777777" w:rsidR="00541552" w:rsidRPr="001748F1" w:rsidRDefault="00541552" w:rsidP="00541552">
      <w:pPr>
        <w:spacing w:before="240" w:after="240" w:line="240" w:lineRule="auto"/>
        <w:ind w:left="270"/>
        <w:rPr>
          <w:rFonts w:ascii="Times New Roman" w:eastAsia="Times New Roman" w:hAnsi="Times New Roman" w:cs="Times New Roman"/>
          <w:sz w:val="24"/>
          <w:szCs w:val="24"/>
        </w:rPr>
      </w:pPr>
      <w:r w:rsidRPr="001748F1">
        <w:rPr>
          <w:rFonts w:ascii="Times New Roman" w:eastAsia="Times New Roman" w:hAnsi="Times New Roman" w:cs="Times New Roman"/>
          <w:noProof/>
          <w:color w:val="000000"/>
          <w:sz w:val="24"/>
          <w:szCs w:val="24"/>
          <w:bdr w:val="none" w:sz="0" w:space="0" w:color="auto" w:frame="1"/>
        </w:rPr>
        <w:drawing>
          <wp:inline distT="0" distB="0" distL="0" distR="0" wp14:anchorId="0A6E1CD4" wp14:editId="3D54A22B">
            <wp:extent cx="5943600" cy="872490"/>
            <wp:effectExtent l="0" t="0" r="0" b="3810"/>
            <wp:docPr id="2" name="Picture 2" descr="https://lh5.googleusercontent.com/td8JPTIEi3YCmtFogDoD9rsZlOFtm1GvX7aZzwbid326l3XQWu4NXVv0oq09t5wAbGbkf-O8OlaYztdjk362VbnPbgCUCfJ_d2BaiG4X__EMk0es5HqXAn0h60HMu3_fq_uNFUu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lh5.googleusercontent.com/td8JPTIEi3YCmtFogDoD9rsZlOFtm1GvX7aZzwbid326l3XQWu4NXVv0oq09t5wAbGbkf-O8OlaYztdjk362VbnPbgCUCfJ_d2BaiG4X__EMk0es5HqXAn0h60HMu3_fq_uNFUup"/>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872490"/>
                    </a:xfrm>
                    <a:prstGeom prst="rect">
                      <a:avLst/>
                    </a:prstGeom>
                    <a:noFill/>
                    <a:ln>
                      <a:noFill/>
                    </a:ln>
                  </pic:spPr>
                </pic:pic>
              </a:graphicData>
            </a:graphic>
          </wp:inline>
        </w:drawing>
      </w:r>
      <w:r w:rsidRPr="001748F1">
        <w:rPr>
          <w:rFonts w:ascii="Times New Roman" w:eastAsia="Times New Roman" w:hAnsi="Times New Roman" w:cs="Times New Roman"/>
          <w:color w:val="000000"/>
          <w:sz w:val="24"/>
          <w:szCs w:val="24"/>
        </w:rPr>
        <w:t xml:space="preserve">Not at all                                                                                                       </w:t>
      </w:r>
      <w:r w:rsidRPr="001748F1">
        <w:rPr>
          <w:rFonts w:ascii="Times New Roman" w:eastAsia="Times New Roman" w:hAnsi="Times New Roman" w:cs="Times New Roman"/>
          <w:color w:val="000000"/>
          <w:sz w:val="24"/>
          <w:szCs w:val="24"/>
        </w:rPr>
        <w:tab/>
        <w:t>Completely</w:t>
      </w:r>
    </w:p>
    <w:p w14:paraId="7573F864" w14:textId="77777777" w:rsidR="00541552" w:rsidRPr="001748F1" w:rsidRDefault="00541552" w:rsidP="00541552">
      <w:pPr>
        <w:spacing w:after="240" w:line="240" w:lineRule="auto"/>
        <w:ind w:left="360"/>
        <w:rPr>
          <w:rFonts w:ascii="Times New Roman" w:hAnsi="Times New Roman" w:cs="Times New Roman"/>
          <w:sz w:val="24"/>
          <w:szCs w:val="24"/>
        </w:rPr>
      </w:pPr>
    </w:p>
    <w:p w14:paraId="7D0CF941" w14:textId="77777777" w:rsidR="00541552" w:rsidRPr="001748F1" w:rsidRDefault="00541552" w:rsidP="00541552">
      <w:pPr>
        <w:spacing w:after="0" w:line="240" w:lineRule="auto"/>
        <w:jc w:val="both"/>
        <w:rPr>
          <w:rFonts w:ascii="Times New Roman" w:hAnsi="Times New Roman" w:cs="Times New Roman"/>
          <w:sz w:val="24"/>
          <w:szCs w:val="24"/>
        </w:rPr>
      </w:pPr>
      <w:r w:rsidRPr="001748F1">
        <w:rPr>
          <w:rFonts w:ascii="Times New Roman" w:hAnsi="Times New Roman" w:cs="Times New Roman"/>
          <w:b/>
          <w:sz w:val="24"/>
          <w:szCs w:val="24"/>
        </w:rPr>
        <w:t xml:space="preserve">Extended Perceptions - </w:t>
      </w:r>
      <w:r w:rsidRPr="001748F1">
        <w:rPr>
          <w:rFonts w:ascii="Times New Roman" w:hAnsi="Times New Roman" w:cs="Times New Roman"/>
          <w:sz w:val="24"/>
          <w:szCs w:val="24"/>
        </w:rPr>
        <w:t xml:space="preserve">Five tasks were administered regarding revealing information and energy from beyond space-time. The tasks evaluate various aspects of receiving information from beyond the traditional senses. These abilities range from the commonly experienced intuition or hunches to more unique experiences like remote viewing (the ability to know something about a place, object, or person without using the traditional five senses) and psychokinesis (the ability to move matter with mental effort alone). </w:t>
      </w:r>
    </w:p>
    <w:p w14:paraId="75C3263A" w14:textId="77777777" w:rsidR="00541552" w:rsidRPr="001748F1" w:rsidRDefault="00541552" w:rsidP="00541552">
      <w:pPr>
        <w:spacing w:after="0" w:line="240" w:lineRule="auto"/>
        <w:jc w:val="both"/>
        <w:rPr>
          <w:rFonts w:ascii="Times New Roman" w:hAnsi="Times New Roman" w:cs="Times New Roman"/>
          <w:sz w:val="24"/>
          <w:szCs w:val="24"/>
        </w:rPr>
      </w:pPr>
    </w:p>
    <w:p w14:paraId="5A9E6366" w14:textId="77777777" w:rsidR="00541552" w:rsidRPr="001748F1" w:rsidRDefault="00541552" w:rsidP="00541552">
      <w:pPr>
        <w:spacing w:after="0" w:line="240" w:lineRule="auto"/>
        <w:ind w:left="360"/>
        <w:jc w:val="both"/>
        <w:rPr>
          <w:rFonts w:ascii="Times New Roman" w:hAnsi="Times New Roman" w:cs="Times New Roman"/>
          <w:sz w:val="24"/>
          <w:szCs w:val="24"/>
        </w:rPr>
      </w:pPr>
      <w:r w:rsidRPr="001748F1">
        <w:rPr>
          <w:rFonts w:ascii="Times New Roman" w:hAnsi="Times New Roman" w:cs="Times New Roman"/>
          <w:b/>
          <w:sz w:val="24"/>
          <w:szCs w:val="24"/>
        </w:rPr>
        <w:t>-</w:t>
      </w:r>
      <w:r w:rsidRPr="001748F1">
        <w:rPr>
          <w:rFonts w:ascii="Times New Roman" w:hAnsi="Times New Roman" w:cs="Times New Roman"/>
          <w:i/>
          <w:sz w:val="24"/>
          <w:szCs w:val="24"/>
        </w:rPr>
        <w:t>Jar Task</w:t>
      </w:r>
      <w:r w:rsidRPr="001748F1">
        <w:rPr>
          <w:rFonts w:ascii="Times New Roman" w:hAnsi="Times New Roman" w:cs="Times New Roman"/>
          <w:sz w:val="24"/>
          <w:szCs w:val="24"/>
        </w:rPr>
        <w:t xml:space="preserve"> - The jar task investigates intuition. “Intuition is the ability to understand immediately without conscious reasoning and is sometimes explained as a ‘gut feeling’ about the rightness or wrongness of a person, place, situation, temporal episode or object”</w:t>
      </w:r>
      <w:r w:rsidRPr="001748F1">
        <w:rPr>
          <w:rFonts w:ascii="Times New Roman" w:hAnsi="Times New Roman" w:cs="Times New Roman"/>
          <w:sz w:val="24"/>
          <w:szCs w:val="24"/>
        </w:rPr>
        <w:fldChar w:fldCharType="begin"/>
      </w:r>
      <w:r w:rsidRPr="001748F1">
        <w:rPr>
          <w:rFonts w:ascii="Times New Roman" w:hAnsi="Times New Roman" w:cs="Times New Roman"/>
          <w:sz w:val="24"/>
          <w:szCs w:val="24"/>
        </w:rPr>
        <w:instrText xml:space="preserve"> ADDIN ZOTERO_ITEM CSL_CITATION {"citationID":"yVUPw4yJ","properties":{"formattedCitation":"(McCrea, 2010)","plainCitation":"(McCrea, 2010)","noteIndex":0},"citationItems":[{"id":23607,"uris":["http://zotero.org/groups/2275793/items/GRHRKDLJ"],"uri":["http://zotero.org/groups/2275793/items/GRHRKDLJ"],"itemData":{"id":23607,"type":"article-journal","abstract":"Intuition is the ability to understand immediately without conscious reasoning and is sometimes explained as a ‘gut feeling’ about the rightness or wrongness of a person, place, situation, temporal episode or object. In contrast, insight is the capacity to gain accurate and a deep understanding of a problem and it is often associated with movement beyond existing paradigms. Examples include Darwin, Einstein and Freud’s theories of natural selection, relativity, or the unconscious; respectively. Many cultures name these concepts and acknowledge their value, and insight is recognized as particularly characteristic of eminent achievements in the arts, sciences and politics. Considerable data suggests that these two concepts are more related than distinct, and that a more distributed intuitive network may feed into a predominately right hemispheric insight-based functional neuronal architecture. The preparation and incubation stages of insight may rely on the incorporation of domain-specific automatized expertise schema associated with intuition. In this manuscript the neural networks associated with intuition and insight are reviewed. Case studies of anomalous subjects with ability–achievement discrepancies are summarized. This theoretical review proposes the prospect that atypical localization of cognitive modules may enhance intuitive and insightful functions and thereby explain individual achievement beyond that expected by conventionally measured intelligence tests. A model and theory of intuition and insight’s neuroanatomical basis is proposed which could be used as a starting point for future research and better understanding of the nature of these two distinctly human and highly complex poorly understood abilities.","archive":"PMC","archive_location":"PMC3218761","container-title":"Psychology research and behavior management","ISSN":"1179-1578","page":"1-39","title":"Intuition, insight, and the right hemisphere: Emergence of higher sociocognitive functions","volume":"3","author":[{"family":"McCrea","given":"Simon M."}],"issued":{"date-parts":[["2010"]]}}}],"schema":"https://github.com/citation-style-language/schema/raw/master/csl-citation.json"} </w:instrText>
      </w:r>
      <w:r w:rsidRPr="001748F1">
        <w:rPr>
          <w:rFonts w:ascii="Times New Roman" w:hAnsi="Times New Roman" w:cs="Times New Roman"/>
          <w:sz w:val="24"/>
          <w:szCs w:val="24"/>
        </w:rPr>
        <w:fldChar w:fldCharType="separate"/>
      </w:r>
      <w:r w:rsidRPr="001748F1">
        <w:rPr>
          <w:rFonts w:ascii="Times New Roman" w:hAnsi="Times New Roman" w:cs="Times New Roman"/>
          <w:sz w:val="24"/>
        </w:rPr>
        <w:t>(McCrea, 2010)</w:t>
      </w:r>
      <w:r w:rsidRPr="001748F1">
        <w:rPr>
          <w:rFonts w:ascii="Times New Roman" w:hAnsi="Times New Roman" w:cs="Times New Roman"/>
          <w:sz w:val="24"/>
          <w:szCs w:val="24"/>
        </w:rPr>
        <w:fldChar w:fldCharType="end"/>
      </w:r>
      <w:r w:rsidRPr="001748F1">
        <w:rPr>
          <w:rFonts w:ascii="Times New Roman" w:hAnsi="Times New Roman" w:cs="Times New Roman"/>
          <w:sz w:val="24"/>
          <w:szCs w:val="24"/>
        </w:rPr>
        <w:t xml:space="preserve">. The jar task is designed to evaluate a person’s ability to generate accurate information without using logical or rational means. The participant is presented with a picture of a jar containing items. The image is displayed for only 2 seconds such that they can not count the number of items consciously. The participant ‘guesses’ how many items they believe are in the jar. The participant is shown different images at their pre- and post-assessments. The score for this task is the absolute value of the participant’s response minus the actual number. The smaller the difference, the more accurate the participant was able to ‘know’ the number of items in the jar. </w:t>
      </w:r>
    </w:p>
    <w:p w14:paraId="0958224A" w14:textId="77777777" w:rsidR="00541552" w:rsidRPr="001748F1" w:rsidRDefault="00541552" w:rsidP="00541552">
      <w:pPr>
        <w:spacing w:after="0" w:line="240" w:lineRule="auto"/>
        <w:ind w:left="360"/>
        <w:jc w:val="both"/>
        <w:rPr>
          <w:rFonts w:ascii="Times New Roman" w:hAnsi="Times New Roman" w:cs="Times New Roman"/>
          <w:sz w:val="24"/>
          <w:szCs w:val="24"/>
        </w:rPr>
      </w:pPr>
    </w:p>
    <w:p w14:paraId="15282962" w14:textId="77777777" w:rsidR="00541552" w:rsidRPr="001748F1" w:rsidRDefault="00541552" w:rsidP="00541552">
      <w:pPr>
        <w:spacing w:line="240" w:lineRule="auto"/>
        <w:ind w:left="360"/>
        <w:rPr>
          <w:rFonts w:ascii="Times New Roman" w:hAnsi="Times New Roman" w:cs="Times New Roman"/>
          <w:sz w:val="24"/>
          <w:szCs w:val="24"/>
        </w:rPr>
      </w:pPr>
      <w:r w:rsidRPr="001748F1">
        <w:rPr>
          <w:rFonts w:ascii="Times New Roman" w:hAnsi="Times New Roman" w:cs="Times New Roman"/>
          <w:sz w:val="24"/>
          <w:szCs w:val="24"/>
        </w:rPr>
        <w:t>-</w:t>
      </w:r>
      <w:r w:rsidRPr="001748F1">
        <w:rPr>
          <w:rFonts w:ascii="Times New Roman" w:hAnsi="Times New Roman" w:cs="Times New Roman"/>
          <w:i/>
          <w:sz w:val="24"/>
          <w:szCs w:val="24"/>
        </w:rPr>
        <w:t xml:space="preserve">Quick Remote Viewing Task </w:t>
      </w:r>
      <w:r w:rsidRPr="001748F1">
        <w:rPr>
          <w:rFonts w:ascii="Times New Roman" w:hAnsi="Times New Roman" w:cs="Times New Roman"/>
          <w:sz w:val="24"/>
          <w:szCs w:val="24"/>
        </w:rPr>
        <w:t xml:space="preserve">- Remote viewing is a mental faculty that allows a perceiver to describe or give details about a target that is inaccessible to normal senses due to distance, time, or shielding. For this task, a blank frame is displayed in the center of the screen, and five photos are displayed below it. The participant chooses which of the five images they think will appear in the blank space. After selecting the picture, the target picture is shown in the blank frame, and the participant may press a button to move to the next trial. The participant completes 20 trials. The percentage of “hits” is recorded over their 20 trials. </w:t>
      </w:r>
    </w:p>
    <w:p w14:paraId="40C8466E" w14:textId="77777777" w:rsidR="00541552" w:rsidRPr="001748F1" w:rsidRDefault="00541552" w:rsidP="00541552">
      <w:pPr>
        <w:spacing w:line="240" w:lineRule="auto"/>
        <w:ind w:left="360"/>
        <w:rPr>
          <w:rFonts w:ascii="Times New Roman" w:hAnsi="Times New Roman" w:cs="Times New Roman"/>
          <w:sz w:val="24"/>
          <w:szCs w:val="24"/>
        </w:rPr>
      </w:pPr>
      <w:r w:rsidRPr="001748F1">
        <w:rPr>
          <w:rFonts w:ascii="Times New Roman" w:hAnsi="Times New Roman" w:cs="Times New Roman"/>
          <w:sz w:val="24"/>
          <w:szCs w:val="24"/>
        </w:rPr>
        <w:t>-</w:t>
      </w:r>
      <w:r w:rsidRPr="001748F1">
        <w:rPr>
          <w:rFonts w:ascii="Times New Roman" w:hAnsi="Times New Roman" w:cs="Times New Roman"/>
          <w:i/>
          <w:sz w:val="24"/>
          <w:szCs w:val="24"/>
        </w:rPr>
        <w:t xml:space="preserve">Bubble Task - </w:t>
      </w:r>
      <w:r w:rsidRPr="001748F1">
        <w:rPr>
          <w:rFonts w:ascii="Times New Roman" w:hAnsi="Times New Roman" w:cs="Times New Roman"/>
          <w:sz w:val="24"/>
          <w:szCs w:val="24"/>
        </w:rPr>
        <w:t xml:space="preserve">The bubble task is a psychokinetic task. The participant is first asked to relax for 7 seconds. Small bubbles then start moving on the screen, and the participant is asked to concentrate on making the bubbles form a circle for 15 seconds. Then, the participant asked to relax for 7 seconds. The bubbles’ movement to form a circle is linked to a random number generator (pseudo-random generator KISS07 0.9 implemented in Javascript). The normal </w:t>
      </w:r>
      <w:r w:rsidRPr="001748F1">
        <w:rPr>
          <w:rFonts w:ascii="Times New Roman" w:hAnsi="Times New Roman" w:cs="Times New Roman"/>
          <w:sz w:val="24"/>
          <w:szCs w:val="24"/>
        </w:rPr>
        <w:lastRenderedPageBreak/>
        <w:t>function of the random number generator results in a value of zero for this task. If the participant can affect the random number generator, then their values would deviate away from zero. The score is the absolute value of the difference between the mean random number during the focus period compared to the rest period. Greater numbers represent a greater psychokinetic effect.</w:t>
      </w:r>
    </w:p>
    <w:p w14:paraId="5E42BBC8" w14:textId="77777777" w:rsidR="00541552" w:rsidRPr="001748F1" w:rsidRDefault="00541552" w:rsidP="00541552">
      <w:pPr>
        <w:spacing w:line="240" w:lineRule="auto"/>
        <w:ind w:left="405"/>
        <w:rPr>
          <w:rFonts w:ascii="Times New Roman" w:hAnsi="Times New Roman" w:cs="Times New Roman"/>
          <w:sz w:val="24"/>
          <w:szCs w:val="24"/>
        </w:rPr>
      </w:pPr>
      <w:r w:rsidRPr="001748F1">
        <w:rPr>
          <w:rFonts w:ascii="Times New Roman" w:hAnsi="Times New Roman" w:cs="Times New Roman"/>
          <w:i/>
          <w:sz w:val="24"/>
          <w:szCs w:val="24"/>
        </w:rPr>
        <w:t>-Time estimation</w:t>
      </w:r>
      <w:r w:rsidRPr="001748F1">
        <w:rPr>
          <w:rFonts w:ascii="Times New Roman" w:hAnsi="Times New Roman" w:cs="Times New Roman"/>
          <w:sz w:val="24"/>
          <w:szCs w:val="24"/>
        </w:rPr>
        <w:t xml:space="preserve">: People’s perceptions of time are often changed during altered states of consciousness, such as meditation </w:t>
      </w:r>
      <w:r w:rsidRPr="001748F1">
        <w:rPr>
          <w:rFonts w:ascii="Times New Roman" w:hAnsi="Times New Roman" w:cs="Times New Roman"/>
          <w:sz w:val="24"/>
          <w:szCs w:val="24"/>
        </w:rPr>
        <w:fldChar w:fldCharType="begin"/>
      </w:r>
      <w:r w:rsidRPr="001748F1">
        <w:rPr>
          <w:rFonts w:ascii="Times New Roman" w:hAnsi="Times New Roman" w:cs="Times New Roman"/>
          <w:sz w:val="24"/>
          <w:szCs w:val="24"/>
        </w:rPr>
        <w:instrText xml:space="preserve"> ADDIN ZOTERO_ITEM CSL_CITATION {"citationID":"TOVde6SZ","properties":{"formattedCitation":"(Berkovich-Ohana et al., 2013)","plainCitation":"(Berkovich-Ohana et al., 2013)","noteIndex":0},"citationItems":[{"id":1221,"uris":["http://zotero.org/users/5440140/items/6HTK6IFD"],"uri":["http://zotero.org/users/5440140/items/6HTK6IFD"],"itemData":{"id":1221,"type":"article-journal","abstract":"Meditation practice can lead to what have been referred to as \"altered states of consciousness.\"One of the phenomenological characteristics of these states is a joint alteration in the sense of time, space, and body. Here, we set out to study the unique experiences of alteration in the sense of time and space by collaborating with a select group of 12 long-term mindfulness meditation (MM) practitioners in a neurophenomenological setup, utilizing first-person data to guide the neural analyses. We hypothesized that the underlying neural activity accompanying alterations in the sense of time and space would be related to alterations in bodily processing. The participants were asked to volitionally bring about distinct states of \"Timelessness\" (outside time) and \"Spacelessness\" (outside space) while their brain activity was recorded by MEG. In order to rule out the involvement of attention, memory, or imagination, we used control states of \"Then\" (past) and \"There\" (another place). MEG sensors evidencing alterations in power values were identified, and the brain regions underlying these changes were estimated via spatial filtering (beamforming). Particularly, we searched for similar neural activity hypothesized to underlie both the state of \"Timelessness\" and \"Spacelessness.\" The results were mostly confined to the theta band, and showed that: (1) the \"Then\"/\"There\" overlap yielded activity in regions related to autobiographic memory and imagery (right posterior parietal lobule (PPL), right precentral/middle frontal gyrus (MFG), bilateral precuneus); (2) \"Timelessness\"/\"Spacelessness\" conditions overlapped in a different network, related to alterations in the sense of the body (posterior cingulate, right temporoparietal junction (TPJ), cerebellum); and (3) phenomenologically-guided neural analyses enabled us to dissociate different levels of alterations in the sense of the body. This study illustrates the utility of employing experienced contemplative practitioners within a neurophenomenological setup for scientifically characterizing a self-induced altered sense of time, space and body, as well as the importance of theta activity in relation with these altered states.","container-title":"Frontiers in Psychology","DOI":"10.3389/fpsyg.2013.00912","ISSN":"1664-1078 (Electronic) 1664-1078 (Linking)","journalAbbreviation":"Front. Psychol.","page":"912","title":"Alterations in the sense of time, space, and body in the mindfulness-trained brain: a neurophenomenologically-guided MEG study","volume":"4","author":[{"family":"Berkovich-Ohana","given":"A."},{"family":"Dor-Ziderman","given":"Y."},{"family":"Glicksohn","given":"J."},{"family":"Goldstein","given":"A."}],"issued":{"date-parts":[["2013"]]}}}],"schema":"https://github.com/citation-style-language/schema/raw/master/csl-citation.json"} </w:instrText>
      </w:r>
      <w:r w:rsidRPr="001748F1">
        <w:rPr>
          <w:rFonts w:ascii="Times New Roman" w:hAnsi="Times New Roman" w:cs="Times New Roman"/>
          <w:sz w:val="24"/>
          <w:szCs w:val="24"/>
        </w:rPr>
        <w:fldChar w:fldCharType="separate"/>
      </w:r>
      <w:r w:rsidRPr="001748F1">
        <w:rPr>
          <w:rFonts w:ascii="Times New Roman" w:hAnsi="Times New Roman" w:cs="Times New Roman"/>
          <w:sz w:val="24"/>
        </w:rPr>
        <w:t>(Berkovich-Ohana et al., 2013)</w:t>
      </w:r>
      <w:r w:rsidRPr="001748F1">
        <w:rPr>
          <w:rFonts w:ascii="Times New Roman" w:hAnsi="Times New Roman" w:cs="Times New Roman"/>
          <w:sz w:val="24"/>
          <w:szCs w:val="24"/>
        </w:rPr>
        <w:fldChar w:fldCharType="end"/>
      </w:r>
      <w:r w:rsidRPr="001748F1">
        <w:rPr>
          <w:rFonts w:ascii="Times New Roman" w:hAnsi="Times New Roman" w:cs="Times New Roman"/>
          <w:sz w:val="24"/>
          <w:szCs w:val="24"/>
        </w:rPr>
        <w:t xml:space="preserve">, and alterations in time perception are often associated with extended human capacities. Time perception can be measured with interval length estimation and perceived speed of time passage. The time estimation task evaluates the participant’s perceived passage of 10 seconds. The participant pushes a button to start the task and then pushes it again when he/she thinks 10 seconds have passed. The values for this task represent the absolute value of the deviation from the actual time passed. </w:t>
      </w:r>
    </w:p>
    <w:p w14:paraId="412ACEFC" w14:textId="77777777" w:rsidR="00541552" w:rsidRPr="001748F1" w:rsidRDefault="00541552" w:rsidP="00541552">
      <w:pPr>
        <w:spacing w:after="0" w:line="240" w:lineRule="auto"/>
        <w:rPr>
          <w:rFonts w:ascii="Times New Roman" w:hAnsi="Times New Roman" w:cs="Times New Roman"/>
          <w:sz w:val="24"/>
          <w:szCs w:val="24"/>
        </w:rPr>
      </w:pPr>
      <w:r w:rsidRPr="001748F1">
        <w:rPr>
          <w:rFonts w:ascii="Times New Roman" w:hAnsi="Times New Roman" w:cs="Times New Roman"/>
          <w:b/>
          <w:sz w:val="24"/>
          <w:szCs w:val="24"/>
        </w:rPr>
        <w:t>Well-Being:</w:t>
      </w:r>
      <w:r w:rsidRPr="001748F1">
        <w:rPr>
          <w:rFonts w:ascii="Times New Roman" w:hAnsi="Times New Roman" w:cs="Times New Roman"/>
          <w:sz w:val="24"/>
          <w:szCs w:val="24"/>
        </w:rPr>
        <w:t xml:space="preserve"> The well-being measures included overall well-being, positive and negative mood, and quality of sleep and pain over the last 24 hours. </w:t>
      </w:r>
    </w:p>
    <w:p w14:paraId="22535F88" w14:textId="77777777" w:rsidR="00541552" w:rsidRPr="001748F1" w:rsidRDefault="00541552" w:rsidP="00541552">
      <w:pPr>
        <w:spacing w:after="0" w:line="240" w:lineRule="auto"/>
        <w:rPr>
          <w:rFonts w:ascii="Times New Roman" w:hAnsi="Times New Roman" w:cs="Times New Roman"/>
          <w:sz w:val="24"/>
          <w:szCs w:val="24"/>
        </w:rPr>
      </w:pPr>
    </w:p>
    <w:p w14:paraId="7384B0E8" w14:textId="77777777" w:rsidR="00541552" w:rsidRPr="001748F1" w:rsidRDefault="00541552" w:rsidP="00541552">
      <w:pPr>
        <w:spacing w:after="240" w:line="240" w:lineRule="auto"/>
        <w:ind w:left="360"/>
        <w:rPr>
          <w:rFonts w:ascii="Times New Roman" w:hAnsi="Times New Roman" w:cs="Times New Roman"/>
          <w:sz w:val="24"/>
          <w:szCs w:val="24"/>
        </w:rPr>
      </w:pPr>
      <w:r w:rsidRPr="001748F1">
        <w:rPr>
          <w:rFonts w:ascii="Times New Roman" w:hAnsi="Times New Roman" w:cs="Times New Roman"/>
          <w:i/>
          <w:sz w:val="24"/>
          <w:szCs w:val="24"/>
        </w:rPr>
        <w:t>-</w:t>
      </w:r>
      <w:r w:rsidRPr="001748F1">
        <w:rPr>
          <w:rFonts w:ascii="Times New Roman" w:hAnsi="Times New Roman" w:cs="Times New Roman"/>
          <w:sz w:val="24"/>
          <w:szCs w:val="24"/>
        </w:rPr>
        <w:t xml:space="preserve"> The </w:t>
      </w:r>
      <w:r w:rsidRPr="001748F1">
        <w:rPr>
          <w:rFonts w:ascii="Times New Roman" w:hAnsi="Times New Roman" w:cs="Times New Roman"/>
          <w:i/>
          <w:sz w:val="24"/>
          <w:szCs w:val="24"/>
        </w:rPr>
        <w:t>Arizona Integrative Outcomes Scale (AIOS)</w:t>
      </w:r>
      <w:r w:rsidRPr="001748F1">
        <w:rPr>
          <w:rFonts w:ascii="Times New Roman" w:hAnsi="Times New Roman" w:cs="Times New Roman"/>
          <w:sz w:val="24"/>
          <w:szCs w:val="24"/>
        </w:rPr>
        <w:t xml:space="preserve"> </w:t>
      </w:r>
      <w:r w:rsidRPr="001748F1">
        <w:rPr>
          <w:rFonts w:ascii="Times New Roman" w:hAnsi="Times New Roman" w:cs="Times New Roman"/>
          <w:sz w:val="24"/>
          <w:szCs w:val="24"/>
        </w:rPr>
        <w:fldChar w:fldCharType="begin"/>
      </w:r>
      <w:r w:rsidRPr="001748F1">
        <w:rPr>
          <w:rFonts w:ascii="Times New Roman" w:hAnsi="Times New Roman" w:cs="Times New Roman"/>
          <w:sz w:val="24"/>
          <w:szCs w:val="24"/>
        </w:rPr>
        <w:instrText xml:space="preserve"> ADDIN ZOTERO_ITEM CSL_CITATION {"citationID":"onuUuPoP","properties":{"formattedCitation":"(Bell et al., 2004)","plainCitation":"(Bell et al., 2004)","noteIndex":0},"citationItems":[{"id":1252,"uris":["http://zotero.org/users/5440140/items/6DYF8TZI"],"uri":["http://zotero.org/users/5440140/items/6DYF8TZI"],"itemData":{"id":1252,"type":"article-journal","abstract":"BACKGROUND: Researchers are finding limitations of currently available disease-focused questionnaire tools for outcome studies in complementary and alternative medicine/integrative medicine (CAM/IM). METHODS: Three substudies investigated the new one-item visual analogue Arizona Integrative Outcomes Scale (AIOS), which assesses self-rated global sense of spiritual, social, mental, emotional, and physical well-being over the past 24 hours and the past month. The first study tested the scale's ability to discriminate unhealthy individuals (n = 50) from healthy individuals (n = 50) in a rehabilitation outpatient clinic sample. The second study examined the concurrent validity of the AIOS by comparing ratings of global well-being to degree of psychological distress as measured by the Brief Symptom Inventory (BSI) in undergraduate college students (N = 458). The third study evaluated the relationships between the AIOS and positively- and negatively-valenced tools (Positive and Negative Affect Scale and the Positive States of Mind Scale) in a different sample of undergraduate students (N = 62). RESULTS: Substudy (i) Rehabilitation patients scored significantly lower than the healthy controls on both forms of the AIOS and a current global health rating. The AIOS 24-hours correlated moderately and significantly with global health (patients r = 0.50; controls r = 0.45). AIOS 1-month correlations with global health were stronger within the controls (patients r = 0.36; controls r = 0.50). Controls (r = 0.64) had a higher correlation between the AIOS 24-hour and 1-month forms than did the patients (r = 0.33), which is consistent with the presumptive improvement in the patients' condition over the previous 30 days in rehabilitation. Substudy (ii) In undergraduate students, AIOS scores were inversely related to distress ratings, as measured by the global severity index on the BSI (rAIOS24h = -0.42, rAIOS1month = -0.40). Substudy (iii) AIOS scores were significantly correlated with positive affect (rAIOS24h = 0.56, rAIOS1month = 0.57) and positive states of mind (rAIOS24h = 0.42, rAIOS1month = 0.45), and inversely correlated with negative affect (rAIOS24h = -0.41, rAIOS1month = -0.59). CONCLUSIONS: The AIOS is able to distinguish relatively sicker from relatively healthier individuals; and correlates in expected directions with a measure of distress and indicators of positive and negative affect and positive states of mind. The AIOS offers a tool for CAM/IM research that extends beyond a disease emphasis.","container-title":"BMC Complementary and Alternative Medicine","DOI":"10.1186/1472-6882-4-1","ISSN":"1472-6882 (Electronic) 1472-6882 (Linking)","journalAbbreviation":"BMC Complement. Altern. Med.","page":"1","title":"Development and validation of a new global well-being outcomes rating scale for integrative medicine research","volume":"4","author":[{"family":"Bell","given":"I. R."},{"family":"Cunningham","given":"V."},{"family":"Caspi","given":"O."},{"family":"Meek","given":"P."},{"family":"Ferro","given":"L."}],"issued":{"date-parts":[["2004",1,15]]}}}],"schema":"https://github.com/citation-style-language/schema/raw/master/csl-citation.json"} </w:instrText>
      </w:r>
      <w:r w:rsidRPr="001748F1">
        <w:rPr>
          <w:rFonts w:ascii="Times New Roman" w:hAnsi="Times New Roman" w:cs="Times New Roman"/>
          <w:sz w:val="24"/>
          <w:szCs w:val="24"/>
        </w:rPr>
        <w:fldChar w:fldCharType="separate"/>
      </w:r>
      <w:r w:rsidRPr="001748F1">
        <w:rPr>
          <w:rFonts w:ascii="Times New Roman" w:hAnsi="Times New Roman" w:cs="Times New Roman"/>
          <w:sz w:val="24"/>
          <w:szCs w:val="24"/>
        </w:rPr>
        <w:t>(Bell et al., 2004)</w:t>
      </w:r>
      <w:r w:rsidRPr="001748F1">
        <w:rPr>
          <w:rFonts w:ascii="Times New Roman" w:hAnsi="Times New Roman" w:cs="Times New Roman"/>
          <w:sz w:val="24"/>
          <w:szCs w:val="24"/>
        </w:rPr>
        <w:fldChar w:fldCharType="end"/>
      </w:r>
      <w:r w:rsidRPr="001748F1">
        <w:rPr>
          <w:rFonts w:ascii="Times New Roman" w:hAnsi="Times New Roman" w:cs="Times New Roman"/>
          <w:i/>
          <w:iCs/>
          <w:color w:val="000000"/>
          <w:sz w:val="24"/>
          <w:szCs w:val="24"/>
        </w:rPr>
        <w:t xml:space="preserve"> </w:t>
      </w:r>
      <w:r w:rsidRPr="001748F1">
        <w:rPr>
          <w:rFonts w:ascii="Times New Roman" w:hAnsi="Times New Roman" w:cs="Times New Roman"/>
          <w:sz w:val="24"/>
          <w:szCs w:val="24"/>
        </w:rPr>
        <w:t>is a single item, a visual-analog self-rating scale that evaluates the overall subjective sense of well-being. Participants are asked, “Please reflect on your sense of well-being, taking into account your physical, mental, emotional, social, and spiritual condition over the past 24 hours. Please move the slider below to a point that summarizes your overall sense of well-being for the past 24 hours.” The slider goes from 0-100 with 0 being anchored by “Worst you have ever been” and 100 anchored by “Best you’ve ever been.” The scale results in one value with larger values indicating greater well-being. The scale was valid in discriminating between patients and caregivers. Convergent and divergent validity was significant compared to the Global Health Index (0.38) and Global Severity Index (-0.41), negative affect (-0.41), and positive affect (0.56) of the Positive and Negative Affect Scale.</w:t>
      </w:r>
    </w:p>
    <w:p w14:paraId="44839F94" w14:textId="77777777" w:rsidR="00541552" w:rsidRPr="001748F1" w:rsidRDefault="00541552" w:rsidP="00541552">
      <w:pPr>
        <w:spacing w:after="240" w:line="240" w:lineRule="auto"/>
        <w:ind w:left="360"/>
        <w:rPr>
          <w:rFonts w:ascii="Times New Roman" w:hAnsi="Times New Roman" w:cs="Times New Roman"/>
          <w:sz w:val="24"/>
          <w:szCs w:val="24"/>
        </w:rPr>
      </w:pPr>
      <w:r w:rsidRPr="001748F1">
        <w:rPr>
          <w:rFonts w:ascii="Times New Roman" w:hAnsi="Times New Roman" w:cs="Times New Roman"/>
          <w:sz w:val="24"/>
          <w:szCs w:val="24"/>
        </w:rPr>
        <w:t>-</w:t>
      </w:r>
      <w:r w:rsidRPr="001748F1">
        <w:rPr>
          <w:rFonts w:ascii="Times New Roman" w:hAnsi="Times New Roman" w:cs="Times New Roman"/>
          <w:i/>
          <w:sz w:val="24"/>
          <w:szCs w:val="24"/>
        </w:rPr>
        <w:t xml:space="preserve">Positive and negative affective </w:t>
      </w:r>
      <w:r w:rsidRPr="001748F1">
        <w:rPr>
          <w:rFonts w:ascii="Times New Roman" w:hAnsi="Times New Roman" w:cs="Times New Roman"/>
          <w:sz w:val="24"/>
          <w:szCs w:val="24"/>
        </w:rPr>
        <w:t xml:space="preserve">was measured with six dichotomous indicators (happiness, enjoyment, smiling/laughter, stress, worry, sadness), asking participants whether they had experienced an emotional state for much of the day yesterday. Scores for positive and negative emotions are averaged for two scores ranging from 0-1 </w:t>
      </w:r>
      <w:r w:rsidRPr="001748F1">
        <w:rPr>
          <w:rFonts w:ascii="Times New Roman" w:hAnsi="Times New Roman" w:cs="Times New Roman"/>
          <w:sz w:val="24"/>
          <w:szCs w:val="24"/>
        </w:rPr>
        <w:fldChar w:fldCharType="begin"/>
      </w:r>
      <w:r w:rsidRPr="001748F1">
        <w:rPr>
          <w:rFonts w:ascii="Times New Roman" w:hAnsi="Times New Roman" w:cs="Times New Roman"/>
          <w:sz w:val="24"/>
          <w:szCs w:val="24"/>
        </w:rPr>
        <w:instrText xml:space="preserve"> ADDIN ZOTERO_ITEM CSL_CITATION {"citationID":"CIZPRUgx","properties":{"formattedCitation":"(Jebb et al., 2018)","plainCitation":"(Jebb et al., 2018)","noteIndex":0},"citationItems":[{"id":788,"uris":["http://zotero.org/users/5440140/items/2AMZ6SDH"],"uri":["http://zotero.org/users/5440140/items/2AMZ6SDH"],"itemData":{"id":788,"type":"article-journal","abstract":"Income is known to be associated with happiness 1 , but debates persist about the exact nature of this relationship 2,3 . Does happiness rise indefinitely with income, or is there a point at which higher incomes no longer lead to greater well-being? We examine this question using data from the Gallup World Poll, a representative sample of over 1.7 million individuals worldwide. Controlling for demographic factors, we use spline regression models to statistically identify points of ‘income satiation’. Globally, we find that satiation occurs at $95,000 for life evaluation and $60,000 to $75,000 for emotional well-being. However, there is substantial variation across world regions, with satiation occurring later in wealthier regions. We also find that in certain parts of the world, incomes beyond satiation are associated with lower life evaluations. These findings on income and happiness have practical and theoretical significance at the individual, institutional and national levels. They point to a degree of happiness adaptation 4,5 and that money influences happiness through the fulfilment of both needs and increasing material desires 6 .","container-title":"Nature Human Behaviour","DOI":"10.1038/s41562-017-0277-0","ISSN":"2397-3374","issue":"1","page":"33-38","title":"Happiness, income satiation and turning points around the world","volume":"2","author":[{"family":"Jebb","given":"Andrew T."},{"family":"Tay","given":"Louis"},{"family":"Diener","given":"Ed"},{"family":"Oishi","given":"Shigehiro"}],"issued":{"date-parts":[["2018",1,1]]}}}],"schema":"https://github.com/citation-style-language/schema/raw/master/csl-citation.json"} </w:instrText>
      </w:r>
      <w:r w:rsidRPr="001748F1">
        <w:rPr>
          <w:rFonts w:ascii="Times New Roman" w:hAnsi="Times New Roman" w:cs="Times New Roman"/>
          <w:sz w:val="24"/>
          <w:szCs w:val="24"/>
        </w:rPr>
        <w:fldChar w:fldCharType="separate"/>
      </w:r>
      <w:r w:rsidRPr="001748F1">
        <w:rPr>
          <w:rFonts w:ascii="Times New Roman" w:hAnsi="Times New Roman" w:cs="Times New Roman"/>
          <w:sz w:val="24"/>
          <w:szCs w:val="24"/>
        </w:rPr>
        <w:t>(Jebb et al., 2018)</w:t>
      </w:r>
      <w:r w:rsidRPr="001748F1">
        <w:rPr>
          <w:rFonts w:ascii="Times New Roman" w:hAnsi="Times New Roman" w:cs="Times New Roman"/>
          <w:sz w:val="24"/>
          <w:szCs w:val="24"/>
        </w:rPr>
        <w:fldChar w:fldCharType="end"/>
      </w:r>
      <w:r w:rsidRPr="001748F1">
        <w:rPr>
          <w:rFonts w:ascii="Times New Roman" w:hAnsi="Times New Roman" w:cs="Times New Roman"/>
          <w:sz w:val="24"/>
          <w:szCs w:val="24"/>
        </w:rPr>
        <w:t>.</w:t>
      </w:r>
    </w:p>
    <w:p w14:paraId="088DCECE" w14:textId="77777777" w:rsidR="00541552" w:rsidRPr="001748F1" w:rsidRDefault="00541552" w:rsidP="00541552">
      <w:pPr>
        <w:spacing w:after="240" w:line="240" w:lineRule="auto"/>
        <w:ind w:left="360"/>
        <w:rPr>
          <w:rFonts w:ascii="Times New Roman" w:hAnsi="Times New Roman" w:cs="Times New Roman"/>
          <w:sz w:val="24"/>
          <w:szCs w:val="24"/>
        </w:rPr>
      </w:pPr>
      <w:r w:rsidRPr="001748F1">
        <w:rPr>
          <w:rFonts w:ascii="Times New Roman" w:hAnsi="Times New Roman" w:cs="Times New Roman"/>
          <w:i/>
          <w:sz w:val="24"/>
          <w:szCs w:val="24"/>
        </w:rPr>
        <w:t>-</w:t>
      </w:r>
      <w:r w:rsidRPr="001748F1">
        <w:rPr>
          <w:rFonts w:ascii="Times New Roman" w:hAnsi="Times New Roman" w:cs="Times New Roman"/>
          <w:sz w:val="24"/>
          <w:szCs w:val="24"/>
        </w:rPr>
        <w:t xml:space="preserve"> The </w:t>
      </w:r>
      <w:r w:rsidRPr="001748F1">
        <w:rPr>
          <w:rFonts w:ascii="Times New Roman" w:hAnsi="Times New Roman" w:cs="Times New Roman"/>
          <w:i/>
          <w:sz w:val="24"/>
          <w:szCs w:val="24"/>
        </w:rPr>
        <w:t xml:space="preserve">Dispositional Positive Emotions Scale (Compassion subscale) </w:t>
      </w:r>
      <w:r w:rsidRPr="001748F1">
        <w:rPr>
          <w:rFonts w:ascii="Times New Roman" w:hAnsi="Times New Roman" w:cs="Times New Roman"/>
          <w:sz w:val="24"/>
          <w:szCs w:val="24"/>
        </w:rPr>
        <w:t xml:space="preserve">is a five-item scale asking participants about their capacity for compassion and compassionate acts rated on a Likert Scale from 1 (strongly disagree) to 7 (strongly agree) </w:t>
      </w:r>
      <w:r w:rsidRPr="001748F1">
        <w:rPr>
          <w:rFonts w:ascii="Times New Roman" w:hAnsi="Times New Roman" w:cs="Times New Roman"/>
          <w:sz w:val="24"/>
          <w:szCs w:val="24"/>
        </w:rPr>
        <w:fldChar w:fldCharType="begin"/>
      </w:r>
      <w:r w:rsidRPr="001748F1">
        <w:rPr>
          <w:rFonts w:ascii="Times New Roman" w:hAnsi="Times New Roman" w:cs="Times New Roman"/>
          <w:sz w:val="24"/>
          <w:szCs w:val="24"/>
        </w:rPr>
        <w:instrText xml:space="preserve"> ADDIN ZOTERO_ITEM CSL_CITATION {"citationID":"VFxSMjtD","properties":{"formattedCitation":"(Shiota et al., 2006)","plainCitation":"(Shiota et al., 2006)","noteIndex":0},"citationItems":[{"id":5543,"uris":["http://zotero.org/users/5440140/items/9NPMZVMZ"],"uri":["http://zotero.org/users/5440140/items/9NPMZVMZ"],"itemData":{"id":5543,"type":"article-journal","container-title":"The Journal of Positive Psychology","ISSN":"1743-9760","issue":"2","page":"61-71","title":"Positive emotion dispositions differentially associated with Big Five personality and attachment style","volume":"1","author":[{"family":"Shiota","given":"Michelle N"},{"family":"Keltner","given":"Dacher"},{"family":"John","given":"Oliver P"}],"issued":{"date-parts":[["2006"]]}}}],"schema":"https://github.com/citation-style-language/schema/raw/master/csl-citation.json"} </w:instrText>
      </w:r>
      <w:r w:rsidRPr="001748F1">
        <w:rPr>
          <w:rFonts w:ascii="Times New Roman" w:hAnsi="Times New Roman" w:cs="Times New Roman"/>
          <w:sz w:val="24"/>
          <w:szCs w:val="24"/>
        </w:rPr>
        <w:fldChar w:fldCharType="separate"/>
      </w:r>
      <w:r w:rsidRPr="001748F1">
        <w:rPr>
          <w:rFonts w:ascii="Times New Roman" w:hAnsi="Times New Roman" w:cs="Times New Roman"/>
          <w:sz w:val="24"/>
          <w:szCs w:val="24"/>
        </w:rPr>
        <w:t>(Shiota et al., 2006)</w:t>
      </w:r>
      <w:r w:rsidRPr="001748F1">
        <w:rPr>
          <w:rFonts w:ascii="Times New Roman" w:hAnsi="Times New Roman" w:cs="Times New Roman"/>
          <w:sz w:val="24"/>
          <w:szCs w:val="24"/>
        </w:rPr>
        <w:fldChar w:fldCharType="end"/>
      </w:r>
      <w:r w:rsidRPr="001748F1">
        <w:rPr>
          <w:rFonts w:ascii="Times New Roman" w:hAnsi="Times New Roman" w:cs="Times New Roman"/>
          <w:sz w:val="24"/>
          <w:szCs w:val="24"/>
        </w:rPr>
        <w:t xml:space="preserve">. Compassion is an emotional response when suffering is perceived and involves an authentic desire to help alleviate that suffering. Higher scores indicate greater levels of positive compassion.  </w:t>
      </w:r>
    </w:p>
    <w:p w14:paraId="434366BD" w14:textId="77777777" w:rsidR="00541552" w:rsidRPr="001748F1" w:rsidRDefault="00541552" w:rsidP="00541552">
      <w:pPr>
        <w:spacing w:after="240" w:line="240" w:lineRule="auto"/>
        <w:ind w:left="360"/>
        <w:rPr>
          <w:rFonts w:ascii="Times New Roman" w:hAnsi="Times New Roman" w:cs="Times New Roman"/>
          <w:sz w:val="24"/>
          <w:szCs w:val="24"/>
          <w:highlight w:val="white"/>
        </w:rPr>
      </w:pPr>
      <w:r w:rsidRPr="001748F1">
        <w:rPr>
          <w:rFonts w:ascii="Times New Roman" w:hAnsi="Times New Roman" w:cs="Times New Roman"/>
          <w:b/>
          <w:sz w:val="24"/>
          <w:szCs w:val="24"/>
        </w:rPr>
        <w:t>-</w:t>
      </w:r>
      <w:r w:rsidRPr="001748F1">
        <w:rPr>
          <w:rFonts w:ascii="Times New Roman" w:hAnsi="Times New Roman" w:cs="Times New Roman"/>
          <w:sz w:val="24"/>
          <w:szCs w:val="24"/>
        </w:rPr>
        <w:t xml:space="preserve">The </w:t>
      </w:r>
      <w:r w:rsidRPr="001748F1">
        <w:rPr>
          <w:rFonts w:ascii="Times New Roman" w:hAnsi="Times New Roman" w:cs="Times New Roman"/>
          <w:i/>
          <w:sz w:val="24"/>
          <w:szCs w:val="24"/>
        </w:rPr>
        <w:t>Sleep Quality Scale (SQS)</w:t>
      </w:r>
      <w:r w:rsidRPr="001748F1">
        <w:rPr>
          <w:rFonts w:ascii="Times New Roman" w:hAnsi="Times New Roman" w:cs="Times New Roman"/>
          <w:sz w:val="24"/>
          <w:szCs w:val="24"/>
        </w:rPr>
        <w:t xml:space="preserve"> </w:t>
      </w:r>
      <w:r w:rsidRPr="001748F1">
        <w:rPr>
          <w:rFonts w:ascii="Times New Roman" w:hAnsi="Times New Roman" w:cs="Times New Roman"/>
          <w:sz w:val="24"/>
          <w:szCs w:val="24"/>
        </w:rPr>
        <w:fldChar w:fldCharType="begin"/>
      </w:r>
      <w:r w:rsidRPr="001748F1">
        <w:rPr>
          <w:rFonts w:ascii="Times New Roman" w:hAnsi="Times New Roman" w:cs="Times New Roman"/>
          <w:sz w:val="24"/>
          <w:szCs w:val="24"/>
        </w:rPr>
        <w:instrText xml:space="preserve"> ADDIN ZOTERO_ITEM CSL_CITATION {"citationID":"AJpWOkJr","properties":{"formattedCitation":"(Cappelleri et al., 2009)","plainCitation":"(Cappelleri et al., 2009)","noteIndex":0},"citationItems":[{"id":1637,"uris":["http://zotero.org/users/5440140/items/A8H86PXD"],"uri":["http://zotero.org/users/5440140/items/A8H86PXD"],"itemData":{"id":1637,"type":"article-journal","abstract":"BACKGROUND: Sleep disturbances are a common and bothersome symptom of fibromyalgia (FM). This study reports psychometric properties of a single-item scale to assess sleep quality among individuals with FM. METHODS: Analyses were based on data from two randomized, double-blind, placebo-controlled trials of pregabalin (studies 1056 and 1077). In a daily diary, patients reported the quality of their sleep on a numeric rating scale ranging from 0 (\"best possible sleep\") to 10 (\"worst possible sleep\"). Test re-test reliability of the Sleep Quality Scale was evaluated by computing intraclass correlation coefficients. Pearson correlation coefficients were computed between baseline Sleep Quality scores and baseline pain diary and Medical Outcomes Study (MOS) Sleep scores. Responsiveness to treatment was evaluated by standardized effect sizes computed as the difference between least squares mean changes in Sleep Quality scores in the pregabalin and placebo groups divided by the standard deviation of Sleep Quality scores across all patients at baseline. RESULTS: Studies 1056 and 1077 included 748 and 745 patients, respectively. Most patients were female (study 1056: 94.4%; study 1077: 94.5%) and white (study 1056: 90.2%; study 1077: 91.0%). Mean ages were 48.8 years (study 1056) and 50.1 years (study 1077). Test re-test reliability coefficients of the Sleep Quality Scale were 0.91 and 0.90 in the 1056 and 1077 studies, respectively. Pearson correlation coefficients between baseline Sleep Quality scores and baseline pain diary scores were 0.64 (p &lt; 0.001) and 0.58 (p &lt; 0.001) in the 1056 and 1077 studies, respectively. Correlations between the Sleep Quality Scale and the MOS Sleep subscales were statistically significant (p &lt; 0.01), except for the MOS Snoring subscale. Across both studies, standardized effect sizes were generally moderate (0.46 to 0.52) for the 300 mg group and moderate (0.59) or moderate-to-large (0.70) for the 450 mg group. In study 1056, the effect size for the 600 mg group was moderate-to-large (0.73). In study 1077, the effect size for the 600 mg group was large (0.82). CONCLUSION: These results provide evidence of the reproducibility, convergent validity, and responsiveness to treatment of the Sleep Quality Scale and provide a foundation for its further use and evaluation in FM patients.","container-title":"Health Qual Life Outcomes","DOI":"10.1186/1477-7525-7-54","ISSN":"1477-7525 (Electronic) 1477-7525 (Linking)","page":"54","title":"Psychometric properties of a single-item scale to assess sleep quality among individuals with fibromyalgia","volume":"7","author":[{"family":"Cappelleri","given":"J. C."},{"family":"Bushmakin","given":"A. G."},{"family":"McDermott","given":"A. M."},{"family":"Sadosky","given":"A. B."},{"family":"Petrie","given":"C. D."},{"family":"Martin","given":"S."}],"issued":{"date-parts":[["2009",6,17]]}}}],"schema":"https://github.com/citation-style-language/schema/raw/master/csl-citation.json"} </w:instrText>
      </w:r>
      <w:r w:rsidRPr="001748F1">
        <w:rPr>
          <w:rFonts w:ascii="Times New Roman" w:hAnsi="Times New Roman" w:cs="Times New Roman"/>
          <w:sz w:val="24"/>
          <w:szCs w:val="24"/>
        </w:rPr>
        <w:fldChar w:fldCharType="separate"/>
      </w:r>
      <w:r w:rsidRPr="001748F1">
        <w:rPr>
          <w:rFonts w:ascii="Times New Roman" w:hAnsi="Times New Roman" w:cs="Times New Roman"/>
          <w:sz w:val="24"/>
          <w:szCs w:val="24"/>
        </w:rPr>
        <w:t>(Cappelleri et al., 2009)</w:t>
      </w:r>
      <w:r w:rsidRPr="001748F1">
        <w:rPr>
          <w:rFonts w:ascii="Times New Roman" w:hAnsi="Times New Roman" w:cs="Times New Roman"/>
          <w:sz w:val="24"/>
          <w:szCs w:val="24"/>
        </w:rPr>
        <w:fldChar w:fldCharType="end"/>
      </w:r>
      <w:r w:rsidRPr="001748F1">
        <w:rPr>
          <w:rFonts w:ascii="Times New Roman" w:hAnsi="Times New Roman" w:cs="Times New Roman"/>
          <w:sz w:val="24"/>
          <w:szCs w:val="24"/>
        </w:rPr>
        <w:t xml:space="preserve"> is a single-item 11-point numeric scale measuring acute sleep or sleep quality. Participants are asked, “How would you rate the quality of your sleep LAST NIGHT?” moving the slider for their response. The slide is anchored by “Best possible sleep” (0) and “Worst possible sleep” (10).</w:t>
      </w:r>
    </w:p>
    <w:p w14:paraId="0BC93974" w14:textId="77777777" w:rsidR="00541552" w:rsidRPr="001748F1" w:rsidRDefault="00541552" w:rsidP="00541552">
      <w:pPr>
        <w:spacing w:after="240" w:line="240" w:lineRule="auto"/>
        <w:ind w:left="360"/>
        <w:rPr>
          <w:rFonts w:ascii="Times New Roman" w:hAnsi="Times New Roman" w:cs="Times New Roman"/>
          <w:sz w:val="24"/>
          <w:szCs w:val="24"/>
        </w:rPr>
      </w:pPr>
      <w:r w:rsidRPr="001748F1">
        <w:rPr>
          <w:rFonts w:ascii="Times New Roman" w:hAnsi="Times New Roman" w:cs="Times New Roman"/>
          <w:sz w:val="24"/>
          <w:szCs w:val="24"/>
        </w:rPr>
        <w:lastRenderedPageBreak/>
        <w:t>-The</w:t>
      </w:r>
      <w:r w:rsidRPr="001748F1">
        <w:rPr>
          <w:rFonts w:ascii="Times New Roman" w:hAnsi="Times New Roman" w:cs="Times New Roman"/>
          <w:i/>
          <w:sz w:val="24"/>
          <w:szCs w:val="24"/>
        </w:rPr>
        <w:t xml:space="preserve"> Numeric Pain Rating Scale (NPRS)</w:t>
      </w:r>
      <w:r w:rsidRPr="001748F1">
        <w:rPr>
          <w:rFonts w:ascii="Times New Roman" w:hAnsi="Times New Roman" w:cs="Times New Roman"/>
          <w:sz w:val="24"/>
          <w:szCs w:val="24"/>
        </w:rPr>
        <w:t xml:space="preserve"> </w:t>
      </w:r>
      <w:r w:rsidRPr="001748F1">
        <w:rPr>
          <w:rFonts w:ascii="Times New Roman" w:hAnsi="Times New Roman" w:cs="Times New Roman"/>
          <w:sz w:val="24"/>
          <w:szCs w:val="24"/>
        </w:rPr>
        <w:fldChar w:fldCharType="begin"/>
      </w:r>
      <w:r w:rsidRPr="001748F1">
        <w:rPr>
          <w:rFonts w:ascii="Times New Roman" w:hAnsi="Times New Roman" w:cs="Times New Roman"/>
          <w:sz w:val="24"/>
          <w:szCs w:val="24"/>
        </w:rPr>
        <w:instrText xml:space="preserve"> ADDIN ZOTERO_ITEM CSL_CITATION {"citationID":"pB15rzgo","properties":{"formattedCitation":"(Farrar et al., 2001)","plainCitation":"(Farrar et al., 2001)","noteIndex":0},"citationItems":[{"id":810,"uris":["http://zotero.org/users/5440140/items/WECJVJDH"],"uri":["http://zotero.org/users/5440140/items/WECJVJDH"],"itemData":{"id":810,"type":"article-journal","abstract":"Pain intensity is frequently measured on an 11-point pain intensity numerical rating scale (PI-NRS), where 0=no pain and 10=worst possible pain. However, it is difficult to interpret the clinical importance of changes from baseline on this scale (such as a 1- or 2-point change). To date, there are no data driven estimates for clinically important differences in pain intensity scales used for chronic pain studies. We have estimated a clinically important difference on this scale by relating it to global assessments of change in multiple studies of chronic pain. Data on 2724 subjects from 10 recently completed placebo-controlled clinical trials of pregabalin in diabetic neuropathy, postherpetic neuralgia, chronic low back pain, fibromyalgia, and osteoarthritis were used. The studies had similar designs and measurement instruments, including the PI-NRS, collected in a daily diary, and the standard seven-point patient global impression of change (PGIC), collected at the endpoint. The changes in the PI-NRS from baseline to the endpoint were compared to the PGIC for each subject. Categories of \"much improved\" and \"very much improved\" were used as determinants of a clinically important difference and the relationship to the PI-NRS was explored using graphs, box plots, and sensitivity/specificity analyses. A consistent relationship between the change in PI-NRS and the PGIC was demonstrated regardless of study, disease type, age, sex, study result, or treatment group. On average, a reduction of approximately two points or a reduction of approximately 30% in the PI-NRS represented a clinically important difference. The relationship between percent change and the PGIC was also consistent regardless of baseline pain, while higher baseline scores required larger raw changes to represent a clinically important difference. The application of these results to future studies may provide a standard definition of clinically important improvement in clinical trials of chronic pain therapies. Use of a standard outcome across chronic pain studies would greatly enhance the comparability, validity, and clinical applicability of these studies.","container-title":"Pain 11690728","DOI":"S0304-3959(01)00349-9 [pii]","ISSN":"0304-3959 (Print) 0304-3959 (Linking)","issue":"2","language":"eng","page":"149-58","title":"Clinical importance of changes in chronic pain intensity measured on an 11-point numerical pain rating scale","volume":"94","author":[{"family":"Farrar","given":"J. T."},{"family":"Young","given":"J. P."},{"family":"LaMoreaux","given":"L."},{"family":"Werth","given":"J. L."},{"family":"Poole","given":"R. M."}],"issued":{"date-parts":[["2001",11]]}}}],"schema":"https://github.com/citation-style-language/schema/raw/master/csl-citation.json"} </w:instrText>
      </w:r>
      <w:r w:rsidRPr="001748F1">
        <w:rPr>
          <w:rFonts w:ascii="Times New Roman" w:hAnsi="Times New Roman" w:cs="Times New Roman"/>
          <w:sz w:val="24"/>
          <w:szCs w:val="24"/>
        </w:rPr>
        <w:fldChar w:fldCharType="separate"/>
      </w:r>
      <w:r w:rsidRPr="001748F1">
        <w:rPr>
          <w:rFonts w:ascii="Times New Roman" w:hAnsi="Times New Roman" w:cs="Times New Roman"/>
          <w:sz w:val="24"/>
          <w:szCs w:val="24"/>
        </w:rPr>
        <w:t>(Farrar et al., 2001)</w:t>
      </w:r>
      <w:r w:rsidRPr="001748F1">
        <w:rPr>
          <w:rFonts w:ascii="Times New Roman" w:hAnsi="Times New Roman" w:cs="Times New Roman"/>
          <w:sz w:val="24"/>
          <w:szCs w:val="24"/>
        </w:rPr>
        <w:fldChar w:fldCharType="end"/>
      </w:r>
      <w:r w:rsidRPr="001748F1">
        <w:rPr>
          <w:rFonts w:ascii="Times New Roman" w:hAnsi="Times New Roman" w:cs="Times New Roman"/>
          <w:sz w:val="24"/>
          <w:szCs w:val="24"/>
        </w:rPr>
        <w:t xml:space="preserve"> is a visual-analog scale in which a respondent selects a whole number (0–10 integers) that best reflects the intensity of his/her pain. The standard format is a horizontal bar or line. The NPRS is anchored by terms describing pain severity extremes. Participants are asked to report pain intensity “in the past 24 hours” on a slider from position 0 being “No pain” to position 10 being “Worst possible pain.” The NPRS is a reliable scale in terms of inter- or intra-rater repeatability and its ability to detect change </w:t>
      </w:r>
      <w:r w:rsidRPr="001748F1">
        <w:rPr>
          <w:rFonts w:ascii="Times New Roman" w:hAnsi="Times New Roman" w:cs="Times New Roman"/>
          <w:sz w:val="24"/>
          <w:szCs w:val="24"/>
        </w:rPr>
        <w:fldChar w:fldCharType="begin"/>
      </w:r>
      <w:r w:rsidRPr="001748F1">
        <w:rPr>
          <w:rFonts w:ascii="Times New Roman" w:hAnsi="Times New Roman" w:cs="Times New Roman"/>
          <w:sz w:val="24"/>
          <w:szCs w:val="24"/>
        </w:rPr>
        <w:instrText xml:space="preserve"> ADDIN ZOTERO_ITEM CSL_CITATION {"citationID":"rY64e7rr","properties":{"formattedCitation":"(Bijur et al., 2001; Boonstra et al., 2008; Hawker et al., 2011)","plainCitation":"(Bijur et al., 2001; Boonstra et al., 2008; Hawker et al., 2011)","noteIndex":0},"citationItems":[{"id":41964,"uris":["http://zotero.org/groups/2275793/items/56HE8LYS"],"uri":["http://zotero.org/groups/2275793/items/56HE8LYS"],"itemData":{"id":41964,"type":"article-journal","container-title":"Academic emergency medicine","ISSN":"1069-6563","issue":"12","journalAbbreviation":"Academic emergency medicine","note":"publisher: Wiley Online Library","page":"1153-1157","title":"Reliability of the visual analog scale for measurement of acute pain","volume":"8","author":[{"family":"Bijur","given":"Polly E"},{"family":"Silver","given":"Wendy"},{"family":"Gallagher","given":"E John"}],"issued":{"date-parts":[["2001"]]}}},{"id":41965,"uris":["http://zotero.org/groups/2275793/items/XVQ5R29N"],"uri":["http://zotero.org/groups/2275793/items/XVQ5R29N"],"itemData":{"id":41965,"type":"article-journal","container-title":"International journal of rehabilitation research","ISSN":"0342-5282","issue":"2","journalAbbreviation":"International journal of rehabilitation research","note":"publisher: LWW","page":"165-169","title":"Reliability and validity of the visual analogue scale for disability in patients with chronic musculoskeletal pain","volume":"31","author":[{"family":"Boonstra","given":"Anne M"},{"family":"Preuper","given":"Henrica R Schiphorst"},{"family":"Reneman","given":"Michiel F"},{"family":"Posthumus","given":"Jitze B"},{"family":"Stewart","given":"Roy E"}],"issued":{"date-parts":[["2008"]]}}},{"id":41966,"uris":["http://zotero.org/groups/2275793/items/2LV7GGZP"],"uri":["http://zotero.org/groups/2275793/items/2LV7GGZP"],"itemData":{"id":41966,"type":"article-journal","container-title":"Arthritis care &amp; research","ISSN":"2151-464X","issue":"S11","journalAbbreviation":"Arthritis care &amp; research","note":"publisher: John Wiley &amp; Sons, Inc. Hoboken, USA","page":"S240-S252","title":"Measures of adult pain: Visual analog scale for pain (vas pain), numeric rating scale for pain (nrs pain), mcgill pain questionnaire (mpq), short‐form mcgill pain questionnaire (sf‐mpq), chronic pain grade scale (cpgs), short form‐36 bodily pain scale (sf‐36 bps), and measure of intermittent and constant osteoarthritis pain (icoap)","volume":"63","author":[{"family":"Hawker","given":"Gillian A"},{"family":"Mian","given":"Samra"},{"family":"Kendzerska","given":"Tetyana"},{"family":"French","given":"Melissa"}],"issued":{"date-parts":[["2011"]]}}}],"schema":"https://github.com/citation-style-language/schema/raw/master/csl-citation.json"} </w:instrText>
      </w:r>
      <w:r w:rsidRPr="001748F1">
        <w:rPr>
          <w:rFonts w:ascii="Times New Roman" w:hAnsi="Times New Roman" w:cs="Times New Roman"/>
          <w:sz w:val="24"/>
          <w:szCs w:val="24"/>
        </w:rPr>
        <w:fldChar w:fldCharType="separate"/>
      </w:r>
      <w:r w:rsidRPr="001748F1">
        <w:rPr>
          <w:rFonts w:ascii="Times New Roman" w:hAnsi="Times New Roman" w:cs="Times New Roman"/>
          <w:sz w:val="24"/>
        </w:rPr>
        <w:t>(Bijur et al., 2001; Boonstra et al., 2008; Hawker et al., 2011)</w:t>
      </w:r>
      <w:r w:rsidRPr="001748F1">
        <w:rPr>
          <w:rFonts w:ascii="Times New Roman" w:hAnsi="Times New Roman" w:cs="Times New Roman"/>
          <w:sz w:val="24"/>
          <w:szCs w:val="24"/>
        </w:rPr>
        <w:fldChar w:fldCharType="end"/>
      </w:r>
      <w:r w:rsidRPr="001748F1">
        <w:rPr>
          <w:rFonts w:ascii="Times New Roman" w:hAnsi="Times New Roman" w:cs="Times New Roman"/>
          <w:sz w:val="24"/>
          <w:szCs w:val="24"/>
        </w:rPr>
        <w:t xml:space="preserve">. </w:t>
      </w:r>
    </w:p>
    <w:p w14:paraId="41ADD3FC" w14:textId="77777777" w:rsidR="00541552" w:rsidRPr="001748F1" w:rsidRDefault="00541552" w:rsidP="00541552">
      <w:pPr>
        <w:spacing w:after="0" w:line="240" w:lineRule="auto"/>
        <w:rPr>
          <w:rFonts w:ascii="Times New Roman" w:hAnsi="Times New Roman" w:cs="Times New Roman"/>
          <w:sz w:val="24"/>
          <w:szCs w:val="24"/>
        </w:rPr>
      </w:pPr>
      <w:r w:rsidRPr="001748F1">
        <w:rPr>
          <w:rFonts w:ascii="Times New Roman" w:hAnsi="Times New Roman" w:cs="Times New Roman"/>
          <w:b/>
          <w:sz w:val="24"/>
          <w:szCs w:val="24"/>
        </w:rPr>
        <w:t xml:space="preserve">Potential Predictors: </w:t>
      </w:r>
      <w:r w:rsidRPr="001748F1">
        <w:rPr>
          <w:rFonts w:ascii="Times New Roman" w:hAnsi="Times New Roman" w:cs="Times New Roman"/>
          <w:sz w:val="24"/>
          <w:szCs w:val="24"/>
        </w:rPr>
        <w:t>The following potential predictors were measured before the workshop.</w:t>
      </w:r>
    </w:p>
    <w:p w14:paraId="44AA30E8" w14:textId="77777777" w:rsidR="00541552" w:rsidRPr="001748F1" w:rsidRDefault="00541552" w:rsidP="00541552">
      <w:pPr>
        <w:spacing w:after="0" w:line="240" w:lineRule="auto"/>
        <w:ind w:left="360"/>
        <w:rPr>
          <w:rFonts w:ascii="Times New Roman" w:hAnsi="Times New Roman" w:cs="Times New Roman"/>
          <w:i/>
          <w:sz w:val="24"/>
          <w:szCs w:val="24"/>
        </w:rPr>
      </w:pPr>
    </w:p>
    <w:p w14:paraId="5022FD43" w14:textId="77777777" w:rsidR="00541552" w:rsidRPr="001748F1" w:rsidRDefault="00541552" w:rsidP="00541552">
      <w:pPr>
        <w:spacing w:after="0" w:line="240" w:lineRule="auto"/>
        <w:ind w:left="360"/>
        <w:rPr>
          <w:rFonts w:ascii="Times New Roman" w:hAnsi="Times New Roman" w:cs="Times New Roman"/>
          <w:sz w:val="24"/>
          <w:szCs w:val="24"/>
        </w:rPr>
      </w:pPr>
      <w:r w:rsidRPr="001748F1">
        <w:rPr>
          <w:rFonts w:ascii="Times New Roman" w:hAnsi="Times New Roman" w:cs="Times New Roman"/>
          <w:i/>
          <w:sz w:val="24"/>
          <w:szCs w:val="24"/>
        </w:rPr>
        <w:t>-Demographic variables -</w:t>
      </w:r>
      <w:r w:rsidRPr="001748F1">
        <w:rPr>
          <w:rFonts w:ascii="Times New Roman" w:hAnsi="Times New Roman" w:cs="Times New Roman"/>
          <w:sz w:val="24"/>
          <w:szCs w:val="24"/>
        </w:rPr>
        <w:t xml:space="preserve"> age, gender, education, relationship status, race, income, childhood, and current religious/spiritual affiliation and importance.</w:t>
      </w:r>
    </w:p>
    <w:p w14:paraId="695ACA08" w14:textId="77777777" w:rsidR="00541552" w:rsidRPr="001748F1" w:rsidRDefault="00541552" w:rsidP="00541552">
      <w:pPr>
        <w:spacing w:after="0" w:line="240" w:lineRule="auto"/>
        <w:ind w:left="360"/>
        <w:rPr>
          <w:rFonts w:ascii="Times New Roman" w:hAnsi="Times New Roman" w:cs="Times New Roman"/>
          <w:sz w:val="24"/>
          <w:szCs w:val="24"/>
        </w:rPr>
      </w:pPr>
    </w:p>
    <w:p w14:paraId="5B0574D0" w14:textId="77777777" w:rsidR="00541552" w:rsidRPr="001748F1" w:rsidRDefault="00541552" w:rsidP="00541552">
      <w:pPr>
        <w:spacing w:after="0" w:line="240" w:lineRule="auto"/>
        <w:ind w:left="360"/>
        <w:rPr>
          <w:rFonts w:ascii="Times New Roman" w:hAnsi="Times New Roman" w:cs="Times New Roman"/>
          <w:sz w:val="24"/>
          <w:szCs w:val="24"/>
        </w:rPr>
      </w:pPr>
      <w:r w:rsidRPr="001748F1">
        <w:rPr>
          <w:rFonts w:ascii="Times New Roman" w:hAnsi="Times New Roman" w:cs="Times New Roman"/>
          <w:sz w:val="24"/>
          <w:szCs w:val="24"/>
        </w:rPr>
        <w:t>-</w:t>
      </w:r>
      <w:r w:rsidRPr="001748F1">
        <w:rPr>
          <w:rFonts w:ascii="Times New Roman" w:hAnsi="Times New Roman" w:cs="Times New Roman"/>
          <w:i/>
          <w:sz w:val="24"/>
          <w:szCs w:val="24"/>
        </w:rPr>
        <w:t xml:space="preserve">Psychiatric treatment </w:t>
      </w:r>
      <w:r w:rsidRPr="001748F1">
        <w:rPr>
          <w:rFonts w:ascii="Times New Roman" w:hAnsi="Times New Roman" w:cs="Times New Roman"/>
          <w:sz w:val="24"/>
          <w:szCs w:val="24"/>
        </w:rPr>
        <w:t>- Participants are asked, “Are you currently being treated for a psychiatric condition?”</w:t>
      </w:r>
    </w:p>
    <w:p w14:paraId="7B5F3C94" w14:textId="77777777" w:rsidR="00541552" w:rsidRPr="001748F1" w:rsidRDefault="00541552" w:rsidP="00541552">
      <w:pPr>
        <w:spacing w:after="0" w:line="240" w:lineRule="auto"/>
        <w:ind w:left="360"/>
        <w:rPr>
          <w:rFonts w:ascii="Times New Roman" w:hAnsi="Times New Roman" w:cs="Times New Roman"/>
          <w:sz w:val="24"/>
          <w:szCs w:val="24"/>
        </w:rPr>
      </w:pPr>
    </w:p>
    <w:p w14:paraId="0FA404FC" w14:textId="77777777" w:rsidR="00541552" w:rsidRPr="001748F1" w:rsidRDefault="00541552" w:rsidP="00541552">
      <w:pPr>
        <w:spacing w:after="240" w:line="240" w:lineRule="auto"/>
        <w:ind w:left="360"/>
        <w:rPr>
          <w:rFonts w:ascii="Times New Roman" w:hAnsi="Times New Roman" w:cs="Times New Roman"/>
          <w:sz w:val="24"/>
          <w:szCs w:val="24"/>
        </w:rPr>
      </w:pPr>
      <w:r w:rsidRPr="001748F1">
        <w:rPr>
          <w:rFonts w:ascii="Times New Roman" w:hAnsi="Times New Roman" w:cs="Times New Roman"/>
          <w:b/>
          <w:sz w:val="24"/>
          <w:szCs w:val="24"/>
        </w:rPr>
        <w:t>-</w:t>
      </w:r>
      <w:r w:rsidRPr="001748F1">
        <w:rPr>
          <w:rFonts w:ascii="Times New Roman" w:hAnsi="Times New Roman" w:cs="Times New Roman"/>
          <w:sz w:val="24"/>
          <w:szCs w:val="24"/>
        </w:rPr>
        <w:t xml:space="preserve">The </w:t>
      </w:r>
      <w:r w:rsidRPr="001748F1">
        <w:rPr>
          <w:rFonts w:ascii="Times New Roman" w:hAnsi="Times New Roman" w:cs="Times New Roman"/>
          <w:i/>
          <w:sz w:val="24"/>
          <w:szCs w:val="24"/>
        </w:rPr>
        <w:t>Single General Self-Rated Health Question (sGSRH)</w:t>
      </w:r>
      <w:r w:rsidRPr="001748F1">
        <w:rPr>
          <w:rFonts w:ascii="Times New Roman" w:hAnsi="Times New Roman" w:cs="Times New Roman"/>
          <w:sz w:val="24"/>
          <w:szCs w:val="24"/>
        </w:rPr>
        <w:t xml:space="preserve"> </w:t>
      </w:r>
      <w:r w:rsidRPr="001748F1">
        <w:rPr>
          <w:rFonts w:ascii="Times New Roman" w:hAnsi="Times New Roman" w:cs="Times New Roman"/>
          <w:sz w:val="24"/>
          <w:szCs w:val="24"/>
        </w:rPr>
        <w:fldChar w:fldCharType="begin"/>
      </w:r>
      <w:r w:rsidRPr="001748F1">
        <w:rPr>
          <w:rFonts w:ascii="Times New Roman" w:hAnsi="Times New Roman" w:cs="Times New Roman"/>
          <w:sz w:val="24"/>
          <w:szCs w:val="24"/>
        </w:rPr>
        <w:instrText xml:space="preserve"> ADDIN ZOTERO_ITEM CSL_CITATION {"citationID":"Jqe1aKHa","properties":{"formattedCitation":"(DeSalvo et al., 2006)","plainCitation":"(DeSalvo et al., 2006)","noteIndex":0},"citationItems":[{"id":2386,"uris":["http://zotero.org/users/5440140/items/44WR4J6K"],"uri":["http://zotero.org/users/5440140/items/44WR4J6K"],"itemData":{"id":2386,"type":"article-journal","abstract":"Objective: Health planners and policy makers are increasingly asking for a feasible method to identify vulnerable persons with the greatest health needs. We conducted a systematic review of the association between a single item assessing general self-rated health (GSRH) and mortality. Data Sources: Systematic MEDLINE and EMBASE database searches for studies published from January 1966 to September 2003. Review Methods: Two investigators independently searched English language prospective, community-based cohort studies that reported (1) all-cause mortality, (2) a question assessing GSRH; and (3) an adjusted relative risk or equivalent. The investigators searched the citations to determine inclusion eligibility and abstracted data by following a standarized protocol. Of the 163 relevant studies identified, 22 cohorts met the inclusion criteria. Using a random effects model, compared with persons reporting “excellent” health status, the relative risk (95% confidence interval) for all-cause mortality was 1.23 [1.09, 1.39], 1.44 [1.21, 1.71], and 1.92 [1.64, 2.25] for those reporting “good,”“fair,” and “poor” health status, respectively. This relationship was robust in sensitivity analyses, limited to studies that adjusted for co-morbid illness, functional status, cognitive status, and depression, and across subgroups defined by gender and country of origin. Conclusions: Persons with “poor” self-rated health had a 2-fold higher mortality risk compared with persons with “excellent” self-rated health. Subjects' responses to a simple, single-item GSRH question maintained a strong association with mortality even after adjustment for key covariates such as functional status, depression, and co-morbidity.","container-title":"Journal of General Internal Medicine","DOI":"10.1111/j.1525-1497.2005.00291.x","ISSN":"1525-1497","issue":"3","journalAbbreviation":"J. Gen. Intern. Med.","page":"267-275","title":"Mortality Prediction with a Single General Self-Rated Health Question","volume":"21","author":[{"family":"DeSalvo","given":"Karen B."},{"family":"Bloser","given":"Nicole"},{"family":"Reynolds","given":"Kristi"},{"family":"He","given":"Jiang"},{"family":"Muntner","given":"Paul"}],"issued":{"date-parts":[["2006"]]}}}],"schema":"https://github.com/citation-style-language/schema/raw/master/csl-citation.json"} </w:instrText>
      </w:r>
      <w:r w:rsidRPr="001748F1">
        <w:rPr>
          <w:rFonts w:ascii="Times New Roman" w:hAnsi="Times New Roman" w:cs="Times New Roman"/>
          <w:sz w:val="24"/>
          <w:szCs w:val="24"/>
        </w:rPr>
        <w:fldChar w:fldCharType="separate"/>
      </w:r>
      <w:r w:rsidRPr="001748F1">
        <w:rPr>
          <w:rFonts w:ascii="Times New Roman" w:hAnsi="Times New Roman" w:cs="Times New Roman"/>
          <w:sz w:val="24"/>
          <w:szCs w:val="24"/>
        </w:rPr>
        <w:t>(DeSalvo et al., 2006)</w:t>
      </w:r>
      <w:r w:rsidRPr="001748F1">
        <w:rPr>
          <w:rFonts w:ascii="Times New Roman" w:hAnsi="Times New Roman" w:cs="Times New Roman"/>
          <w:sz w:val="24"/>
          <w:szCs w:val="24"/>
        </w:rPr>
        <w:fldChar w:fldCharType="end"/>
      </w:r>
      <w:r w:rsidRPr="001748F1">
        <w:rPr>
          <w:rFonts w:ascii="Times New Roman" w:hAnsi="Times New Roman" w:cs="Times New Roman"/>
          <w:sz w:val="24"/>
          <w:szCs w:val="24"/>
        </w:rPr>
        <w:t xml:space="preserve"> is a single item subjective rating of a person’s overall health. Participants are asked, “In general, how would you rate your overall health?” which they rate as Poor, Fair, Good, Very good, or Excellent. Persons with “poor” self-rated health had a 2-fold higher mortality risk than persons with “excellent” self-rated health. Participants’ responses to a simple, single-item GSRH question maintained a strong association with mortality even after adjustment for key covariates such as functional status, depression, and comorbidity.</w:t>
      </w:r>
    </w:p>
    <w:p w14:paraId="225FFDE8" w14:textId="77777777" w:rsidR="00541552" w:rsidRPr="001748F1" w:rsidRDefault="00541552" w:rsidP="00541552">
      <w:pPr>
        <w:spacing w:after="240" w:line="240" w:lineRule="auto"/>
        <w:ind w:left="360"/>
        <w:rPr>
          <w:rFonts w:ascii="Times New Roman" w:hAnsi="Times New Roman" w:cs="Times New Roman"/>
          <w:sz w:val="24"/>
          <w:szCs w:val="24"/>
        </w:rPr>
      </w:pPr>
      <w:r w:rsidRPr="001748F1">
        <w:rPr>
          <w:rFonts w:ascii="Times New Roman" w:hAnsi="Times New Roman" w:cs="Times New Roman"/>
          <w:sz w:val="24"/>
          <w:szCs w:val="24"/>
        </w:rPr>
        <w:t>-</w:t>
      </w:r>
      <w:r w:rsidRPr="001748F1">
        <w:rPr>
          <w:rFonts w:ascii="Times New Roman" w:hAnsi="Times New Roman" w:cs="Times New Roman"/>
          <w:i/>
          <w:sz w:val="24"/>
          <w:szCs w:val="24"/>
        </w:rPr>
        <w:t>Brief Five Inventory - 10 (BFI-10)</w:t>
      </w:r>
      <w:r w:rsidRPr="001748F1">
        <w:rPr>
          <w:rFonts w:ascii="Times New Roman" w:hAnsi="Times New Roman" w:cs="Times New Roman"/>
          <w:sz w:val="24"/>
          <w:szCs w:val="24"/>
        </w:rPr>
        <w:t xml:space="preserve"> </w:t>
      </w:r>
      <w:r w:rsidRPr="001748F1">
        <w:rPr>
          <w:rFonts w:ascii="Times New Roman" w:hAnsi="Times New Roman" w:cs="Times New Roman"/>
          <w:sz w:val="24"/>
          <w:szCs w:val="24"/>
        </w:rPr>
        <w:fldChar w:fldCharType="begin"/>
      </w:r>
      <w:r w:rsidRPr="001748F1">
        <w:rPr>
          <w:rFonts w:ascii="Times New Roman" w:hAnsi="Times New Roman" w:cs="Times New Roman"/>
          <w:sz w:val="24"/>
          <w:szCs w:val="24"/>
        </w:rPr>
        <w:instrText xml:space="preserve"> ADDIN ZOTERO_ITEM CSL_CITATION {"citationID":"Ki4KuKDi","properties":{"formattedCitation":"(Rammstedt, 2007)","plainCitation":"(Rammstedt, 2007)","noteIndex":0},"citationItems":[{"id":4926,"uris":["http://zotero.org/users/5440140/items/H2L9KH8C"],"uri":["http://zotero.org/users/5440140/items/H2L9KH8C"],"itemData":{"id":4926,"type":"article-journal","container-title":"European Journal of Psychological Assessment","ISSN":"2151-2426","issue":"3","page":"193","title":"The 10-item Big Five Inventory: Norm values and investigation of sociodemographic effects based on a German population representative sample","volume":"23","author":[{"family":"Rammstedt","given":"Beatrice"}],"issued":{"date-parts":[["2007"]]}}}],"schema":"https://github.com/citation-style-language/schema/raw/master/csl-citation.json"} </w:instrText>
      </w:r>
      <w:r w:rsidRPr="001748F1">
        <w:rPr>
          <w:rFonts w:ascii="Times New Roman" w:hAnsi="Times New Roman" w:cs="Times New Roman"/>
          <w:sz w:val="24"/>
          <w:szCs w:val="24"/>
        </w:rPr>
        <w:fldChar w:fldCharType="separate"/>
      </w:r>
      <w:r w:rsidRPr="001748F1">
        <w:rPr>
          <w:rFonts w:ascii="Times New Roman" w:hAnsi="Times New Roman" w:cs="Times New Roman"/>
          <w:sz w:val="24"/>
          <w:szCs w:val="24"/>
        </w:rPr>
        <w:t>(Rammstedt, 2007)</w:t>
      </w:r>
      <w:r w:rsidRPr="001748F1">
        <w:rPr>
          <w:rFonts w:ascii="Times New Roman" w:hAnsi="Times New Roman" w:cs="Times New Roman"/>
          <w:sz w:val="24"/>
          <w:szCs w:val="24"/>
        </w:rPr>
        <w:fldChar w:fldCharType="end"/>
      </w:r>
      <w:r w:rsidRPr="001748F1">
        <w:rPr>
          <w:rFonts w:ascii="Times New Roman" w:hAnsi="Times New Roman" w:cs="Times New Roman"/>
          <w:sz w:val="24"/>
          <w:szCs w:val="24"/>
        </w:rPr>
        <w:t xml:space="preserve"> - The BFI-10 is a ten-item scale asking the participant to describe their personality on a rating scale of disagree strongly to agree strongly based on ten statements. These correspond to the big five personality characteristics of extraversion, agreeableness, conscientiousness, neuroticism, and openness with two items per subscale. After reverse scoring one item per subscale, item scores are averaged for subscale values. </w:t>
      </w:r>
      <w:r w:rsidRPr="001748F1">
        <w:rPr>
          <w:rFonts w:ascii="Times New Roman" w:hAnsi="Times New Roman" w:cs="Times New Roman"/>
          <w:sz w:val="24"/>
          <w:szCs w:val="24"/>
          <w:highlight w:val="white"/>
        </w:rPr>
        <w:t xml:space="preserve">Overall, results indicate that the BFI-10 scales retain significant reliability and validity levels compared to the longer scales. </w:t>
      </w:r>
    </w:p>
    <w:p w14:paraId="579C7643" w14:textId="77777777" w:rsidR="00541552" w:rsidRPr="001748F1" w:rsidRDefault="00541552" w:rsidP="00541552">
      <w:pPr>
        <w:spacing w:after="0" w:line="240" w:lineRule="auto"/>
        <w:ind w:left="360"/>
        <w:rPr>
          <w:rFonts w:ascii="Times New Roman" w:hAnsi="Times New Roman" w:cs="Times New Roman"/>
          <w:sz w:val="24"/>
          <w:szCs w:val="24"/>
        </w:rPr>
      </w:pPr>
      <w:r w:rsidRPr="001748F1">
        <w:rPr>
          <w:rFonts w:ascii="Times New Roman" w:hAnsi="Times New Roman" w:cs="Times New Roman"/>
          <w:sz w:val="24"/>
          <w:szCs w:val="24"/>
        </w:rPr>
        <w:t>-</w:t>
      </w:r>
      <w:r w:rsidRPr="001748F1">
        <w:rPr>
          <w:rFonts w:ascii="Times New Roman" w:hAnsi="Times New Roman" w:cs="Times New Roman"/>
          <w:i/>
          <w:sz w:val="24"/>
          <w:szCs w:val="24"/>
        </w:rPr>
        <w:t>Noetic Experience and Belief Scale (NEBS)</w:t>
      </w:r>
      <w:r w:rsidRPr="001748F1">
        <w:rPr>
          <w:rFonts w:ascii="Times New Roman" w:hAnsi="Times New Roman" w:cs="Times New Roman"/>
          <w:sz w:val="24"/>
          <w:szCs w:val="24"/>
        </w:rPr>
        <w:t xml:space="preserve"> </w:t>
      </w:r>
      <w:r w:rsidRPr="001748F1">
        <w:rPr>
          <w:rFonts w:ascii="Times New Roman" w:hAnsi="Times New Roman" w:cs="Times New Roman"/>
          <w:sz w:val="24"/>
          <w:szCs w:val="24"/>
        </w:rPr>
        <w:fldChar w:fldCharType="begin"/>
      </w:r>
      <w:r w:rsidRPr="001748F1">
        <w:rPr>
          <w:rFonts w:ascii="Times New Roman" w:hAnsi="Times New Roman" w:cs="Times New Roman"/>
          <w:sz w:val="24"/>
          <w:szCs w:val="24"/>
        </w:rPr>
        <w:instrText xml:space="preserve"> ADDIN ZOTERO_ITEM CSL_CITATION {"citationID":"An0qLOvm","properties":{"formattedCitation":"(Wahbeh et al., 2020)","plainCitation":"(Wahbeh et al., 2020)","noteIndex":0},"citationItems":[{"id":6396,"uris":["http://zotero.org/users/5440140/items/WNN4V7HZ"],"uri":["http://zotero.org/users/5440140/items/WNN4V7HZ"],"itemData":{"id":6396,"type":"article-journal","container-title":"F100Research","DOI":"https://doi.org/10.12688/f1000research.20409.2","issue":"1741","title":"The noetic belief and experience scale: validation and reliability study  [version 2; peer review: 1 approved with reservations].","volume":"8","author":[{"family":"Wahbeh","given":"H."},{"family":"Yount","given":"G."},{"family":"Delorme","given":"A."},{"family":"Vieten","given":"C."},{"family":"Radin","given":"D."}],"issued":{"date-parts":[["2020"]]}}}],"schema":"https://github.com/citation-style-language/schema/raw/master/csl-citation.json"} </w:instrText>
      </w:r>
      <w:r w:rsidRPr="001748F1">
        <w:rPr>
          <w:rFonts w:ascii="Times New Roman" w:hAnsi="Times New Roman" w:cs="Times New Roman"/>
          <w:sz w:val="24"/>
          <w:szCs w:val="24"/>
        </w:rPr>
        <w:fldChar w:fldCharType="separate"/>
      </w:r>
      <w:r w:rsidRPr="001748F1">
        <w:rPr>
          <w:rFonts w:ascii="Times New Roman" w:hAnsi="Times New Roman" w:cs="Times New Roman"/>
          <w:sz w:val="24"/>
          <w:szCs w:val="24"/>
        </w:rPr>
        <w:t>(Wahbeh et al., 2020)</w:t>
      </w:r>
      <w:r w:rsidRPr="001748F1">
        <w:rPr>
          <w:rFonts w:ascii="Times New Roman" w:hAnsi="Times New Roman" w:cs="Times New Roman"/>
          <w:sz w:val="24"/>
          <w:szCs w:val="24"/>
        </w:rPr>
        <w:fldChar w:fldCharType="end"/>
      </w:r>
      <w:r w:rsidRPr="001748F1">
        <w:rPr>
          <w:rFonts w:ascii="Times New Roman" w:hAnsi="Times New Roman" w:cs="Times New Roman"/>
          <w:sz w:val="24"/>
          <w:szCs w:val="24"/>
        </w:rPr>
        <w:t xml:space="preserve"> - The scale contains ten statements about the belief in intuition, non-local consciousness, extraterrestrials, precognition, life after death, contact with the dead, clairvoyance, psychokinesis, telepathy, and automatism, which the participant rates on a slider from Disagree Strongly (0) to Agree Strongly (100). For each item, participants also answer whether they have ever personally experienced the phenomenon on a slider scale from Never (0) to Always (100). The scale results in global scores for paranormal belief and paranormal experience by averaging the ten-items for each subscale (0-100). Item scores can also be used individually for scores on each specific category (0-100). The belief subscale Cronbach’s alpha = 0.90; Experience subscale Cronbach’s alpha of 0.93. The NEBS had high test-retest reliability for both the belief (</w:t>
      </w:r>
      <w:r w:rsidRPr="001748F1">
        <w:rPr>
          <w:rFonts w:ascii="Times New Roman" w:hAnsi="Times New Roman" w:cs="Times New Roman"/>
          <w:i/>
          <w:sz w:val="24"/>
          <w:szCs w:val="24"/>
        </w:rPr>
        <w:t xml:space="preserve">r = </w:t>
      </w:r>
      <w:r w:rsidRPr="001748F1">
        <w:rPr>
          <w:rFonts w:ascii="Times New Roman" w:hAnsi="Times New Roman" w:cs="Times New Roman"/>
          <w:sz w:val="24"/>
          <w:szCs w:val="24"/>
        </w:rPr>
        <w:t>0.83</w:t>
      </w:r>
      <w:r w:rsidRPr="001748F1">
        <w:rPr>
          <w:rFonts w:ascii="Times New Roman" w:hAnsi="Times New Roman" w:cs="Times New Roman"/>
          <w:i/>
          <w:sz w:val="24"/>
          <w:szCs w:val="24"/>
        </w:rPr>
        <w:t xml:space="preserve">, p </w:t>
      </w:r>
      <w:r w:rsidRPr="001748F1">
        <w:rPr>
          <w:rFonts w:ascii="Times New Roman" w:hAnsi="Times New Roman" w:cs="Times New Roman"/>
          <w:sz w:val="24"/>
          <w:szCs w:val="24"/>
        </w:rPr>
        <w:t>&lt;0.00005) and experience values (</w:t>
      </w:r>
      <w:r w:rsidRPr="001748F1">
        <w:rPr>
          <w:rFonts w:ascii="Times New Roman" w:hAnsi="Times New Roman" w:cs="Times New Roman"/>
          <w:i/>
          <w:sz w:val="24"/>
          <w:szCs w:val="24"/>
        </w:rPr>
        <w:t xml:space="preserve">r = </w:t>
      </w:r>
      <w:r w:rsidRPr="001748F1">
        <w:rPr>
          <w:rFonts w:ascii="Times New Roman" w:hAnsi="Times New Roman" w:cs="Times New Roman"/>
          <w:sz w:val="24"/>
          <w:szCs w:val="24"/>
        </w:rPr>
        <w:t>0.77</w:t>
      </w:r>
      <w:r w:rsidRPr="001748F1">
        <w:rPr>
          <w:rFonts w:ascii="Times New Roman" w:hAnsi="Times New Roman" w:cs="Times New Roman"/>
          <w:i/>
          <w:sz w:val="24"/>
          <w:szCs w:val="24"/>
        </w:rPr>
        <w:t xml:space="preserve">, p </w:t>
      </w:r>
      <w:r w:rsidRPr="001748F1">
        <w:rPr>
          <w:rFonts w:ascii="Times New Roman" w:hAnsi="Times New Roman" w:cs="Times New Roman"/>
          <w:sz w:val="24"/>
          <w:szCs w:val="24"/>
        </w:rPr>
        <w:t>&lt;0.00005).</w:t>
      </w:r>
    </w:p>
    <w:p w14:paraId="2871BF09" w14:textId="77777777" w:rsidR="00541552" w:rsidRPr="001748F1" w:rsidRDefault="00541552" w:rsidP="00541552">
      <w:pPr>
        <w:spacing w:after="0" w:line="240" w:lineRule="auto"/>
        <w:ind w:left="360"/>
        <w:rPr>
          <w:rFonts w:ascii="Times New Roman" w:hAnsi="Times New Roman" w:cs="Times New Roman"/>
          <w:sz w:val="24"/>
          <w:szCs w:val="24"/>
        </w:rPr>
      </w:pPr>
    </w:p>
    <w:p w14:paraId="2EBA75D1" w14:textId="77777777" w:rsidR="00541552" w:rsidRPr="001748F1" w:rsidRDefault="00541552" w:rsidP="00541552">
      <w:pPr>
        <w:spacing w:after="0" w:line="240" w:lineRule="auto"/>
        <w:ind w:left="360"/>
        <w:rPr>
          <w:rFonts w:ascii="Times New Roman" w:hAnsi="Times New Roman" w:cs="Times New Roman"/>
          <w:sz w:val="24"/>
          <w:szCs w:val="24"/>
        </w:rPr>
      </w:pPr>
      <w:r w:rsidRPr="001748F1">
        <w:rPr>
          <w:rFonts w:ascii="Times New Roman" w:hAnsi="Times New Roman" w:cs="Times New Roman"/>
          <w:sz w:val="24"/>
          <w:szCs w:val="24"/>
        </w:rPr>
        <w:t>-</w:t>
      </w:r>
      <w:r w:rsidRPr="001748F1">
        <w:rPr>
          <w:rFonts w:ascii="Times New Roman" w:hAnsi="Times New Roman" w:cs="Times New Roman"/>
          <w:i/>
          <w:sz w:val="24"/>
          <w:szCs w:val="24"/>
        </w:rPr>
        <w:t>Meditation practice</w:t>
      </w:r>
      <w:r w:rsidRPr="001748F1">
        <w:rPr>
          <w:rFonts w:ascii="Times New Roman" w:hAnsi="Times New Roman" w:cs="Times New Roman"/>
          <w:sz w:val="24"/>
          <w:szCs w:val="24"/>
        </w:rPr>
        <w:t xml:space="preserve"> - Participants are also asked, “Do you meditate?” Answer choices are Yes or No. If yes, participants can answer how many minutes per day and how many years they have been meditating. </w:t>
      </w:r>
    </w:p>
    <w:p w14:paraId="42469995" w14:textId="77777777" w:rsidR="00541552" w:rsidRPr="001748F1" w:rsidRDefault="00541552" w:rsidP="00541552">
      <w:pPr>
        <w:rPr>
          <w:rFonts w:ascii="Times New Roman" w:hAnsi="Times New Roman" w:cs="Times New Roman"/>
          <w:sz w:val="24"/>
          <w:szCs w:val="24"/>
        </w:rPr>
      </w:pPr>
    </w:p>
    <w:p w14:paraId="297ECDFC" w14:textId="77777777" w:rsidR="00541552" w:rsidRPr="001748F1" w:rsidRDefault="00541552" w:rsidP="00541552">
      <w:pPr>
        <w:spacing w:after="0" w:line="240" w:lineRule="auto"/>
        <w:rPr>
          <w:rFonts w:ascii="Times New Roman" w:hAnsi="Times New Roman" w:cs="Times New Roman"/>
          <w:b/>
          <w:sz w:val="24"/>
          <w:szCs w:val="24"/>
        </w:rPr>
      </w:pPr>
      <w:r w:rsidRPr="001748F1">
        <w:rPr>
          <w:rFonts w:ascii="Times New Roman" w:hAnsi="Times New Roman" w:cs="Times New Roman"/>
          <w:b/>
          <w:sz w:val="24"/>
          <w:szCs w:val="24"/>
        </w:rPr>
        <w:t xml:space="preserve">Practice Categories </w:t>
      </w:r>
    </w:p>
    <w:p w14:paraId="00B102C2" w14:textId="77777777" w:rsidR="00541552" w:rsidRPr="001748F1" w:rsidRDefault="00541552" w:rsidP="00541552">
      <w:pPr>
        <w:spacing w:after="0" w:line="240" w:lineRule="auto"/>
        <w:rPr>
          <w:rFonts w:ascii="Times New Roman" w:hAnsi="Times New Roman" w:cs="Times New Roman"/>
          <w:b/>
          <w:sz w:val="24"/>
          <w:szCs w:val="24"/>
        </w:rPr>
      </w:pPr>
    </w:p>
    <w:p w14:paraId="21C38786" w14:textId="77777777" w:rsidR="00541552" w:rsidRPr="001748F1" w:rsidRDefault="00541552" w:rsidP="00541552">
      <w:pPr>
        <w:spacing w:after="0" w:line="240" w:lineRule="auto"/>
        <w:rPr>
          <w:rFonts w:ascii="Times New Roman" w:hAnsi="Times New Roman" w:cs="Times New Roman"/>
          <w:sz w:val="24"/>
          <w:szCs w:val="24"/>
        </w:rPr>
      </w:pPr>
      <w:r w:rsidRPr="001748F1">
        <w:rPr>
          <w:rFonts w:ascii="Times New Roman" w:hAnsi="Times New Roman" w:cs="Times New Roman"/>
          <w:sz w:val="24"/>
          <w:szCs w:val="24"/>
        </w:rPr>
        <w:t xml:space="preserve">All workshop leaders are asked to rate their workshop format and content. </w:t>
      </w:r>
    </w:p>
    <w:p w14:paraId="6532D840" w14:textId="77777777" w:rsidR="00541552" w:rsidRPr="001748F1" w:rsidRDefault="00541552" w:rsidP="00541552">
      <w:pPr>
        <w:spacing w:before="240" w:after="240" w:line="240" w:lineRule="auto"/>
        <w:ind w:left="360"/>
        <w:rPr>
          <w:rFonts w:ascii="Times New Roman" w:hAnsi="Times New Roman" w:cs="Times New Roman"/>
          <w:sz w:val="24"/>
          <w:szCs w:val="24"/>
        </w:rPr>
      </w:pPr>
      <w:r w:rsidRPr="001748F1">
        <w:rPr>
          <w:rFonts w:ascii="Times New Roman" w:hAnsi="Times New Roman" w:cs="Times New Roman"/>
          <w:i/>
          <w:sz w:val="24"/>
          <w:szCs w:val="24"/>
        </w:rPr>
        <w:t xml:space="preserve">Format </w:t>
      </w:r>
      <w:r w:rsidRPr="001748F1">
        <w:rPr>
          <w:rFonts w:ascii="Times New Roman" w:hAnsi="Times New Roman" w:cs="Times New Roman"/>
          <w:sz w:val="24"/>
          <w:szCs w:val="24"/>
        </w:rPr>
        <w:t xml:space="preserve">- “What is the general activity format of your workshop? Check all that apply” Answer choices: Lecture (didactic), small groups, paired, discussion, movement, outside/in nature. </w:t>
      </w:r>
    </w:p>
    <w:p w14:paraId="6A9EF9E8" w14:textId="77777777" w:rsidR="00541552" w:rsidRPr="001748F1" w:rsidRDefault="00541552" w:rsidP="00541552">
      <w:pPr>
        <w:spacing w:after="0" w:line="240" w:lineRule="auto"/>
        <w:ind w:left="360"/>
        <w:rPr>
          <w:rFonts w:ascii="Times New Roman" w:hAnsi="Times New Roman" w:cs="Times New Roman"/>
          <w:sz w:val="24"/>
          <w:szCs w:val="24"/>
        </w:rPr>
      </w:pPr>
    </w:p>
    <w:p w14:paraId="6FE63BF4" w14:textId="77777777" w:rsidR="00541552" w:rsidRPr="001748F1" w:rsidRDefault="00541552" w:rsidP="00541552">
      <w:pPr>
        <w:spacing w:after="0" w:line="240" w:lineRule="auto"/>
        <w:ind w:left="360"/>
        <w:rPr>
          <w:rFonts w:ascii="Times New Roman" w:hAnsi="Times New Roman" w:cs="Times New Roman"/>
          <w:sz w:val="24"/>
          <w:szCs w:val="24"/>
        </w:rPr>
      </w:pPr>
      <w:r w:rsidRPr="001748F1">
        <w:rPr>
          <w:rFonts w:ascii="Times New Roman" w:hAnsi="Times New Roman" w:cs="Times New Roman"/>
          <w:i/>
          <w:sz w:val="24"/>
          <w:szCs w:val="24"/>
        </w:rPr>
        <w:t>Content</w:t>
      </w:r>
      <w:r w:rsidRPr="001748F1">
        <w:rPr>
          <w:rFonts w:ascii="Times New Roman" w:hAnsi="Times New Roman" w:cs="Times New Roman"/>
          <w:sz w:val="24"/>
          <w:szCs w:val="24"/>
        </w:rPr>
        <w:t xml:space="preserve"> -All workshop leaders were asked to rate their workshop content. “The following is a list of categories of noetic practices, including examples of individual practices that may be classified within that category. The examples are not extensive -- there may be additional examples of practices that could be included within each category. The categories are not exclusive -- individual practices may fall into multiple categories. Select ALL the categories of practice that are explored in your workshop.” Answer choices:</w:t>
      </w:r>
    </w:p>
    <w:p w14:paraId="6E96F773" w14:textId="77777777" w:rsidR="00541552" w:rsidRPr="001748F1" w:rsidRDefault="00541552" w:rsidP="00541552">
      <w:pPr>
        <w:numPr>
          <w:ilvl w:val="0"/>
          <w:numId w:val="1"/>
        </w:numPr>
        <w:spacing w:after="0" w:line="240" w:lineRule="auto"/>
        <w:rPr>
          <w:rFonts w:ascii="Times New Roman" w:hAnsi="Times New Roman" w:cs="Times New Roman"/>
          <w:sz w:val="24"/>
          <w:szCs w:val="24"/>
          <w:highlight w:val="white"/>
        </w:rPr>
      </w:pPr>
      <w:r w:rsidRPr="001748F1">
        <w:rPr>
          <w:rFonts w:ascii="Times New Roman" w:hAnsi="Times New Roman" w:cs="Times New Roman"/>
          <w:sz w:val="24"/>
          <w:szCs w:val="24"/>
          <w:highlight w:val="white"/>
        </w:rPr>
        <w:t>Altered States of Consciousness (Invoking theta/delta, hypnosis, psychedelics)</w:t>
      </w:r>
    </w:p>
    <w:p w14:paraId="309FE1B4" w14:textId="77777777" w:rsidR="00541552" w:rsidRPr="001748F1" w:rsidRDefault="00541552" w:rsidP="00541552">
      <w:pPr>
        <w:numPr>
          <w:ilvl w:val="0"/>
          <w:numId w:val="1"/>
        </w:numPr>
        <w:spacing w:after="0" w:line="240" w:lineRule="auto"/>
        <w:rPr>
          <w:rFonts w:ascii="Times New Roman" w:hAnsi="Times New Roman" w:cs="Times New Roman"/>
          <w:sz w:val="24"/>
          <w:szCs w:val="24"/>
          <w:highlight w:val="white"/>
        </w:rPr>
      </w:pPr>
      <w:r w:rsidRPr="001748F1">
        <w:rPr>
          <w:rFonts w:ascii="Times New Roman" w:hAnsi="Times New Roman" w:cs="Times New Roman"/>
          <w:sz w:val="24"/>
          <w:szCs w:val="24"/>
          <w:highlight w:val="white"/>
        </w:rPr>
        <w:t>Arts &amp; Creativity (Expressive and materials arts, writing, music)</w:t>
      </w:r>
    </w:p>
    <w:p w14:paraId="00A271AA" w14:textId="77777777" w:rsidR="00541552" w:rsidRPr="001748F1" w:rsidRDefault="00541552" w:rsidP="00541552">
      <w:pPr>
        <w:numPr>
          <w:ilvl w:val="0"/>
          <w:numId w:val="1"/>
        </w:numPr>
        <w:spacing w:after="0" w:line="240" w:lineRule="auto"/>
        <w:rPr>
          <w:rFonts w:ascii="Times New Roman" w:hAnsi="Times New Roman" w:cs="Times New Roman"/>
          <w:sz w:val="24"/>
          <w:szCs w:val="24"/>
          <w:highlight w:val="white"/>
        </w:rPr>
      </w:pPr>
      <w:r w:rsidRPr="001748F1">
        <w:rPr>
          <w:rFonts w:ascii="Times New Roman" w:hAnsi="Times New Roman" w:cs="Times New Roman"/>
          <w:sz w:val="24"/>
          <w:szCs w:val="24"/>
          <w:highlight w:val="white"/>
        </w:rPr>
        <w:t>Death, Dying &amp; Beyond (Channeling, mediumship with the deceased, grief work)</w:t>
      </w:r>
    </w:p>
    <w:p w14:paraId="72EF2DDE" w14:textId="77777777" w:rsidR="00541552" w:rsidRPr="001748F1" w:rsidRDefault="00541552" w:rsidP="00541552">
      <w:pPr>
        <w:numPr>
          <w:ilvl w:val="0"/>
          <w:numId w:val="1"/>
        </w:numPr>
        <w:spacing w:after="0" w:line="240" w:lineRule="auto"/>
        <w:rPr>
          <w:rFonts w:ascii="Times New Roman" w:hAnsi="Times New Roman" w:cs="Times New Roman"/>
          <w:sz w:val="24"/>
          <w:szCs w:val="24"/>
          <w:highlight w:val="white"/>
        </w:rPr>
      </w:pPr>
      <w:r w:rsidRPr="001748F1">
        <w:rPr>
          <w:rFonts w:ascii="Times New Roman" w:hAnsi="Times New Roman" w:cs="Times New Roman"/>
          <w:sz w:val="24"/>
          <w:szCs w:val="24"/>
          <w:highlight w:val="white"/>
        </w:rPr>
        <w:t>Dreamwork (Lucid dreaming, dream interpretation, intentional dreaming, Tibetan Dream Yoga)</w:t>
      </w:r>
    </w:p>
    <w:p w14:paraId="5CBF96CF" w14:textId="77777777" w:rsidR="00541552" w:rsidRPr="001748F1" w:rsidRDefault="00541552" w:rsidP="00541552">
      <w:pPr>
        <w:numPr>
          <w:ilvl w:val="0"/>
          <w:numId w:val="1"/>
        </w:numPr>
        <w:spacing w:after="0" w:line="240" w:lineRule="auto"/>
        <w:rPr>
          <w:rFonts w:ascii="Times New Roman" w:hAnsi="Times New Roman" w:cs="Times New Roman"/>
          <w:sz w:val="24"/>
          <w:szCs w:val="24"/>
          <w:highlight w:val="white"/>
        </w:rPr>
      </w:pPr>
      <w:r w:rsidRPr="001748F1">
        <w:rPr>
          <w:rFonts w:ascii="Times New Roman" w:hAnsi="Times New Roman" w:cs="Times New Roman"/>
          <w:sz w:val="24"/>
          <w:szCs w:val="24"/>
          <w:highlight w:val="white"/>
        </w:rPr>
        <w:t>Embodied practices (Yoga, Tai Chi, 5-senses, 5-rhythms, authentic movement, somatic modalities)</w:t>
      </w:r>
    </w:p>
    <w:p w14:paraId="3D095DA3" w14:textId="77777777" w:rsidR="00541552" w:rsidRPr="001748F1" w:rsidRDefault="00541552" w:rsidP="00541552">
      <w:pPr>
        <w:numPr>
          <w:ilvl w:val="0"/>
          <w:numId w:val="1"/>
        </w:numPr>
        <w:spacing w:after="0" w:line="240" w:lineRule="auto"/>
        <w:rPr>
          <w:rFonts w:ascii="Times New Roman" w:hAnsi="Times New Roman" w:cs="Times New Roman"/>
          <w:sz w:val="24"/>
          <w:szCs w:val="24"/>
          <w:highlight w:val="white"/>
        </w:rPr>
      </w:pPr>
      <w:r w:rsidRPr="001748F1">
        <w:rPr>
          <w:rFonts w:ascii="Times New Roman" w:hAnsi="Times New Roman" w:cs="Times New Roman"/>
          <w:sz w:val="24"/>
          <w:szCs w:val="24"/>
          <w:highlight w:val="white"/>
        </w:rPr>
        <w:t>Health &amp; Healing (Subtle energy healing, biofield, diagnostic practices, mindful/intuitive eating, chakra work, mind-body medicine practices)</w:t>
      </w:r>
    </w:p>
    <w:p w14:paraId="2B5A1946" w14:textId="77777777" w:rsidR="00541552" w:rsidRPr="001748F1" w:rsidRDefault="00541552" w:rsidP="00541552">
      <w:pPr>
        <w:numPr>
          <w:ilvl w:val="0"/>
          <w:numId w:val="1"/>
        </w:numPr>
        <w:spacing w:after="0" w:line="240" w:lineRule="auto"/>
        <w:rPr>
          <w:rFonts w:ascii="Times New Roman" w:hAnsi="Times New Roman" w:cs="Times New Roman"/>
          <w:sz w:val="24"/>
          <w:szCs w:val="24"/>
          <w:highlight w:val="white"/>
        </w:rPr>
      </w:pPr>
      <w:r w:rsidRPr="001748F1">
        <w:rPr>
          <w:rFonts w:ascii="Times New Roman" w:hAnsi="Times New Roman" w:cs="Times New Roman"/>
          <w:sz w:val="24"/>
          <w:szCs w:val="24"/>
          <w:highlight w:val="white"/>
        </w:rPr>
        <w:t>Intention (Vision boards, manifesting processes, positive affirmations, intention-setting)</w:t>
      </w:r>
    </w:p>
    <w:p w14:paraId="3A884ADA" w14:textId="77777777" w:rsidR="00541552" w:rsidRPr="001748F1" w:rsidRDefault="00541552" w:rsidP="00541552">
      <w:pPr>
        <w:numPr>
          <w:ilvl w:val="0"/>
          <w:numId w:val="1"/>
        </w:numPr>
        <w:spacing w:after="0" w:line="240" w:lineRule="auto"/>
        <w:rPr>
          <w:rFonts w:ascii="Times New Roman" w:hAnsi="Times New Roman" w:cs="Times New Roman"/>
          <w:sz w:val="24"/>
          <w:szCs w:val="24"/>
          <w:highlight w:val="white"/>
        </w:rPr>
      </w:pPr>
      <w:r w:rsidRPr="001748F1">
        <w:rPr>
          <w:rFonts w:ascii="Times New Roman" w:hAnsi="Times New Roman" w:cs="Times New Roman"/>
          <w:sz w:val="24"/>
          <w:szCs w:val="24"/>
          <w:highlight w:val="white"/>
        </w:rPr>
        <w:t>Intuition (Inner knowing, divination, sixth sense)</w:t>
      </w:r>
    </w:p>
    <w:p w14:paraId="19AC5E6C" w14:textId="77777777" w:rsidR="00541552" w:rsidRPr="001748F1" w:rsidRDefault="00541552" w:rsidP="00541552">
      <w:pPr>
        <w:numPr>
          <w:ilvl w:val="0"/>
          <w:numId w:val="1"/>
        </w:numPr>
        <w:spacing w:after="0" w:line="240" w:lineRule="auto"/>
        <w:rPr>
          <w:rFonts w:ascii="Times New Roman" w:hAnsi="Times New Roman" w:cs="Times New Roman"/>
          <w:sz w:val="24"/>
          <w:szCs w:val="24"/>
          <w:highlight w:val="white"/>
        </w:rPr>
      </w:pPr>
      <w:r w:rsidRPr="001748F1">
        <w:rPr>
          <w:rFonts w:ascii="Times New Roman" w:hAnsi="Times New Roman" w:cs="Times New Roman"/>
          <w:sz w:val="24"/>
          <w:szCs w:val="24"/>
          <w:highlight w:val="white"/>
        </w:rPr>
        <w:t>Meditation/Contemplation (Mindfulness, guided meditation, visualization, mantras, expressive meditation, walking meditation)</w:t>
      </w:r>
    </w:p>
    <w:p w14:paraId="04AF04D1" w14:textId="77777777" w:rsidR="00541552" w:rsidRPr="001748F1" w:rsidRDefault="00541552" w:rsidP="00541552">
      <w:pPr>
        <w:numPr>
          <w:ilvl w:val="0"/>
          <w:numId w:val="1"/>
        </w:numPr>
        <w:spacing w:after="0" w:line="240" w:lineRule="auto"/>
        <w:rPr>
          <w:rFonts w:ascii="Times New Roman" w:hAnsi="Times New Roman" w:cs="Times New Roman"/>
          <w:sz w:val="24"/>
          <w:szCs w:val="24"/>
          <w:highlight w:val="white"/>
        </w:rPr>
      </w:pPr>
      <w:r w:rsidRPr="001748F1">
        <w:rPr>
          <w:rFonts w:ascii="Times New Roman" w:hAnsi="Times New Roman" w:cs="Times New Roman"/>
          <w:sz w:val="24"/>
          <w:szCs w:val="24"/>
          <w:highlight w:val="white"/>
        </w:rPr>
        <w:t>Nature practices (Working with elements, nature baths, vision quests, animal communication)</w:t>
      </w:r>
    </w:p>
    <w:p w14:paraId="49588684" w14:textId="77777777" w:rsidR="00541552" w:rsidRPr="001748F1" w:rsidRDefault="00541552" w:rsidP="00541552">
      <w:pPr>
        <w:numPr>
          <w:ilvl w:val="0"/>
          <w:numId w:val="1"/>
        </w:numPr>
        <w:spacing w:after="0" w:line="240" w:lineRule="auto"/>
        <w:rPr>
          <w:rFonts w:ascii="Times New Roman" w:hAnsi="Times New Roman" w:cs="Times New Roman"/>
          <w:sz w:val="24"/>
          <w:szCs w:val="24"/>
          <w:highlight w:val="white"/>
        </w:rPr>
      </w:pPr>
      <w:r w:rsidRPr="001748F1">
        <w:rPr>
          <w:rFonts w:ascii="Times New Roman" w:hAnsi="Times New Roman" w:cs="Times New Roman"/>
          <w:sz w:val="24"/>
          <w:szCs w:val="24"/>
          <w:highlight w:val="white"/>
        </w:rPr>
        <w:t>PSI/Parapsychology (Clairvoyance, clairaudience, clairsentience, remote viewing, psychokinesis, precognition, channeling/mediumship, quantum phenomena)</w:t>
      </w:r>
    </w:p>
    <w:p w14:paraId="642D3F75" w14:textId="77777777" w:rsidR="00541552" w:rsidRPr="001748F1" w:rsidRDefault="00541552" w:rsidP="00541552">
      <w:pPr>
        <w:numPr>
          <w:ilvl w:val="0"/>
          <w:numId w:val="1"/>
        </w:numPr>
        <w:spacing w:after="0" w:line="240" w:lineRule="auto"/>
        <w:rPr>
          <w:rFonts w:ascii="Times New Roman" w:hAnsi="Times New Roman" w:cs="Times New Roman"/>
          <w:sz w:val="24"/>
          <w:szCs w:val="24"/>
          <w:highlight w:val="white"/>
        </w:rPr>
      </w:pPr>
      <w:r w:rsidRPr="001748F1">
        <w:rPr>
          <w:rFonts w:ascii="Times New Roman" w:hAnsi="Times New Roman" w:cs="Times New Roman"/>
          <w:sz w:val="24"/>
          <w:szCs w:val="24"/>
          <w:highlight w:val="white"/>
        </w:rPr>
        <w:t>Positive Psychology Practices (Gratitude, altruism, awe, affirmations, compassion)</w:t>
      </w:r>
    </w:p>
    <w:p w14:paraId="36E84C9D" w14:textId="77777777" w:rsidR="00541552" w:rsidRPr="001748F1" w:rsidRDefault="00541552" w:rsidP="00541552">
      <w:pPr>
        <w:numPr>
          <w:ilvl w:val="0"/>
          <w:numId w:val="1"/>
        </w:numPr>
        <w:spacing w:after="0" w:line="240" w:lineRule="auto"/>
        <w:rPr>
          <w:rFonts w:ascii="Times New Roman" w:hAnsi="Times New Roman" w:cs="Times New Roman"/>
          <w:sz w:val="24"/>
          <w:szCs w:val="24"/>
          <w:highlight w:val="white"/>
        </w:rPr>
      </w:pPr>
      <w:r w:rsidRPr="001748F1">
        <w:rPr>
          <w:rFonts w:ascii="Times New Roman" w:hAnsi="Times New Roman" w:cs="Times New Roman"/>
          <w:sz w:val="24"/>
          <w:szCs w:val="24"/>
          <w:highlight w:val="white"/>
        </w:rPr>
        <w:t>Sound/Aural Practices (Sound baths, singing bowls, kirtan, raga, sound as creator, music)</w:t>
      </w:r>
    </w:p>
    <w:p w14:paraId="08CFE61A" w14:textId="77777777" w:rsidR="00541552" w:rsidRPr="001748F1" w:rsidRDefault="00541552" w:rsidP="00541552">
      <w:pPr>
        <w:numPr>
          <w:ilvl w:val="0"/>
          <w:numId w:val="1"/>
        </w:numPr>
        <w:spacing w:after="0" w:line="240" w:lineRule="auto"/>
        <w:rPr>
          <w:rFonts w:ascii="Times New Roman" w:hAnsi="Times New Roman" w:cs="Times New Roman"/>
          <w:sz w:val="24"/>
          <w:szCs w:val="24"/>
          <w:highlight w:val="white"/>
        </w:rPr>
      </w:pPr>
      <w:r w:rsidRPr="001748F1">
        <w:rPr>
          <w:rFonts w:ascii="Times New Roman" w:hAnsi="Times New Roman" w:cs="Times New Roman"/>
          <w:sz w:val="24"/>
          <w:szCs w:val="24"/>
          <w:highlight w:val="white"/>
        </w:rPr>
        <w:t>Spirituality (Prayer, ritual, invocation, chanting, religious practices)</w:t>
      </w:r>
    </w:p>
    <w:p w14:paraId="2ABB165D" w14:textId="77777777" w:rsidR="00541552" w:rsidRPr="001748F1" w:rsidRDefault="00541552" w:rsidP="00541552">
      <w:pPr>
        <w:numPr>
          <w:ilvl w:val="0"/>
          <w:numId w:val="1"/>
        </w:numPr>
        <w:spacing w:after="0" w:line="240" w:lineRule="auto"/>
        <w:rPr>
          <w:rFonts w:ascii="Times New Roman" w:hAnsi="Times New Roman" w:cs="Times New Roman"/>
          <w:sz w:val="24"/>
          <w:szCs w:val="24"/>
          <w:highlight w:val="white"/>
        </w:rPr>
      </w:pPr>
      <w:r w:rsidRPr="001748F1">
        <w:rPr>
          <w:rFonts w:ascii="Times New Roman" w:hAnsi="Times New Roman" w:cs="Times New Roman"/>
          <w:sz w:val="24"/>
          <w:szCs w:val="24"/>
          <w:highlight w:val="white"/>
        </w:rPr>
        <w:t>Technology Tools (Brain entrainment, AI (e.g., loving AI robot), light/sound machines, biofeedback tools, HeartMath)</w:t>
      </w:r>
    </w:p>
    <w:p w14:paraId="6655B9FC" w14:textId="77777777" w:rsidR="00541552" w:rsidRPr="001748F1" w:rsidRDefault="00541552" w:rsidP="00541552">
      <w:pPr>
        <w:spacing w:after="0" w:line="240" w:lineRule="auto"/>
        <w:rPr>
          <w:rFonts w:ascii="Times New Roman" w:hAnsi="Times New Roman" w:cs="Times New Roman"/>
          <w:sz w:val="24"/>
          <w:szCs w:val="24"/>
          <w:highlight w:val="white"/>
        </w:rPr>
        <w:sectPr w:rsidR="00541552" w:rsidRPr="001748F1" w:rsidSect="00541552">
          <w:pgSz w:w="12240" w:h="15840"/>
          <w:pgMar w:top="1440" w:right="1440" w:bottom="1440" w:left="1440" w:header="720" w:footer="720" w:gutter="0"/>
          <w:cols w:space="720"/>
          <w:docGrid w:linePitch="360"/>
        </w:sectPr>
      </w:pPr>
    </w:p>
    <w:p w14:paraId="2B97C835" w14:textId="77777777" w:rsidR="00386883" w:rsidRDefault="00541552"/>
    <w:sectPr w:rsidR="003868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852331"/>
    <w:multiLevelType w:val="multilevel"/>
    <w:tmpl w:val="7F8A6320"/>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1552"/>
    <w:rsid w:val="003107CE"/>
    <w:rsid w:val="00316534"/>
    <w:rsid w:val="00373D83"/>
    <w:rsid w:val="00541552"/>
    <w:rsid w:val="00622525"/>
    <w:rsid w:val="006B2C4D"/>
    <w:rsid w:val="007A60A6"/>
    <w:rsid w:val="00A0389B"/>
    <w:rsid w:val="00B1250C"/>
    <w:rsid w:val="00D50CFA"/>
    <w:rsid w:val="00EA6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8094D4"/>
  <w15:chartTrackingRefBased/>
  <w15:docId w15:val="{241C8D37-CD4A-410C-9A1E-C98FDD938B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1552"/>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4155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5415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6882</Words>
  <Characters>39233</Characters>
  <Application>Microsoft Office Word</Application>
  <DocSecurity>0</DocSecurity>
  <Lines>326</Lines>
  <Paragraphs>92</Paragraphs>
  <ScaleCrop>false</ScaleCrop>
  <Company/>
  <LinksUpToDate>false</LinksUpToDate>
  <CharactersWithSpaces>46023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1</cp:revision>
  <dcterms:created xsi:type="dcterms:W3CDTF">2021-09-09T19:14:00Z</dcterms:created>
  <dcterms:modified xsi:type="dcterms:W3CDTF">2021-09-09T19:15:00Z</dcterms:modified>
</cp:coreProperties>
</file>