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AF9E59" w14:textId="77777777" w:rsidR="00DC65B8" w:rsidRDefault="00DC65B8" w:rsidP="00DC65B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Supplemental Data</w:t>
      </w:r>
    </w:p>
    <w:p w14:paraId="125A9C2B" w14:textId="77777777" w:rsidR="00DC65B8" w:rsidRDefault="00DC65B8" w:rsidP="00DC65B8">
      <w:pPr>
        <w:spacing w:after="0" w:line="240" w:lineRule="auto"/>
        <w:rPr>
          <w:rFonts w:ascii="Times New Roman" w:hAnsi="Times New Roman" w:cs="Times New Roman"/>
          <w:sz w:val="24"/>
          <w:szCs w:val="24"/>
        </w:rPr>
      </w:pPr>
    </w:p>
    <w:p w14:paraId="3925DD50" w14:textId="77777777" w:rsidR="00DC65B8" w:rsidRDefault="00DC65B8" w:rsidP="00DC65B8">
      <w:pPr>
        <w:spacing w:after="0" w:line="240" w:lineRule="auto"/>
        <w:rPr>
          <w:rFonts w:ascii="Times New Roman" w:hAnsi="Times New Roman" w:cs="Times New Roman"/>
          <w:b/>
          <w:sz w:val="24"/>
          <w:szCs w:val="24"/>
        </w:rPr>
      </w:pPr>
      <w:r>
        <w:rPr>
          <w:rFonts w:ascii="Times New Roman" w:hAnsi="Times New Roman" w:cs="Times New Roman"/>
          <w:b/>
          <w:sz w:val="24"/>
          <w:szCs w:val="24"/>
        </w:rPr>
        <w:t>Measures</w:t>
      </w:r>
    </w:p>
    <w:p w14:paraId="7CA808AC" w14:textId="77777777" w:rsidR="00DC65B8" w:rsidRDefault="00DC65B8" w:rsidP="00DC65B8">
      <w:pPr>
        <w:spacing w:after="0" w:line="240" w:lineRule="auto"/>
        <w:rPr>
          <w:rFonts w:ascii="Times New Roman" w:hAnsi="Times New Roman" w:cs="Times New Roman"/>
          <w:sz w:val="24"/>
          <w:szCs w:val="24"/>
        </w:rPr>
      </w:pPr>
    </w:p>
    <w:p w14:paraId="55619AAE" w14:textId="77777777" w:rsidR="00DC65B8" w:rsidRDefault="00DC65B8" w:rsidP="00DC65B8">
      <w:pPr>
        <w:spacing w:after="0" w:line="240" w:lineRule="auto"/>
        <w:rPr>
          <w:rFonts w:ascii="Times New Roman" w:hAnsi="Times New Roman" w:cs="Times New Roman"/>
          <w:b/>
          <w:sz w:val="24"/>
          <w:szCs w:val="24"/>
        </w:rPr>
      </w:pPr>
      <w:r>
        <w:rPr>
          <w:rFonts w:ascii="Times New Roman" w:hAnsi="Times New Roman" w:cs="Times New Roman"/>
          <w:b/>
          <w:sz w:val="24"/>
          <w:szCs w:val="24"/>
        </w:rPr>
        <w:t>Interconnectedness</w:t>
      </w:r>
    </w:p>
    <w:p w14:paraId="1C77EA24" w14:textId="77777777" w:rsidR="00DC65B8" w:rsidRDefault="00DC65B8" w:rsidP="00DC65B8">
      <w:pPr>
        <w:spacing w:after="0" w:line="240" w:lineRule="auto"/>
        <w:rPr>
          <w:rFonts w:ascii="Times New Roman" w:hAnsi="Times New Roman" w:cs="Times New Roman"/>
          <w:b/>
          <w:sz w:val="24"/>
          <w:szCs w:val="24"/>
        </w:rPr>
      </w:pPr>
    </w:p>
    <w:p w14:paraId="3F5E3441" w14:textId="77777777" w:rsidR="00DC65B8" w:rsidRDefault="00DC65B8" w:rsidP="00DC65B8">
      <w:pPr>
        <w:spacing w:after="0" w:line="240" w:lineRule="auto"/>
        <w:ind w:left="270"/>
        <w:rPr>
          <w:rFonts w:ascii="Times New Roman" w:hAnsi="Times New Roman" w:cs="Times New Roman"/>
          <w:i/>
          <w:sz w:val="24"/>
          <w:szCs w:val="24"/>
        </w:rPr>
      </w:pPr>
      <w:r>
        <w:rPr>
          <w:rFonts w:ascii="Times New Roman" w:hAnsi="Times New Roman" w:cs="Times New Roman"/>
          <w:i/>
          <w:sz w:val="24"/>
          <w:szCs w:val="24"/>
        </w:rPr>
        <w:t xml:space="preserve">-The Cloninger Self-Transcendence Scale </w:t>
      </w:r>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ADDIN ZOTERO_ITEM CSL_CITATION {"citationID":"YeXwBeXp","properties":{"formattedCitation":"(Cloninger et al., 1994)","plainCitation":"(Cloninger et al., 1994)","noteIndex":0},"citationItems":[{"id":1900,"uris":["http://zotero.org/users/5440140/items/UV4VH3PP"],"uri":["http://zotero.org/users/5440140/items/UV4VH3PP"],"itemData":{"id":1900,"type":"book","event-place":"St. Lous, MO","publisher":"Center for Psychobiology of Personality, Washington University","publisher-place":"St. Lous, MO","title":"The Temperament and Character Inventory (TCI): A guide to its development and use","author":[{"family":"Cloninger","given":"C. R."},{"family":"Przybeck","given":"T. R."},{"family":"Svrakic","given":"D. M."},{"family":"Wetzel","given":"R. D."}],"issued":{"date-parts":[["1994"]]}}}],"schema":"https://github.com/citation-style-language/schema/raw/master/csl-citation.json"} </w:instrText>
      </w:r>
      <w:r>
        <w:rPr>
          <w:rFonts w:ascii="Times New Roman" w:hAnsi="Times New Roman" w:cs="Times New Roman"/>
          <w:i/>
          <w:sz w:val="24"/>
          <w:szCs w:val="24"/>
        </w:rPr>
        <w:fldChar w:fldCharType="separate"/>
      </w:r>
      <w:r>
        <w:rPr>
          <w:rFonts w:ascii="Times New Roman" w:hAnsi="Times New Roman" w:cs="Times New Roman"/>
          <w:sz w:val="24"/>
          <w:szCs w:val="24"/>
        </w:rPr>
        <w:t>(Cloninger et al., 1994)</w:t>
      </w:r>
      <w:r>
        <w:rPr>
          <w:rFonts w:ascii="Times New Roman" w:hAnsi="Times New Roman" w:cs="Times New Roman"/>
          <w:i/>
          <w:sz w:val="24"/>
          <w:szCs w:val="24"/>
        </w:rPr>
        <w:fldChar w:fldCharType="end"/>
      </w:r>
      <w:r>
        <w:rPr>
          <w:rFonts w:ascii="Times New Roman" w:hAnsi="Times New Roman" w:cs="Times New Roman"/>
          <w:sz w:val="24"/>
          <w:szCs w:val="24"/>
        </w:rPr>
        <w:t xml:space="preserve"> - This measure uses the 15-item self-transcendence subscale of the Cloninger 125-item Temperament and Character Inventory. Cloninger et al. (1993) defined self-transcendence as “the extent to which a person identifies the self as…an integral part of the universe as a whole” (p. 975). Thus, a person high on self-transcendence is keenly aware of being part of a larger whole—of being in a spiritual union with God or nature. Participants answer each item with a slider anchored with “Definitely False” (0) and “Definitely True” (10). The scale is scored by summing all 15 items and then dividing by 10. Total scores range from 0-15. </w:t>
      </w:r>
    </w:p>
    <w:p w14:paraId="1C077EE7" w14:textId="77777777" w:rsidR="00DC65B8" w:rsidRDefault="00DC65B8" w:rsidP="00DC65B8">
      <w:pPr>
        <w:spacing w:after="0" w:line="240" w:lineRule="auto"/>
        <w:ind w:left="270"/>
        <w:rPr>
          <w:rFonts w:ascii="Times New Roman" w:hAnsi="Times New Roman" w:cs="Times New Roman"/>
          <w:i/>
          <w:sz w:val="24"/>
          <w:szCs w:val="24"/>
        </w:rPr>
      </w:pPr>
    </w:p>
    <w:p w14:paraId="669C1CDD" w14:textId="77777777" w:rsidR="00DC65B8" w:rsidRDefault="00DC65B8" w:rsidP="00DC65B8">
      <w:pPr>
        <w:spacing w:after="0" w:line="240" w:lineRule="auto"/>
        <w:ind w:left="270"/>
        <w:rPr>
          <w:rFonts w:ascii="Times New Roman" w:hAnsi="Times New Roman" w:cs="Times New Roman"/>
          <w:sz w:val="24"/>
          <w:szCs w:val="24"/>
        </w:rPr>
      </w:pPr>
      <w:r>
        <w:rPr>
          <w:rFonts w:ascii="Times New Roman" w:hAnsi="Times New Roman" w:cs="Times New Roman"/>
          <w:i/>
          <w:sz w:val="24"/>
          <w:szCs w:val="24"/>
        </w:rPr>
        <w:t>-Inclusion of Nature in Self (INS)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{"citationID":"NYJlLrdC","properties":{"formattedCitation":"(Schultz, 2002; Schultz et al., 2004)","plainCitation":"(Schultz, 2002; Schultz et al., 2004)","noteIndex":0},"citationItems":[{"id":5311,"uris":["http://zotero.org/users/5440140/items/YDTTNZYI"],"uri":["http://zotero.org/users/5440140/items/YDTTNZYI"],"itemData":{"id":5311,"type":"chapter","container-title":"Psychology of sustainable development","page":"61-78","publisher":"Springer","title":"Inclusion with nature: The psychology of human-nature relations","author":[{"family":"Schultz","given":"P Wesley"}],"issued":{"date-parts":[["2002"]]}}},{"id":41963,"uris":["http://zotero.org/groups/2275793/items/EP4BFY4Y"],"uri":["http://zotero.org/groups/2275793/items/EP4BFY4Y"],"itemData":{"id":41963,"type":"article-journal","abstract":"Previous research has suggested that attitudes about environmental issues are rooted in the degree to which people believe that they are part of the natural environment. Researchers have distinguished between egoistic concerns, which focus on self, and biospheric concerns, which focus on all living things. In the current paper, we argue that the type of concerns a person develops about environmental issues is associated with the extent to which the individual believes that s/he is part of nature. We argue that this connection is implicit, and exists outside of conscious awareness. Two studies are reported on the relationship between implicit connections with nature and explicit environmental concerns, and on the cognitive strategies associated with egoistic and biospheric attitudes. Study 1 reports the results from a modiﬁed Implicit Association Test (IAT) designed to measure the degree to which people associate themselves with nature. Results showed a moderate positive relationship between biospheric concerns and implicit connections with nature, and a negative relationship between implicit connections with nature and egoistic concerns. Study 2 replicated this basic effect, and also examined the test–retest (immediate, 1 week, and 4 weeks) reliability of the explicit and implicit measures. Results are interpreted within a broad model of environmental inclusion.","container-title":"Journal of Environmental Psychology","DOI":"10.1016/S0272-4944(03)00022-7","ISSN":"02724944","issue":"1","journalAbbreviation":"Journal of Environmental Psychology","language":"en","page":"31-42","source":"DOI.org (Crossref)","title":"Implicit connections with nature","volume":"24","author":[{"family":"Schultz","given":"P.Wesley"},{"family":"Shriver","given":"Chris"},{"family":"Tabanico","given":"Jennifer J"},{"family":"Khazian","given":"Azar M"}],"issued":{"date-parts":[["2004",3]]}}}],"schema":"https://github.com/citation-style-language/schema/raw/master/csl-citation.json"}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(Schultz, 2002; Schultz et al., 2004)</w:t>
      </w:r>
      <w:r>
        <w:rPr>
          <w:rFonts w:ascii="Times New Roman" w:hAnsi="Times New Roman" w:cs="Times New Roman"/>
          <w:sz w:val="24"/>
          <w:szCs w:val="24"/>
        </w:rPr>
        <w:fldChar w:fldCharType="end"/>
      </w:r>
      <w:r>
        <w:rPr>
          <w:rFonts w:ascii="Times New Roman" w:hAnsi="Times New Roman" w:cs="Times New Roman"/>
          <w:i/>
          <w:sz w:val="24"/>
          <w:szCs w:val="24"/>
        </w:rPr>
        <w:t xml:space="preserve"> - </w:t>
      </w:r>
      <w:r>
        <w:rPr>
          <w:rFonts w:ascii="Times New Roman" w:hAnsi="Times New Roman" w:cs="Times New Roman"/>
          <w:sz w:val="24"/>
          <w:szCs w:val="24"/>
        </w:rPr>
        <w:t xml:space="preserve">Interconnectedness with Nature is evaluated with a graphical single-item scale. The scale contains seven circle pairs with differing overlap of the two circles labeled ‘nature’ and ‘self.’ We used an adapted form with three graphical representations representing the Self and Nature completely separated, partially and completely overlapped. The instructions are: “Please move the slider below to the picture that best describes your relationship with the natural environment. How interconnected are you with nature? ("Self" = you; "Nature" = the environment)?” Slider with a range of 0-100, with 0 being anchored by Not at All and 100 being anchored by Completely. The item results with one score between 0 and 100, with 100 representing the greatest interconnection with nature. The INS test-retest correlations are very high after four weeks. Additionally, compared to other multiple-item scales, the INS scale is very accurate for measuring individual differences in connectedness with nature. </w:t>
      </w:r>
    </w:p>
    <w:p w14:paraId="0E0C25ED" w14:textId="77777777" w:rsidR="00DC65B8" w:rsidRDefault="00DC65B8" w:rsidP="00DC65B8">
      <w:pPr>
        <w:spacing w:after="0" w:line="240" w:lineRule="auto"/>
        <w:ind w:left="270"/>
        <w:rPr>
          <w:rFonts w:ascii="Times New Roman" w:hAnsi="Times New Roman" w:cs="Times New Roman"/>
          <w:sz w:val="24"/>
          <w:szCs w:val="24"/>
        </w:rPr>
      </w:pPr>
    </w:p>
    <w:p w14:paraId="0317AE32" w14:textId="6B373627" w:rsidR="00DC65B8" w:rsidRDefault="00DC65B8" w:rsidP="00DC65B8">
      <w:pPr>
        <w:spacing w:after="0" w:line="240" w:lineRule="auto"/>
        <w:ind w:left="270"/>
        <w:rPr>
          <w:rFonts w:ascii="Times New Roman" w:hAnsi="Times New Roman" w:cs="Times New Roman"/>
          <w:sz w:val="24"/>
          <w:szCs w:val="24"/>
        </w:rPr>
      </w:pPr>
      <w:r>
        <w:rPr>
          <w:rFonts w:ascii="Times New Roman" w:hAnsi="Times New Roman" w:cs="Times New Roman"/>
          <w:noProof/>
          <w:color w:val="000000"/>
          <w:sz w:val="24"/>
          <w:szCs w:val="24"/>
          <w:bdr w:val="none" w:sz="0" w:space="0" w:color="auto" w:frame="1"/>
        </w:rPr>
        <w:drawing>
          <wp:inline distT="0" distB="0" distL="0" distR="0" wp14:anchorId="31DE9B14" wp14:editId="62F4FA67">
            <wp:extent cx="5661660" cy="830580"/>
            <wp:effectExtent l="0" t="0" r="0" b="7620"/>
            <wp:docPr id="3" name="Picture 3" descr="https://lh4.googleusercontent.com/5hxz57ijNpJtphZl5bBkeuIn7EIIU2G5BG_DAgZdJ7qNBMNES9SAbreFrMqSQjdYnTaQh_Yzcvh08TKQgbOYiQf4zxqXKCjF04wm7qWkFFtymqkkN8qDoEPq4ruXlZCTMUuW1hK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5hxz57ijNpJtphZl5bBkeuIn7EIIU2G5BG_DAgZdJ7qNBMNES9SAbreFrMqSQjdYnTaQh_Yzcvh08TKQgbOYiQf4zxqXKCjF04wm7qWkFFtymqkkN8qDoEPq4ruXlZCTMUuW1hK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61660" cy="830580"/>
                    </a:xfrm>
                    <a:prstGeom prst="rect">
                      <a:avLst/>
                    </a:prstGeom>
                    <a:noFill/>
                    <a:ln>
                      <a:noFill/>
                    </a:ln>
                  </pic:spPr>
                </pic:pic>
              </a:graphicData>
            </a:graphic>
          </wp:inline>
        </w:drawing>
      </w:r>
    </w:p>
    <w:p w14:paraId="3E827760" w14:textId="77777777" w:rsidR="00DC65B8" w:rsidRDefault="00DC65B8" w:rsidP="00DC65B8">
      <w:pPr>
        <w:pStyle w:val="NormalWeb"/>
        <w:spacing w:before="240" w:beforeAutospacing="0" w:after="240" w:afterAutospacing="0"/>
        <w:ind w:left="270"/>
      </w:pPr>
      <w:r>
        <w:rPr>
          <w:color w:val="000000"/>
        </w:rPr>
        <w:t xml:space="preserve">Not at all                                                                                                       </w:t>
      </w:r>
      <w:r>
        <w:rPr>
          <w:rStyle w:val="apple-tab-span"/>
          <w:color w:val="000000"/>
        </w:rPr>
        <w:tab/>
      </w:r>
      <w:r>
        <w:rPr>
          <w:color w:val="000000"/>
        </w:rPr>
        <w:t>Completely</w:t>
      </w:r>
    </w:p>
    <w:p w14:paraId="2E2A7518" w14:textId="77777777" w:rsidR="00DC65B8" w:rsidRDefault="00DC65B8" w:rsidP="00DC65B8">
      <w:pPr>
        <w:spacing w:after="0" w:line="240" w:lineRule="auto"/>
        <w:ind w:left="270"/>
        <w:rPr>
          <w:rFonts w:ascii="Times New Roman" w:hAnsi="Times New Roman" w:cs="Times New Roman"/>
          <w:sz w:val="24"/>
          <w:szCs w:val="24"/>
        </w:rPr>
      </w:pPr>
    </w:p>
    <w:p w14:paraId="2DDAF4AF" w14:textId="77777777" w:rsidR="00DC65B8" w:rsidRDefault="00DC65B8" w:rsidP="00DC65B8">
      <w:pPr>
        <w:ind w:left="270"/>
        <w:rPr>
          <w:rFonts w:ascii="Times New Roman" w:eastAsia="Times New Roman" w:hAnsi="Times New Roman" w:cs="Times New Roman"/>
          <w:sz w:val="24"/>
          <w:szCs w:val="24"/>
        </w:rPr>
      </w:pPr>
      <w:r>
        <w:rPr>
          <w:rFonts w:ascii="Times New Roman" w:hAnsi="Times New Roman" w:cs="Times New Roman"/>
          <w:i/>
          <w:sz w:val="24"/>
          <w:szCs w:val="24"/>
        </w:rPr>
        <w:t>-Inclusion of the Other in Self (IOS)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{"citationID":"HRtD0US3","properties":{"formattedCitation":"(Aron et al., 1991, 1992)","plainCitation":"(Aron et al., 1991, 1992)","noteIndex":0},"citationItems":[{"id":17685,"uris":["http://zotero.org/groups/2275793/items/QB7DDSJV"],"uri":["http://zotero.org/groups/2275793/items/QB7DDSJV"],"itemData":{"id":17685,"type":"article-journal","container-title":"Journal of personality and social psychology","ISSN":"1939-1315","issue":"2","journalAbbreviation":"Journal of personality and social psychology","note":"publisher: American Psychological Association","page":"241","title":"Close relationships as including other in the self.","volume":"60","author":[{"family":"Aron","given":"Arthur"},{"family":"Aron","given":"Elaine N"},{"family":"Tudor","given":"Michael"},{"family":"Nelson","given":"Greg"}],"issued":{"date-parts":[["1991"]]}}},{"id":17672,"uris":["http://zotero.org/groups/2275793/items/THZ4UGI8"],"uri":["http://zotero.org/groups/2275793/items/THZ4UGI8"],"itemData":{"id":17672,"type":"article-journal","container-title":"Journal of personality and social psychology","ISSN":"1939-1315","issue":"4","journalAbbreviation":"Journal of personality and social psychology","note":"publisher: American Psychological Association","page":"596","title":"Inclusion of other in the self scale and the structure of interpersonal closeness.","volume":"63","author":[{"family":"Aron","given":"Arthur"},{"family":"Aron","given":"Elaine N"},{"family":"Smollan","given":"Danny"}],"issued":{"date-parts":[["1992"]]}}}],"schema":"https://github.com/citation-style-language/schema/raw/master/csl-citation.json"}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(Aron et al., 1991, 1992)</w:t>
      </w:r>
      <w:r>
        <w:rPr>
          <w:rFonts w:ascii="Times New Roman" w:hAnsi="Times New Roman" w:cs="Times New Roman"/>
          <w:sz w:val="24"/>
          <w:szCs w:val="24"/>
        </w:rPr>
        <w:fldChar w:fldCharType="end"/>
      </w:r>
      <w:r>
        <w:rPr>
          <w:rFonts w:ascii="Times New Roman" w:hAnsi="Times New Roman" w:cs="Times New Roman"/>
          <w:sz w:val="24"/>
          <w:szCs w:val="24"/>
        </w:rPr>
        <w:t xml:space="preserve"> - Interconnectedness with ‘other’ is measured using the IOS. Social psychologist Arthur Aron and colleagues developed the single-item Inclusion of Other in the Self (IOS) scale to measure how close the respondent feels with another person or group. Feeling connected with other people drives outcomes that relate to social mobility. For instance, in studies where the ‘other’ on the IOS scale is a romantic partner, high scores are associated with marriage quality and can even predict whether a dating couple will still be together in three months. We used an adapted form with three graphical representations representing the Self and Other completely separated, partially and completely overlapped. Participants move a slider to represent their answer on a sliding </w:t>
      </w:r>
      <w:r>
        <w:rPr>
          <w:rFonts w:ascii="Times New Roman" w:hAnsi="Times New Roman" w:cs="Times New Roman"/>
          <w:sz w:val="24"/>
          <w:szCs w:val="24"/>
        </w:rPr>
        <w:lastRenderedPageBreak/>
        <w:t xml:space="preserve">bar anchored by Not at all and Completely. The scale asks the participant to “Please move the slider below to the picture that best describes your relationship with other people. How interconnected are you with others? (Self = you; Others = other people)?” The slider is anchored by 0 representing Not at All and 100 representing completely. Higher scores represent greater subjective interconnection with ‘other.’ </w:t>
      </w:r>
    </w:p>
    <w:p w14:paraId="43E9A4AE" w14:textId="308F1BE9" w:rsidR="00DC65B8" w:rsidRDefault="00DC65B8" w:rsidP="00DC65B8">
      <w:pPr>
        <w:spacing w:before="240" w:after="240" w:line="240" w:lineRule="auto"/>
        <w:ind w:left="270"/>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bdr w:val="none" w:sz="0" w:space="0" w:color="auto" w:frame="1"/>
        </w:rPr>
        <w:drawing>
          <wp:inline distT="0" distB="0" distL="0" distR="0" wp14:anchorId="43F01C44" wp14:editId="43690FC7">
            <wp:extent cx="5943600" cy="876300"/>
            <wp:effectExtent l="0" t="0" r="0" b="0"/>
            <wp:docPr id="2" name="Picture 2" descr="https://lh5.googleusercontent.com/td8JPTIEi3YCmtFogDoD9rsZlOFtm1GvX7aZzwbid326l3XQWu4NXVv0oq09t5wAbGbkf-O8OlaYztdjk362VbnPbgCUCfJ_d2BaiG4X__EMk0es5HqXAn0h60HMu3_fq_uNFU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td8JPTIEi3YCmtFogDoD9rsZlOFtm1GvX7aZzwbid326l3XQWu4NXVv0oq09t5wAbGbkf-O8OlaYztdjk362VbnPbgCUCfJ_d2BaiG4X__EMk0es5HqXAn0h60HMu3_fq_uNFUu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876300"/>
                    </a:xfrm>
                    <a:prstGeom prst="rect">
                      <a:avLst/>
                    </a:prstGeom>
                    <a:noFill/>
                    <a:ln>
                      <a:noFill/>
                    </a:ln>
                  </pic:spPr>
                </pic:pic>
              </a:graphicData>
            </a:graphic>
          </wp:inline>
        </w:drawing>
      </w:r>
      <w:r>
        <w:rPr>
          <w:rFonts w:ascii="Times New Roman" w:eastAsia="Times New Roman" w:hAnsi="Times New Roman" w:cs="Times New Roman"/>
          <w:color w:val="000000"/>
          <w:sz w:val="24"/>
          <w:szCs w:val="24"/>
        </w:rPr>
        <w:t xml:space="preserve">Not at all                                                                                                       </w:t>
      </w:r>
      <w:r>
        <w:rPr>
          <w:rFonts w:ascii="Times New Roman" w:eastAsia="Times New Roman" w:hAnsi="Times New Roman" w:cs="Times New Roman"/>
          <w:color w:val="000000"/>
          <w:sz w:val="24"/>
          <w:szCs w:val="24"/>
        </w:rPr>
        <w:tab/>
        <w:t>Completely</w:t>
      </w:r>
    </w:p>
    <w:p w14:paraId="755F8F82" w14:textId="77777777" w:rsidR="00DC65B8" w:rsidRDefault="00DC65B8" w:rsidP="00DC65B8">
      <w:pPr>
        <w:spacing w:after="240" w:line="240" w:lineRule="auto"/>
        <w:ind w:left="360"/>
        <w:rPr>
          <w:rFonts w:ascii="Times New Roman" w:hAnsi="Times New Roman" w:cs="Times New Roman"/>
          <w:sz w:val="24"/>
          <w:szCs w:val="24"/>
        </w:rPr>
      </w:pPr>
    </w:p>
    <w:p w14:paraId="6E11686F" w14:textId="77777777" w:rsidR="00DC65B8" w:rsidRDefault="00DC65B8" w:rsidP="00DC65B8">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Extended Perceptions - </w:t>
      </w:r>
      <w:r>
        <w:rPr>
          <w:rFonts w:ascii="Times New Roman" w:hAnsi="Times New Roman" w:cs="Times New Roman"/>
          <w:sz w:val="24"/>
          <w:szCs w:val="24"/>
        </w:rPr>
        <w:t xml:space="preserve">Five tasks were administered regarding revealing information and energy from beyond space-time. The tasks evaluate various aspects of receiving information from beyond the traditional senses. These abilities range from the commonly experienced intuition or hunches to more unique experiences like remote viewing (the ability to know something about a place, object, or person without using the traditional five senses) and psychokinesis (the ability to move matter with mental effort alone). </w:t>
      </w:r>
    </w:p>
    <w:p w14:paraId="2CE04E0E" w14:textId="77777777" w:rsidR="00DC65B8" w:rsidRDefault="00DC65B8" w:rsidP="00DC65B8">
      <w:pPr>
        <w:spacing w:after="0" w:line="240" w:lineRule="auto"/>
        <w:jc w:val="both"/>
        <w:rPr>
          <w:rFonts w:ascii="Times New Roman" w:hAnsi="Times New Roman" w:cs="Times New Roman"/>
          <w:sz w:val="24"/>
          <w:szCs w:val="24"/>
        </w:rPr>
      </w:pPr>
    </w:p>
    <w:p w14:paraId="341F3FEF" w14:textId="77777777" w:rsidR="00DC65B8" w:rsidRDefault="00DC65B8" w:rsidP="00DC65B8">
      <w:pPr>
        <w:spacing w:after="0" w:line="240" w:lineRule="auto"/>
        <w:ind w:left="360"/>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i/>
          <w:sz w:val="24"/>
          <w:szCs w:val="24"/>
        </w:rPr>
        <w:t>Jar Task</w:t>
      </w:r>
      <w:r>
        <w:rPr>
          <w:rFonts w:ascii="Times New Roman" w:hAnsi="Times New Roman" w:cs="Times New Roman"/>
          <w:sz w:val="24"/>
          <w:szCs w:val="24"/>
        </w:rPr>
        <w:t xml:space="preserve"> - The jar task investigates intuition. “Intuition is the ability to understand immediately without conscious reasoning and is sometimes explained as a ‘gut feeling’ about the rightness or wrongness of a person, place, situation, temporal episode or object”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{"citationID":"yVUPw4yJ","properties":{"formattedCitation":"(McCrea, 2010)","plainCitation":"(McCrea, 2010)","noteIndex":0},"citationItems":[{"id":23607,"uris":["http://zotero.org/groups/2275793/items/GRHRKDLJ"],"uri":["http://zotero.org/groups/2275793/items/GRHRKDLJ"],"itemData":{"id":23607,"type":"article-journal","abstract":"Intuition is the ability to understand immediately without conscious reasoning and is sometimes explained as a ‘gut feeling’ about the rightness or wrongness of a person, place, situation, temporal episode or object. In contrast, insight is the capacity to gain accurate and a deep understanding of a problem and it is often associated with movement beyond existing paradigms. Examples include Darwin, Einstein and Freud’s theories of natural selection, relativity, or the unconscious; respectively. Many cultures name these concepts and acknowledge their value, and insight is recognized as particularly characteristic of eminent achievements in the arts, sciences and politics. Considerable data suggests that these two concepts are more related than distinct, and that a more distributed intuitive network may feed into a predominately right hemispheric insight-based functional neuronal architecture. The preparation and incubation stages of insight may rely on the incorporation of domain-specific automatized expertise schema associated with intuition. In this manuscript the neural networks associated with intuition and insight are reviewed. Case studies of anomalous subjects with ability–achievement discrepancies are summarized. This theoretical review proposes the prospect that atypical localization of cognitive modules may enhance intuitive and insightful functions and thereby explain individual achievement beyond that expected by conventionally measured intelligence tests. A model and theory of intuition and insight’s neuroanatomical basis is proposed which could be used as a starting point for future research and better understanding of the nature of these two distinctly human and highly complex poorly understood abilities.","archive":"PMC","archive_location":"PMC3218761","container-title":"Psychology research and behavior management","ISSN":"1179-1578","page":"1-39","title":"Intuition, insight, and the right hemisphere: Emergence of higher sociocognitive functions","volume":"3","author":[{"family":"McCrea","given":"Simon M."}],"issued":{"date-parts":[["2010"]]}}}],"schema":"https://github.com/citation-style-language/schema/raw/master/csl-citation.json"}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rPr>
        <w:t>(McCrea, 2010)</w:t>
      </w:r>
      <w:r>
        <w:rPr>
          <w:rFonts w:ascii="Times New Roman" w:hAnsi="Times New Roman" w:cs="Times New Roman"/>
          <w:sz w:val="24"/>
          <w:szCs w:val="24"/>
        </w:rPr>
        <w:fldChar w:fldCharType="end"/>
      </w:r>
      <w:r>
        <w:rPr>
          <w:rFonts w:ascii="Times New Roman" w:hAnsi="Times New Roman" w:cs="Times New Roman"/>
          <w:sz w:val="24"/>
          <w:szCs w:val="24"/>
        </w:rPr>
        <w:t xml:space="preserve">. The jar task is designed to evaluate a person’s ability to generate accurate information without using logical or rational means. The participant is presented with a picture of a jar containing items. The image is displayed for only 2 seconds such that they </w:t>
      </w:r>
      <w:proofErr w:type="spellStart"/>
      <w:r>
        <w:rPr>
          <w:rFonts w:ascii="Times New Roman" w:hAnsi="Times New Roman" w:cs="Times New Roman"/>
          <w:sz w:val="24"/>
          <w:szCs w:val="24"/>
        </w:rPr>
        <w:t>can not</w:t>
      </w:r>
      <w:proofErr w:type="spellEnd"/>
      <w:r>
        <w:rPr>
          <w:rFonts w:ascii="Times New Roman" w:hAnsi="Times New Roman" w:cs="Times New Roman"/>
          <w:sz w:val="24"/>
          <w:szCs w:val="24"/>
        </w:rPr>
        <w:t xml:space="preserve"> count the number of items consciously. The participant ‘guesses’ how many items they believe are in the jar. The participant is shown different images at their pre- and post-assessments. The score for this task is the absolute value of the participant’s response minus the actual number. The smaller the difference, the more accurate the participant was able to ‘know’ the number of items in the jar. </w:t>
      </w:r>
    </w:p>
    <w:p w14:paraId="2DE48D4A" w14:textId="77777777" w:rsidR="00DC65B8" w:rsidRDefault="00DC65B8" w:rsidP="00DC65B8">
      <w:pPr>
        <w:spacing w:after="0" w:line="240" w:lineRule="auto"/>
        <w:ind w:left="360"/>
        <w:jc w:val="both"/>
        <w:rPr>
          <w:rFonts w:ascii="Times New Roman" w:hAnsi="Times New Roman" w:cs="Times New Roman"/>
          <w:sz w:val="24"/>
          <w:szCs w:val="24"/>
        </w:rPr>
      </w:pPr>
    </w:p>
    <w:p w14:paraId="340D2514" w14:textId="77777777" w:rsidR="00DC65B8" w:rsidRDefault="00DC65B8" w:rsidP="00DC65B8">
      <w:pPr>
        <w:spacing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 xml:space="preserve">Quick Remote Viewing Task </w:t>
      </w:r>
      <w:r>
        <w:rPr>
          <w:rFonts w:ascii="Times New Roman" w:hAnsi="Times New Roman" w:cs="Times New Roman"/>
          <w:sz w:val="24"/>
          <w:szCs w:val="24"/>
        </w:rPr>
        <w:t xml:space="preserve">- Remote viewing is a mental faculty that allows a perceiver to describe or give details about a target that is inaccessible to normal senses due to distance, time, or shielding. For this task, a blank frame is displayed in the center of the screen, and five photos are displayed below it. The participant chooses which of the five images they think will appear in the blank space. After selecting the picture, the target picture is shown in the blank frame, and the participant may press a button to move to the next trial. The participant completes 20 trials. The percentage of “hits” is recorded over their 20 trials. </w:t>
      </w:r>
    </w:p>
    <w:p w14:paraId="775437E5" w14:textId="77777777" w:rsidR="00DC65B8" w:rsidRDefault="00DC65B8" w:rsidP="00DC65B8">
      <w:pPr>
        <w:spacing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 xml:space="preserve">Bubble Task - </w:t>
      </w:r>
      <w:r>
        <w:rPr>
          <w:rFonts w:ascii="Times New Roman" w:hAnsi="Times New Roman" w:cs="Times New Roman"/>
          <w:sz w:val="24"/>
          <w:szCs w:val="24"/>
        </w:rPr>
        <w:t xml:space="preserve">The bubble task is a psychokinetic task. The participant is first asked to relax for 7 seconds. Small bubbles then start moving on the screen, and the participant is asked to concentrate on making the bubbles form a circle for 15 seconds. Then, the participant asked to relax for 7 seconds. The bubbles’ movement to form a circle is linked to a random number generator (pseudo-random generator </w:t>
      </w:r>
      <w:proofErr w:type="spellStart"/>
      <w:r>
        <w:rPr>
          <w:rFonts w:ascii="Times New Roman" w:hAnsi="Times New Roman" w:cs="Times New Roman"/>
          <w:sz w:val="24"/>
          <w:szCs w:val="24"/>
        </w:rPr>
        <w:t>KISS07</w:t>
      </w:r>
      <w:proofErr w:type="spellEnd"/>
      <w:r>
        <w:rPr>
          <w:rFonts w:ascii="Times New Roman" w:hAnsi="Times New Roman" w:cs="Times New Roman"/>
          <w:sz w:val="24"/>
          <w:szCs w:val="24"/>
        </w:rPr>
        <w:t xml:space="preserve"> 0.9 implemented in </w:t>
      </w:r>
      <w:proofErr w:type="spellStart"/>
      <w:r>
        <w:rPr>
          <w:rFonts w:ascii="Times New Roman" w:hAnsi="Times New Roman" w:cs="Times New Roman"/>
          <w:sz w:val="24"/>
          <w:szCs w:val="24"/>
        </w:rPr>
        <w:t>Javascript</w:t>
      </w:r>
      <w:proofErr w:type="spellEnd"/>
      <w:r>
        <w:rPr>
          <w:rFonts w:ascii="Times New Roman" w:hAnsi="Times New Roman" w:cs="Times New Roman"/>
          <w:sz w:val="24"/>
          <w:szCs w:val="24"/>
        </w:rPr>
        <w:t xml:space="preserve">). The normal </w:t>
      </w:r>
      <w:r>
        <w:rPr>
          <w:rFonts w:ascii="Times New Roman" w:hAnsi="Times New Roman" w:cs="Times New Roman"/>
          <w:sz w:val="24"/>
          <w:szCs w:val="24"/>
        </w:rPr>
        <w:lastRenderedPageBreak/>
        <w:t>function of the random number generator results in a value of zero for this task. If the participant can affect the random number generator, then their values would deviate away from zero. The score is the absolute value of the difference between the mean random number during the focus period compared to the rest period. Greater numbers represent a greater psychokinetic effect.</w:t>
      </w:r>
    </w:p>
    <w:p w14:paraId="74F13EE7" w14:textId="77777777" w:rsidR="00DC65B8" w:rsidRDefault="00DC65B8" w:rsidP="00DC65B8">
      <w:pPr>
        <w:spacing w:line="240" w:lineRule="auto"/>
        <w:ind w:left="405"/>
        <w:rPr>
          <w:rFonts w:ascii="Times New Roman" w:hAnsi="Times New Roman" w:cs="Times New Roman"/>
          <w:sz w:val="24"/>
          <w:szCs w:val="24"/>
        </w:rPr>
      </w:pPr>
      <w:r>
        <w:rPr>
          <w:rFonts w:ascii="Times New Roman" w:hAnsi="Times New Roman" w:cs="Times New Roman"/>
          <w:i/>
          <w:sz w:val="24"/>
          <w:szCs w:val="24"/>
        </w:rPr>
        <w:t>-Time estimation</w:t>
      </w:r>
      <w:r>
        <w:rPr>
          <w:rFonts w:ascii="Times New Roman" w:hAnsi="Times New Roman" w:cs="Times New Roman"/>
          <w:sz w:val="24"/>
          <w:szCs w:val="24"/>
        </w:rPr>
        <w:t xml:space="preserve">: People’s perceptions of time are often changed during altered states of consciousness, such as meditation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{"citationID":"TOVde6SZ","properties":{"formattedCitation":"(Berkovich-Ohana et al., 2013)","plainCitation":"(Berkovich-Ohana et al., 2013)","noteIndex":0},"citationItems":[{"id":1221,"uris":["http://zotero.org/users/5440140/items/6HTK6IFD"],"uri":["http://zotero.org/users/5440140/items/6HTK6IFD"],"itemData":{"id":1221,"type":"article-journal","abstract":"Meditation practice can lead to what have been referred to as \"altered states of consciousness.\"One of the phenomenological characteristics of these states is a joint alteration in the sense of time, space, and body. Here, we set out to study the unique experiences of alteration in the sense of time and space by collaborating with a select group of 12 long-term mindfulness meditation (MM) practitioners in a neurophenomenological setup, utilizing first-person data to guide the neural analyses. We hypothesized that the underlying neural activity accompanying alterations in the sense of time and space would be related to alterations in bodily processing. The participants were asked to volitionally bring about distinct states of \"Timelessness\" (outside time) and \"Spacelessness\" (outside space) while their brain activity was recorded by MEG. In order to rule out the involvement of attention, memory, or imagination, we used control states of \"Then\" (past) and \"There\" (another place). MEG sensors evidencing alterations in power values were identified, and the brain regions underlying these changes were estimated via spatial filtering (beamforming). Particularly, we searched for similar neural activity hypothesized to underlie both the state of \"Timelessness\" and \"Spacelessness.\" The results were mostly confined to the theta band, and showed that: (1) the \"Then\"/\"There\" overlap yielded activity in regions related to autobiographic memory and imagery (right posterior parietal lobule (PPL), right precentral/middle frontal gyrus (MFG), bilateral precuneus); (2) \"Timelessness\"/\"Spacelessness\" conditions overlapped in a different network, related to alterations in the sense of the body (posterior cingulate, right temporoparietal junction (TPJ), cerebellum); and (3) phenomenologically-guided neural analyses enabled us to dissociate different levels of alterations in the sense of the body. This study illustrates the utility of employing experienced contemplative practitioners within a neurophenomenological setup for scientifically characterizing a self-induced altered sense of time, space and body, as well as the importance of theta activity in relation with these altered states.","container-title":"Frontiers in Psychology","DOI":"10.3389/fpsyg.2013.00912","ISSN":"1664-1078 (Electronic) 1664-1078 (Linking)","journalAbbreviation":"Front. Psychol.","page":"912","title":"Alterations in the sense of time, space, and body in the mindfulness-trained brain: a neurophenomenologically-guided MEG study","volume":"4","author":[{"family":"Berkovich-Ohana","given":"A."},{"family":"Dor-Ziderman","given":"Y."},{"family":"Glicksohn","given":"J."},{"family":"Goldstein","given":"A."}],"issued":{"date-parts":[["2013"]]}}}],"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rPr>
        <w:t>(</w:t>
      </w:r>
      <w:proofErr w:type="spellStart"/>
      <w:r>
        <w:rPr>
          <w:rFonts w:ascii="Times New Roman" w:hAnsi="Times New Roman" w:cs="Times New Roman"/>
          <w:sz w:val="24"/>
        </w:rPr>
        <w:t>Berkovich-Ohana</w:t>
      </w:r>
      <w:proofErr w:type="spellEnd"/>
      <w:r>
        <w:rPr>
          <w:rFonts w:ascii="Times New Roman" w:hAnsi="Times New Roman" w:cs="Times New Roman"/>
          <w:sz w:val="24"/>
        </w:rPr>
        <w:t xml:space="preserve"> et al., 2013)</w:t>
      </w:r>
      <w:r>
        <w:rPr>
          <w:rFonts w:ascii="Times New Roman" w:hAnsi="Times New Roman" w:cs="Times New Roman"/>
          <w:sz w:val="24"/>
          <w:szCs w:val="24"/>
        </w:rPr>
        <w:fldChar w:fldCharType="end"/>
      </w:r>
      <w:r>
        <w:rPr>
          <w:rFonts w:ascii="Times New Roman" w:hAnsi="Times New Roman" w:cs="Times New Roman"/>
          <w:sz w:val="24"/>
          <w:szCs w:val="24"/>
        </w:rPr>
        <w:t xml:space="preserve">, and alterations in time perception are often associated with extended human capacities. Time perception can be measured with interval length estimation and perceived speed of time passage. The time estimation task evaluates the participant’s perceived passage of 10 seconds. The participant pushes a button to start the task and then pushes it again when he/she thinks 10 seconds have passed. The values for this task represent the absolute value of the deviation from the actual time passed. </w:t>
      </w:r>
    </w:p>
    <w:p w14:paraId="660727B7" w14:textId="77777777" w:rsidR="00DC65B8" w:rsidRDefault="00DC65B8" w:rsidP="00DC65B8">
      <w:pPr>
        <w:spacing w:after="0" w:line="240" w:lineRule="auto"/>
        <w:rPr>
          <w:rFonts w:ascii="Times New Roman" w:hAnsi="Times New Roman" w:cs="Times New Roman"/>
          <w:sz w:val="24"/>
          <w:szCs w:val="24"/>
        </w:rPr>
      </w:pPr>
      <w:r>
        <w:rPr>
          <w:rFonts w:ascii="Times New Roman" w:hAnsi="Times New Roman" w:cs="Times New Roman"/>
          <w:b/>
          <w:sz w:val="24"/>
          <w:szCs w:val="24"/>
        </w:rPr>
        <w:t>Well-Being:</w:t>
      </w:r>
      <w:r>
        <w:rPr>
          <w:rFonts w:ascii="Times New Roman" w:hAnsi="Times New Roman" w:cs="Times New Roman"/>
          <w:sz w:val="24"/>
          <w:szCs w:val="24"/>
        </w:rPr>
        <w:t xml:space="preserve"> The well-being measures included overall well-being, positive and negative mood, and quality of sleep and pain over the last 24 hours. </w:t>
      </w:r>
    </w:p>
    <w:p w14:paraId="3B8B84CD" w14:textId="77777777" w:rsidR="00DC65B8" w:rsidRDefault="00DC65B8" w:rsidP="00DC65B8">
      <w:pPr>
        <w:spacing w:after="0" w:line="240" w:lineRule="auto"/>
        <w:rPr>
          <w:rFonts w:ascii="Times New Roman" w:hAnsi="Times New Roman" w:cs="Times New Roman"/>
          <w:sz w:val="24"/>
          <w:szCs w:val="24"/>
        </w:rPr>
      </w:pPr>
    </w:p>
    <w:p w14:paraId="727286D5" w14:textId="77777777" w:rsidR="00DC65B8" w:rsidRDefault="00DC65B8" w:rsidP="00DC65B8">
      <w:pPr>
        <w:spacing w:after="240" w:line="240" w:lineRule="auto"/>
        <w:ind w:left="360"/>
        <w:rPr>
          <w:rFonts w:ascii="Times New Roman" w:hAnsi="Times New Roman" w:cs="Times New Roman"/>
          <w:sz w:val="24"/>
          <w:szCs w:val="24"/>
        </w:rPr>
      </w:pPr>
      <w:r>
        <w:rPr>
          <w:rFonts w:ascii="Times New Roman" w:hAnsi="Times New Roman" w:cs="Times New Roman"/>
          <w:i/>
          <w:sz w:val="24"/>
          <w:szCs w:val="24"/>
        </w:rPr>
        <w:t>-</w:t>
      </w:r>
      <w:r>
        <w:rPr>
          <w:rFonts w:ascii="Times New Roman" w:hAnsi="Times New Roman" w:cs="Times New Roman"/>
          <w:sz w:val="24"/>
          <w:szCs w:val="24"/>
        </w:rPr>
        <w:t xml:space="preserve"> The </w:t>
      </w:r>
      <w:r>
        <w:rPr>
          <w:rFonts w:ascii="Times New Roman" w:hAnsi="Times New Roman" w:cs="Times New Roman"/>
          <w:i/>
          <w:sz w:val="24"/>
          <w:szCs w:val="24"/>
        </w:rPr>
        <w:t>Arizona Integrative Outcomes Scale (</w:t>
      </w:r>
      <w:proofErr w:type="spellStart"/>
      <w:r>
        <w:rPr>
          <w:rFonts w:ascii="Times New Roman" w:hAnsi="Times New Roman" w:cs="Times New Roman"/>
          <w:i/>
          <w:sz w:val="24"/>
          <w:szCs w:val="24"/>
        </w:rPr>
        <w:t>AIOS</w:t>
      </w:r>
      <w:proofErr w:type="spellEnd"/>
      <w:r>
        <w:rPr>
          <w:rFonts w:ascii="Times New Roman" w:hAnsi="Times New Roman" w:cs="Times New Roman"/>
          <w:i/>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{"citationID":"onuUuPoP","properties":{"formattedCitation":"(Bell et al., 2004)","plainCitation":"(Bell et al., 2004)","noteIndex":0},"citationItems":[{"id":1252,"uris":["http://zotero.org/users/5440140/items/6DYF8TZI"],"uri":["http://zotero.org/users/5440140/items/6DYF8TZI"],"itemData":{"id":1252,"type":"article-journal","abstract":"BACKGROUND: Researchers are finding limitations of currently available disease-focused questionnaire tools for outcome studies in complementary and alternative medicine/integrative medicine (CAM/IM). METHODS: Three substudies investigated the new one-item visual analogue Arizona Integrative Outcomes Scale (AIOS), which assesses self-rated global sense of spiritual, social, mental, emotional, and physical well-being over the past 24 hours and the past month. The first study tested the scale's ability to discriminate unhealthy individuals (n = 50) from healthy individuals (n = 50) in a rehabilitation outpatient clinic sample. The second study examined the concurrent validity of the AIOS by comparing ratings of global well-being to degree of psychological distress as measured by the Brief Symptom Inventory (BSI) in undergraduate college students (N = 458). The third study evaluated the relationships between the AIOS and positively- and negatively-valenced tools (Positive and Negative Affect Scale and the Positive States of Mind Scale) in a different sample of undergraduate students (N = 62). RESULTS: Substudy (i) Rehabilitation patients scored significantly lower than the healthy controls on both forms of the AIOS and a current global health rating. The AIOS 24-hours correlated moderately and significantly with global health (patients r = 0.50; controls r = 0.45). AIOS 1-month correlations with global health were stronger within the controls (patients r = 0.36; controls r = 0.50). Controls (r = 0.64) had a higher correlation between the AIOS 24-hour and 1-month forms than did the patients (r = 0.33), which is consistent with the presumptive improvement in the patients' condition over the previous 30 days in rehabilitation. Substudy (ii) In undergraduate students, AIOS scores were inversely related to distress ratings, as measured by the global severity index on the BSI (rAIOS24h = -0.42, rAIOS1month = -0.40). Substudy (iii) AIOS scores were significantly correlated with positive affect (rAIOS24h = 0.56, rAIOS1month = 0.57) and positive states of mind (rAIOS24h = 0.42, rAIOS1month = 0.45), and inversely correlated with negative affect (rAIOS24h = -0.41, rAIOS1month = -0.59). CONCLUSIONS: The AIOS is able to distinguish relatively sicker from relatively healthier individuals; and correlates in expected directions with a measure of distress and indicators of positive and negative affect and positive states of mind. The AIOS offers a tool for CAM/IM research that extends beyond a disease emphasis.","container-title":"BMC Complementary and Alternative Medicine","DOI":"10.1186/1472-6882-4-1","ISSN":"1472-6882 (Electronic) 1472-6882 (Linking)","journalAbbreviation":"BMC Complement. Altern. Med.","page":"1","title":"Development and validation of a new global well-being outcomes rating scale for integrative medicine research","volume":"4","author":[{"family":"Bell","given":"I. R."},{"family":"Cunningham","given":"V."},{"family":"Caspi","given":"O."},{"family":"Meek","given":"P."},{"family":"Ferro","given":"L."}],"issued":{"date-parts":[["2004",1,15]]}}}],"schema":"https://github.com/citation-style-language/schema/raw/master/csl-citation.json"}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(Bell et al., 2004)</w:t>
      </w:r>
      <w:r>
        <w:rPr>
          <w:rFonts w:ascii="Times New Roman" w:hAnsi="Times New Roman" w:cs="Times New Roman"/>
          <w:sz w:val="24"/>
          <w:szCs w:val="24"/>
        </w:rPr>
        <w:fldChar w:fldCharType="end"/>
      </w:r>
      <w:r>
        <w:rPr>
          <w:rFonts w:ascii="Times New Roman" w:hAnsi="Times New Roman" w:cs="Times New Roman"/>
          <w:i/>
          <w:iCs/>
          <w:color w:val="000000"/>
          <w:sz w:val="24"/>
          <w:szCs w:val="24"/>
        </w:rPr>
        <w:t xml:space="preserve"> </w:t>
      </w:r>
      <w:r>
        <w:rPr>
          <w:rFonts w:ascii="Times New Roman" w:hAnsi="Times New Roman" w:cs="Times New Roman"/>
          <w:sz w:val="24"/>
          <w:szCs w:val="24"/>
        </w:rPr>
        <w:t xml:space="preserve">is a single item, a visual-analog self-rating scale that evaluates the overall subjective sense of well-being. Participants are asked, “Please reflect on your sense of well-being, </w:t>
      </w:r>
      <w:proofErr w:type="gramStart"/>
      <w:r>
        <w:rPr>
          <w:rFonts w:ascii="Times New Roman" w:hAnsi="Times New Roman" w:cs="Times New Roman"/>
          <w:sz w:val="24"/>
          <w:szCs w:val="24"/>
        </w:rPr>
        <w:t>taking into account</w:t>
      </w:r>
      <w:proofErr w:type="gramEnd"/>
      <w:r>
        <w:rPr>
          <w:rFonts w:ascii="Times New Roman" w:hAnsi="Times New Roman" w:cs="Times New Roman"/>
          <w:sz w:val="24"/>
          <w:szCs w:val="24"/>
        </w:rPr>
        <w:t xml:space="preserve"> your physical, mental, emotional, social, and spiritual condition over the past 24 hours. Please move the slider below to a point that summarizes your overall sense of well-being for the past 24 hours.” The slider goes from 0-100 with 0 being anchored by “Worst you have ever been” and 100 anchored by “Best you’ve ever been.” The scale results in one value with larger values indicating greater well-being. The scale was valid in discriminating between patients and caregivers. Convergent and divergent validity was significant compared to the Global Health Index (0.38) and Global Severity Index (-0.41), negative affect (-0.41), and positive affect (0.56) of the Positive and Negative Affect Scale.</w:t>
      </w:r>
    </w:p>
    <w:p w14:paraId="2EAB9BD5" w14:textId="77777777" w:rsidR="00DC65B8" w:rsidRDefault="00DC65B8" w:rsidP="00DC65B8">
      <w:pPr>
        <w:spacing w:after="240"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 xml:space="preserve">Positive and negative affective </w:t>
      </w:r>
      <w:r>
        <w:rPr>
          <w:rFonts w:ascii="Times New Roman" w:hAnsi="Times New Roman" w:cs="Times New Roman"/>
          <w:sz w:val="24"/>
          <w:szCs w:val="24"/>
        </w:rPr>
        <w:t xml:space="preserve">was measured with six dichotomous indicators (happiness, enjoyment, smiling/laughter, stress, worry, sadness), asking participants whether they had experienced an emotional state for much of the day yesterday. Scores for positive and negative emotions are averaged for two scores ranging from 0-1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{"citationID":"CIZPRUgx","properties":{"formattedCitation":"(Jebb et al., 2018)","plainCitation":"(Jebb et al., 2018)","noteIndex":0},"citationItems":[{"id":788,"uris":["http://zotero.org/users/5440140/items/2AMZ6SDH"],"uri":["http://zotero.org/users/5440140/items/2AMZ6SDH"],"itemData":{"id":788,"type":"article-journal","abstract":"Income is known to be associated with happiness 1 , but debates persist about the exact nature of this relationship 2,3 . Does happiness rise indefinitely with income, or is there a point at which higher incomes no longer lead to greater well-being? We examine this question using data from the Gallup World Poll, a representative sample of over 1.7 million individuals worldwide. Controlling for demographic factors, we use spline regression models to statistically identify points of ‘income satiation’. Globally, we find that satiation occurs at $95,000 for life evaluation and $60,000 to $75,000 for emotional well-being. However, there is substantial variation across world regions, with satiation occurring later in wealthier regions. We also find that in certain parts of the world, incomes beyond satiation are associated with lower life evaluations. These findings on income and happiness have practical and theoretical significance at the individual, institutional and national levels. They point to a degree of happiness adaptation 4,5 and that money influences happiness through the fulfilment of both needs and increasing material desires 6 .","container-title":"Nature Human Behaviour","DOI":"10.1038/s41562-017-0277-0","ISSN":"2397-3374","issue":"1","page":"33-38","title":"Happiness, income satiation and turning points around the world","volume":"2","author":[{"family":"Jebb","given":"Andrew T."},{"family":"Tay","given":"Louis"},{"family":"Diener","given":"Ed"},{"family":"Oishi","given":"Shigehiro"}],"issued":{"date-parts":[["2018",1,1]]}}}],"schema":"https://github.com/citation-style-language/schema/raw/master/csl-citation.json"}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w:t>
      </w:r>
      <w:proofErr w:type="spellStart"/>
      <w:r>
        <w:rPr>
          <w:rFonts w:ascii="Times New Roman" w:hAnsi="Times New Roman" w:cs="Times New Roman"/>
          <w:sz w:val="24"/>
          <w:szCs w:val="24"/>
        </w:rPr>
        <w:t>Jebb</w:t>
      </w:r>
      <w:proofErr w:type="spellEnd"/>
      <w:r>
        <w:rPr>
          <w:rFonts w:ascii="Times New Roman" w:hAnsi="Times New Roman" w:cs="Times New Roman"/>
          <w:sz w:val="24"/>
          <w:szCs w:val="24"/>
        </w:rPr>
        <w:t xml:space="preserve"> et al., 2018)</w:t>
      </w:r>
      <w:r>
        <w:rPr>
          <w:rFonts w:ascii="Times New Roman" w:hAnsi="Times New Roman" w:cs="Times New Roman"/>
          <w:sz w:val="24"/>
          <w:szCs w:val="24"/>
        </w:rPr>
        <w:fldChar w:fldCharType="end"/>
      </w:r>
      <w:r>
        <w:rPr>
          <w:rFonts w:ascii="Times New Roman" w:hAnsi="Times New Roman" w:cs="Times New Roman"/>
          <w:sz w:val="24"/>
          <w:szCs w:val="24"/>
        </w:rPr>
        <w:t>.</w:t>
      </w:r>
    </w:p>
    <w:p w14:paraId="0885F700" w14:textId="77777777" w:rsidR="00DC65B8" w:rsidRDefault="00DC65B8" w:rsidP="00DC65B8">
      <w:pPr>
        <w:spacing w:after="240" w:line="240" w:lineRule="auto"/>
        <w:ind w:left="360"/>
        <w:rPr>
          <w:rFonts w:ascii="Times New Roman" w:hAnsi="Times New Roman" w:cs="Times New Roman"/>
          <w:sz w:val="24"/>
          <w:szCs w:val="24"/>
        </w:rPr>
      </w:pPr>
      <w:r>
        <w:rPr>
          <w:rFonts w:ascii="Times New Roman" w:hAnsi="Times New Roman" w:cs="Times New Roman"/>
          <w:i/>
          <w:sz w:val="24"/>
          <w:szCs w:val="24"/>
        </w:rPr>
        <w:t>-</w:t>
      </w:r>
      <w:r>
        <w:rPr>
          <w:rFonts w:ascii="Times New Roman" w:hAnsi="Times New Roman" w:cs="Times New Roman"/>
          <w:sz w:val="24"/>
          <w:szCs w:val="24"/>
        </w:rPr>
        <w:t xml:space="preserve"> The </w:t>
      </w:r>
      <w:r>
        <w:rPr>
          <w:rFonts w:ascii="Times New Roman" w:hAnsi="Times New Roman" w:cs="Times New Roman"/>
          <w:i/>
          <w:sz w:val="24"/>
          <w:szCs w:val="24"/>
        </w:rPr>
        <w:t xml:space="preserve">Dispositional Positive Emotions Scale (Compassion subscale) </w:t>
      </w:r>
      <w:r>
        <w:rPr>
          <w:rFonts w:ascii="Times New Roman" w:hAnsi="Times New Roman" w:cs="Times New Roman"/>
          <w:sz w:val="24"/>
          <w:szCs w:val="24"/>
        </w:rPr>
        <w:t xml:space="preserve">is a five-item scale asking participants about their capacity for compassion and compassionate acts rated on a Likert Scale from 1 (strongly disagree) to 7 (strongly agree)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{"citationID":"VFxSMjtD","properties":{"formattedCitation":"(Shiota et al., 2006)","plainCitation":"(Shiota et al., 2006)","noteIndex":0},"citationItems":[{"id":5543,"uris":["http://zotero.org/users/5440140/items/9NPMZVMZ"],"uri":["http://zotero.org/users/5440140/items/9NPMZVMZ"],"itemData":{"id":5543,"type":"article-journal","container-title":"The Journal of Positive Psychology","ISSN":"1743-9760","issue":"2","page":"61-71","title":"Positive emotion dispositions differentially associated with Big Five personality and attachment style","volume":"1","author":[{"family":"Shiota","given":"Michelle N"},{"family":"Keltner","given":"Dacher"},{"family":"John","given":"Oliver P"}],"issued":{"date-parts":[["2006"]]}}}],"schema":"https://github.com/citation-style-language/schema/raw/master/csl-citation.json"}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(Shiota et al., 2006)</w:t>
      </w:r>
      <w:r>
        <w:rPr>
          <w:rFonts w:ascii="Times New Roman" w:hAnsi="Times New Roman" w:cs="Times New Roman"/>
          <w:sz w:val="24"/>
          <w:szCs w:val="24"/>
        </w:rPr>
        <w:fldChar w:fldCharType="end"/>
      </w:r>
      <w:r>
        <w:rPr>
          <w:rFonts w:ascii="Times New Roman" w:hAnsi="Times New Roman" w:cs="Times New Roman"/>
          <w:sz w:val="24"/>
          <w:szCs w:val="24"/>
        </w:rPr>
        <w:t xml:space="preserve">. Compassion is an emotional response when suffering is perceived and involves an authentic desire to help alleviate that suffering. Higher scores indicate greater levels of positive compassion.  </w:t>
      </w:r>
    </w:p>
    <w:p w14:paraId="16616C75" w14:textId="77777777" w:rsidR="00DC65B8" w:rsidRDefault="00DC65B8" w:rsidP="00DC65B8">
      <w:pPr>
        <w:spacing w:after="240" w:line="240" w:lineRule="auto"/>
        <w:ind w:left="360"/>
        <w:rPr>
          <w:rFonts w:ascii="Times New Roman" w:hAnsi="Times New Roman" w:cs="Times New Roman"/>
          <w:sz w:val="24"/>
          <w:szCs w:val="24"/>
          <w:highlight w:val="white"/>
        </w:rPr>
      </w:pPr>
      <w:r>
        <w:rPr>
          <w:rFonts w:ascii="Times New Roman" w:hAnsi="Times New Roman" w:cs="Times New Roman"/>
          <w:b/>
          <w:sz w:val="24"/>
          <w:szCs w:val="24"/>
        </w:rPr>
        <w:t>-</w:t>
      </w:r>
      <w:r>
        <w:rPr>
          <w:rFonts w:ascii="Times New Roman" w:hAnsi="Times New Roman" w:cs="Times New Roman"/>
          <w:sz w:val="24"/>
          <w:szCs w:val="24"/>
        </w:rPr>
        <w:t xml:space="preserve">The </w:t>
      </w:r>
      <w:r>
        <w:rPr>
          <w:rFonts w:ascii="Times New Roman" w:hAnsi="Times New Roman" w:cs="Times New Roman"/>
          <w:i/>
          <w:sz w:val="24"/>
          <w:szCs w:val="24"/>
        </w:rPr>
        <w:t>Sleep Quality Scale (</w:t>
      </w:r>
      <w:proofErr w:type="spellStart"/>
      <w:r>
        <w:rPr>
          <w:rFonts w:ascii="Times New Roman" w:hAnsi="Times New Roman" w:cs="Times New Roman"/>
          <w:i/>
          <w:sz w:val="24"/>
          <w:szCs w:val="24"/>
        </w:rPr>
        <w:t>SQS</w:t>
      </w:r>
      <w:proofErr w:type="spellEnd"/>
      <w:r>
        <w:rPr>
          <w:rFonts w:ascii="Times New Roman" w:hAnsi="Times New Roman" w:cs="Times New Roman"/>
          <w:i/>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{"citationID":"AJpWOkJr","properties":{"formattedCitation":"(Cappelleri et al., 2009)","plainCitation":"(Cappelleri et al., 2009)","noteIndex":0},"citationItems":[{"id":1637,"uris":["http://zotero.org/users/5440140/items/A8H86PXD"],"uri":["http://zotero.org/users/5440140/items/A8H86PXD"],"itemData":{"id":1637,"type":"article-journal","abstract":"BACKGROUND: Sleep disturbances are a common and bothersome symptom of fibromyalgia (FM). This study reports psychometric properties of a single-item scale to assess sleep quality among individuals with FM. METHODS: Analyses were based on data from two randomized, double-blind, placebo-controlled trials of pregabalin (studies 1056 and 1077). In a daily diary, patients reported the quality of their sleep on a numeric rating scale ranging from 0 (\"best possible sleep\") to 10 (\"worst possible sleep\"). Test re-test reliability of the Sleep Quality Scale was evaluated by computing intraclass correlation coefficients. Pearson correlation coefficients were computed between baseline Sleep Quality scores and baseline pain diary and Medical Outcomes Study (MOS) Sleep scores. Responsiveness to treatment was evaluated by standardized effect sizes computed as the difference between least squares mean changes in Sleep Quality scores in the pregabalin and placebo groups divided by the standard deviation of Sleep Quality scores across all patients at baseline. RESULTS: Studies 1056 and 1077 included 748 and 745 patients, respectively. Most patients were female (study 1056: 94.4%; study 1077: 94.5%) and white (study 1056: 90.2%; study 1077: 91.0%). Mean ages were 48.8 years (study 1056) and 50.1 years (study 1077). Test re-test reliability coefficients of the Sleep Quality Scale were 0.91 and 0.90 in the 1056 and 1077 studies, respectively. Pearson correlation coefficients between baseline Sleep Quality scores and baseline pain diary scores were 0.64 (p &lt; 0.001) and 0.58 (p &lt; 0.001) in the 1056 and 1077 studies, respectively. Correlations between the Sleep Quality Scale and the MOS Sleep subscales were statistically significant (p &lt; 0.01), except for the MOS Snoring subscale. Across both studies, standardized effect sizes were generally moderate (0.46 to 0.52) for the 300 mg group and moderate (0.59) or moderate-to-large (0.70) for the 450 mg group. In study 1056, the effect size for the 600 mg group was moderate-to-large (0.73). In study 1077, the effect size for the 600 mg group was large (0.82). CONCLUSION: These results provide evidence of the reproducibility, convergent validity, and responsiveness to treatment of the Sleep Quality Scale and provide a foundation for its further use and evaluation in FM patients.","container-title":"Health Qual Life Outcomes","DOI":"10.1186/1477-7525-7-54","ISSN":"1477-7525 (Electronic) 1477-7525 (Linking)","page":"54","title":"Psychometric properties of a single-item scale to assess sleep quality among individuals with fibromyalgia","volume":"7","author":[{"family":"Cappelleri","given":"J. C."},{"family":"Bushmakin","given":"A. G."},{"family":"McDermott","given":"A. M."},{"family":"Sadosky","given":"A. B."},{"family":"Petrie","given":"C. D."},{"family":"Martin","given":"S."}],"issued":{"date-parts":[["2009",6,17]]}}}],"schema":"https://github.com/citation-style-language/schema/raw/master/csl-citation.json"}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w:t>
      </w:r>
      <w:proofErr w:type="spellStart"/>
      <w:r>
        <w:rPr>
          <w:rFonts w:ascii="Times New Roman" w:hAnsi="Times New Roman" w:cs="Times New Roman"/>
          <w:sz w:val="24"/>
          <w:szCs w:val="24"/>
        </w:rPr>
        <w:t>Cappelleri</w:t>
      </w:r>
      <w:proofErr w:type="spellEnd"/>
      <w:r>
        <w:rPr>
          <w:rFonts w:ascii="Times New Roman" w:hAnsi="Times New Roman" w:cs="Times New Roman"/>
          <w:sz w:val="24"/>
          <w:szCs w:val="24"/>
        </w:rPr>
        <w:t xml:space="preserve"> et al., 2009)</w:t>
      </w:r>
      <w:r>
        <w:rPr>
          <w:rFonts w:ascii="Times New Roman" w:hAnsi="Times New Roman" w:cs="Times New Roman"/>
          <w:sz w:val="24"/>
          <w:szCs w:val="24"/>
        </w:rPr>
        <w:fldChar w:fldCharType="end"/>
      </w:r>
      <w:r>
        <w:rPr>
          <w:rFonts w:ascii="Times New Roman" w:hAnsi="Times New Roman" w:cs="Times New Roman"/>
          <w:sz w:val="24"/>
          <w:szCs w:val="24"/>
        </w:rPr>
        <w:t xml:space="preserve"> is a single-item 11-point numeric scale measuring acute sleep or sleep quality. Participants are asked, “How would you rate the quality of your sleep LAST NIGHT?” moving the slider for their response. The slide is anchored by “Best possible sleep” (0) and “Worst possible sleep” (10).</w:t>
      </w:r>
    </w:p>
    <w:p w14:paraId="328A737C" w14:textId="77777777" w:rsidR="00DC65B8" w:rsidRDefault="00DC65B8" w:rsidP="00DC65B8">
      <w:pPr>
        <w:spacing w:after="240"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-The</w:t>
      </w:r>
      <w:r>
        <w:rPr>
          <w:rFonts w:ascii="Times New Roman" w:hAnsi="Times New Roman" w:cs="Times New Roman"/>
          <w:i/>
          <w:sz w:val="24"/>
          <w:szCs w:val="24"/>
        </w:rPr>
        <w:t xml:space="preserve"> Numeric Pain Rating Scale (NPRS)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{"citationID":"pB15rzgo","properties":{"formattedCitation":"(Farrar et al., 2001)","plainCitation":"(Farrar et al., 2001)","noteIndex":0},"citationItems":[{"id":810,"uris":["http://zotero.org/users/5440140/items/WECJVJDH"],"uri":["http://zotero.org/users/5440140/items/WECJVJDH"],"itemData":{"id":810,"type":"article-journal","abstract":"Pain intensity is frequently measured on an 11-point pain intensity numerical rating scale (PI-NRS), where 0=no pain and 10=worst possible pain. However, it is difficult to interpret the clinical importance of changes from baseline on this scale (such as a 1- or 2-point change). To date, there are no data driven estimates for clinically important differences in pain intensity scales used for chronic pain studies. We have estimated a clinically important difference on this scale by relating it to global assessments of change in multiple studies of chronic pain. Data on 2724 subjects from 10 recently completed placebo-controlled clinical trials of pregabalin in diabetic neuropathy, postherpetic neuralgia, chronic low back pain, fibromyalgia, and osteoarthritis were used. The studies had similar designs and measurement instruments, including the PI-NRS, collected in a daily diary, and the standard seven-point patient global impression of change (PGIC), collected at the endpoint. The changes in the PI-NRS from baseline to the endpoint were compared to the PGIC for each subject. Categories of \"much improved\" and \"very much improved\" were used as determinants of a clinically important difference and the relationship to the PI-NRS was explored using graphs, box plots, and sensitivity/specificity analyses. A consistent relationship between the change in PI-NRS and the PGIC was demonstrated regardless of study, disease type, age, sex, study result, or treatment group. On average, a reduction of approximately two points or a reduction of approximately 30% in the PI-NRS represented a clinically important difference. The relationship between percent change and the PGIC was also consistent regardless of baseline pain, while higher baseline scores required larger raw changes to represent a clinically important difference. The application of these results to future studies may provide a standard definition of clinically important improvement in clinical trials of chronic pain therapies. Use of a standard outcome across chronic pain studies would greatly enhance the comparability, validity, and clinical applicability of these studies.","container-title":"Pain 11690728","DOI":"S0304-3959(01)00349-9 [pii]","ISSN":"0304-3959 (Print) 0304-3959 (Linking)","issue":"2","language":"eng","page":"149-58","title":"Clinical importance of changes in chronic pain intensity measured on an 11-point numerical pain rating scale","volume":"94","author":[{"family":"Farrar","given":"J. T."},{"family":"Young","given":"J. P."},{"family":"LaMoreaux","given":"L."},{"family":"Werth","given":"J. L."},{"family":"Poole","given":"R. M."}],"issued":{"date-parts":[["2001",11]]}}}],"schema":"https://github.com/citation-style-language/schema/raw/master/csl-citation.json"}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(Farrar et al., 2001)</w:t>
      </w:r>
      <w:r>
        <w:rPr>
          <w:rFonts w:ascii="Times New Roman" w:hAnsi="Times New Roman" w:cs="Times New Roman"/>
          <w:sz w:val="24"/>
          <w:szCs w:val="24"/>
        </w:rPr>
        <w:fldChar w:fldCharType="end"/>
      </w:r>
      <w:r>
        <w:rPr>
          <w:rFonts w:ascii="Times New Roman" w:hAnsi="Times New Roman" w:cs="Times New Roman"/>
          <w:sz w:val="24"/>
          <w:szCs w:val="24"/>
        </w:rPr>
        <w:t xml:space="preserve"> is a visual-analog scale in which a respondent selects a whole number (0–10 integers) that best reflects the intensity of his/her pain. The standard format is a horizontal bar or line. The NPRS is anchored by terms describing pain severity extremes. Participants are asked to report pain intensity “in the past 24 hours” on a slider from position 0 being “No pain” to position 10 being “Worst possible pain.” The NPRS is a reliable scale in terms of inter- or intra-rater repeatability and its ability to detect change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{"citationID":"rY64e7rr","properties":{"formattedCitation":"(Bijur et al., 2001; Boonstra et al., 2008; Hawker et al., 2011)","plainCitation":"(Bijur et al., 2001; Boonstra et al., 2008; Hawker et al., 2011)","noteIndex":0},"citationItems":[{"id":41964,"uris":["http://zotero.org/groups/2275793/items/56HE8LYS"],"uri":["http://zotero.org/groups/2275793/items/56HE8LYS"],"itemData":{"id":41964,"type":"article-journal","container-title":"Academic emergency medicine","ISSN":"1069-6563","issue":"12","journalAbbreviation":"Academic emergency medicine","note":"publisher: Wiley Online Library","page":"1153-1157","title":"Reliability of the visual analog scale for measurement of acute pain","volume":"8","author":[{"family":"Bijur","given":"Polly E"},{"family":"Silver","given":"Wendy"},{"family":"Gallagher","given":"E John"}],"issued":{"date-parts":[["2001"]]}}},{"id":41965,"uris":["http://zotero.org/groups/2275793/items/XVQ5R29N"],"uri":["http://zotero.org/groups/2275793/items/XVQ5R29N"],"itemData":{"id":41965,"type":"article-journal","container-title":"International journal of rehabilitation research","ISSN":"0342-5282","issue":"2","journalAbbreviation":"International journal of rehabilitation research","note":"publisher: LWW","page":"165-169","title":"Reliability and validity of the visual analogue scale for disability in patients with chronic musculoskeletal pain","volume":"31","author":[{"family":"Boonstra","given":"Anne M"},{"family":"Preuper","given":"Henrica R Schiphorst"},{"family":"Reneman","given":"Michiel F"},{"family":"Posthumus","given":"Jitze B"},{"family":"Stewart","given":"Roy E"}],"issued":{"date-parts":[["2008"]]}}},{"id":41966,"uris":["http://zotero.org/groups/2275793/items/2LV7GGZP"],"uri":["http://zotero.org/groups/2275793/items/2LV7GGZP"],"itemData":{"id":41966,"type":"article-journal","container-title":"Arthritis care &amp; research","ISSN":"2151-464X","issue":"S11","journalAbbreviation":"Arthritis care &amp; research","note":"publisher: John Wiley &amp; Sons, Inc. Hoboken, USA","page":"S240-S252","title":"Measures of adult pain: Visual analog scale for pain (vas pain), numeric rating scale for pain (nrs pain), mcgill pain questionnaire (mpq), short‐form mcgill pain questionnaire (sf‐mpq), chronic pain grade scale (cpgs), short form‐36 bodily pain scale (sf‐36 bps), and measure of intermittent and constant osteoarthritis pain (icoap)","volume":"63","author":[{"family":"Hawker","given":"Gillian A"},{"family":"Mian","given":"Samra"},{"family":"Kendzerska","given":"Tetyana"},{"family":"French","given":"Melissa"}],"issued":{"date-parts":[["2011"]]}}}],"schema":"https://github.com/citation-style-language/schema/raw/master/csl-citation.json"}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rPr>
        <w:t>(</w:t>
      </w:r>
      <w:proofErr w:type="spellStart"/>
      <w:r>
        <w:rPr>
          <w:rFonts w:ascii="Times New Roman" w:hAnsi="Times New Roman" w:cs="Times New Roman"/>
          <w:sz w:val="24"/>
        </w:rPr>
        <w:t>Bijur</w:t>
      </w:r>
      <w:proofErr w:type="spellEnd"/>
      <w:r>
        <w:rPr>
          <w:rFonts w:ascii="Times New Roman" w:hAnsi="Times New Roman" w:cs="Times New Roman"/>
          <w:sz w:val="24"/>
        </w:rPr>
        <w:t xml:space="preserve"> et al., 2001; </w:t>
      </w:r>
      <w:proofErr w:type="spellStart"/>
      <w:r>
        <w:rPr>
          <w:rFonts w:ascii="Times New Roman" w:hAnsi="Times New Roman" w:cs="Times New Roman"/>
          <w:sz w:val="24"/>
        </w:rPr>
        <w:t>Boonstra</w:t>
      </w:r>
      <w:proofErr w:type="spellEnd"/>
      <w:r>
        <w:rPr>
          <w:rFonts w:ascii="Times New Roman" w:hAnsi="Times New Roman" w:cs="Times New Roman"/>
          <w:sz w:val="24"/>
        </w:rPr>
        <w:t xml:space="preserve"> et al., 2008; Hawker et al., 2011)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047D319E" w14:textId="77777777" w:rsidR="00DC65B8" w:rsidRDefault="00DC65B8" w:rsidP="00DC65B8">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Potential Predictors: </w:t>
      </w:r>
      <w:r>
        <w:rPr>
          <w:rFonts w:ascii="Times New Roman" w:hAnsi="Times New Roman" w:cs="Times New Roman"/>
          <w:sz w:val="24"/>
          <w:szCs w:val="24"/>
        </w:rPr>
        <w:t>The following potential predictors were measured before the workshop.</w:t>
      </w:r>
    </w:p>
    <w:p w14:paraId="51E53E82" w14:textId="77777777" w:rsidR="00DC65B8" w:rsidRDefault="00DC65B8" w:rsidP="00DC65B8">
      <w:pPr>
        <w:spacing w:after="0" w:line="240" w:lineRule="auto"/>
        <w:ind w:left="360"/>
        <w:rPr>
          <w:rFonts w:ascii="Times New Roman" w:hAnsi="Times New Roman" w:cs="Times New Roman"/>
          <w:i/>
          <w:sz w:val="24"/>
          <w:szCs w:val="24"/>
        </w:rPr>
      </w:pPr>
    </w:p>
    <w:p w14:paraId="629BDF56" w14:textId="77777777" w:rsidR="00DC65B8" w:rsidRDefault="00DC65B8" w:rsidP="00DC65B8">
      <w:pPr>
        <w:spacing w:after="0" w:line="240" w:lineRule="auto"/>
        <w:ind w:left="360"/>
        <w:rPr>
          <w:rFonts w:ascii="Times New Roman" w:hAnsi="Times New Roman" w:cs="Times New Roman"/>
          <w:sz w:val="24"/>
          <w:szCs w:val="24"/>
        </w:rPr>
      </w:pPr>
      <w:r>
        <w:rPr>
          <w:rFonts w:ascii="Times New Roman" w:hAnsi="Times New Roman" w:cs="Times New Roman"/>
          <w:i/>
          <w:sz w:val="24"/>
          <w:szCs w:val="24"/>
        </w:rPr>
        <w:t>-Demographic variables -</w:t>
      </w:r>
      <w:r>
        <w:rPr>
          <w:rFonts w:ascii="Times New Roman" w:hAnsi="Times New Roman" w:cs="Times New Roman"/>
          <w:sz w:val="24"/>
          <w:szCs w:val="24"/>
        </w:rPr>
        <w:t xml:space="preserve"> age, gender, education, relationship status, race, income, childhood, and current religious/spiritual affiliation and importance.</w:t>
      </w:r>
    </w:p>
    <w:p w14:paraId="10D3C57B" w14:textId="77777777" w:rsidR="00DC65B8" w:rsidRDefault="00DC65B8" w:rsidP="00DC65B8">
      <w:pPr>
        <w:spacing w:after="0" w:line="240" w:lineRule="auto"/>
        <w:ind w:left="360"/>
        <w:rPr>
          <w:rFonts w:ascii="Times New Roman" w:hAnsi="Times New Roman" w:cs="Times New Roman"/>
          <w:sz w:val="24"/>
          <w:szCs w:val="24"/>
        </w:rPr>
      </w:pPr>
    </w:p>
    <w:p w14:paraId="274BADFE" w14:textId="77777777" w:rsidR="00DC65B8" w:rsidRDefault="00DC65B8" w:rsidP="00DC65B8">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 xml:space="preserve">Psychiatric treatment </w:t>
      </w:r>
      <w:r>
        <w:rPr>
          <w:rFonts w:ascii="Times New Roman" w:hAnsi="Times New Roman" w:cs="Times New Roman"/>
          <w:sz w:val="24"/>
          <w:szCs w:val="24"/>
        </w:rPr>
        <w:t>- Participants are asked, “Are you currently being treated for a psychiatric condition?”</w:t>
      </w:r>
    </w:p>
    <w:p w14:paraId="1D5EA67E" w14:textId="77777777" w:rsidR="00DC65B8" w:rsidRDefault="00DC65B8" w:rsidP="00DC65B8">
      <w:pPr>
        <w:spacing w:after="0" w:line="240" w:lineRule="auto"/>
        <w:ind w:left="360"/>
        <w:rPr>
          <w:rFonts w:ascii="Times New Roman" w:hAnsi="Times New Roman" w:cs="Times New Roman"/>
          <w:sz w:val="24"/>
          <w:szCs w:val="24"/>
        </w:rPr>
      </w:pPr>
    </w:p>
    <w:p w14:paraId="5325F29C" w14:textId="77777777" w:rsidR="00DC65B8" w:rsidRDefault="00DC65B8" w:rsidP="00DC65B8">
      <w:pPr>
        <w:spacing w:after="240" w:line="240" w:lineRule="auto"/>
        <w:ind w:left="360"/>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 xml:space="preserve">The </w:t>
      </w:r>
      <w:r>
        <w:rPr>
          <w:rFonts w:ascii="Times New Roman" w:hAnsi="Times New Roman" w:cs="Times New Roman"/>
          <w:i/>
          <w:sz w:val="24"/>
          <w:szCs w:val="24"/>
        </w:rPr>
        <w:t>Single General Self-Rated Health Question (</w:t>
      </w:r>
      <w:proofErr w:type="spellStart"/>
      <w:r>
        <w:rPr>
          <w:rFonts w:ascii="Times New Roman" w:hAnsi="Times New Roman" w:cs="Times New Roman"/>
          <w:i/>
          <w:sz w:val="24"/>
          <w:szCs w:val="24"/>
        </w:rPr>
        <w:t>sGSRH</w:t>
      </w:r>
      <w:proofErr w:type="spellEnd"/>
      <w:r>
        <w:rPr>
          <w:rFonts w:ascii="Times New Roman" w:hAnsi="Times New Roman" w:cs="Times New Roman"/>
          <w:i/>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{"citationID":"Jqe1aKHa","properties":{"formattedCitation":"(DeSalvo et al., 2006)","plainCitation":"(DeSalvo et al., 2006)","noteIndex":0},"citationItems":[{"id":2386,"uris":["http://zotero.org/users/5440140/items/44WR4J6K"],"uri":["http://zotero.org/users/5440140/items/44WR4J6K"],"itemData":{"id":2386,"type":"article-journal","abstract":"Objective: Health planners and policy makers are increasingly asking for a feasible method to identify vulnerable persons with the greatest health needs. We conducted a systematic review of the association between a single item assessing general self-rated health (GSRH) and mortality. Data Sources: Systematic MEDLINE and EMBASE database searches for studies published from January 1966 to September 2003. Review Methods: Two investigators independently searched English language prospective, community-based cohort studies that reported (1) all-cause mortality, (2) a question assessing GSRH; and (3) an adjusted relative risk or equivalent. The investigators searched the citations to determine inclusion eligibility and abstracted data by following a standarized protocol. Of the 163 relevant studies identified, 22 cohorts met the inclusion criteria. Using a random effects model, compared with persons reporting “excellent” health status, the relative risk (95% confidence interval) for all-cause mortality was 1.23 [1.09, 1.39], 1.44 [1.21, 1.71], and 1.92 [1.64, 2.25] for those reporting “good,”“fair,” and “poor” health status, respectively. This relationship was robust in sensitivity analyses, limited to studies that adjusted for co-morbid illness, functional status, cognitive status, and depression, and across subgroups defined by gender and country of origin. Conclusions: Persons with “poor” self-rated health had a 2-fold higher mortality risk compared with persons with “excellent” self-rated health. Subjects' responses to a simple, single-item GSRH question maintained a strong association with mortality even after adjustment for key covariates such as functional status, depression, and co-morbidity.","container-title":"Journal of General Internal Medicine","DOI":"10.1111/j.1525-1497.2005.00291.x","ISSN":"1525-1497","issue":"3","journalAbbreviation":"J. Gen. Intern. Med.","page":"267-275","title":"Mortality Prediction with a Single General Self-Rated Health Question","volume":"21","author":[{"family":"DeSalvo","given":"Karen B."},{"family":"Bloser","given":"Nicole"},{"family":"Reynolds","given":"Kristi"},{"family":"He","given":"Jiang"},{"family":"Muntner","given":"Paul"}],"issued":{"date-parts":[["2006"]]}}}],"schema":"https://github.com/citation-style-language/schema/raw/master/csl-citation.json"}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(DeSalvo et al., 2006)</w:t>
      </w:r>
      <w:r>
        <w:rPr>
          <w:rFonts w:ascii="Times New Roman" w:hAnsi="Times New Roman" w:cs="Times New Roman"/>
          <w:sz w:val="24"/>
          <w:szCs w:val="24"/>
        </w:rPr>
        <w:fldChar w:fldCharType="end"/>
      </w:r>
      <w:r>
        <w:rPr>
          <w:rFonts w:ascii="Times New Roman" w:hAnsi="Times New Roman" w:cs="Times New Roman"/>
          <w:sz w:val="24"/>
          <w:szCs w:val="24"/>
        </w:rPr>
        <w:t xml:space="preserve"> is a single item subjective rating of a person’s overall health. Participants are asked, “In general, how would you rate your overall health?” which they rate as Poor, Fair, Good, Very good, or Excellent. Persons with “poor” self-rated health had a 2-fold higher mortality risk than persons with “excellent” self-rated health. Participants’ responses to a simple, single-item </w:t>
      </w:r>
      <w:proofErr w:type="spellStart"/>
      <w:r>
        <w:rPr>
          <w:rFonts w:ascii="Times New Roman" w:hAnsi="Times New Roman" w:cs="Times New Roman"/>
          <w:sz w:val="24"/>
          <w:szCs w:val="24"/>
        </w:rPr>
        <w:t>GSRH</w:t>
      </w:r>
      <w:proofErr w:type="spellEnd"/>
      <w:r>
        <w:rPr>
          <w:rFonts w:ascii="Times New Roman" w:hAnsi="Times New Roman" w:cs="Times New Roman"/>
          <w:sz w:val="24"/>
          <w:szCs w:val="24"/>
        </w:rPr>
        <w:t xml:space="preserve"> question maintained a strong association with mortality even after adjustment for key covariates such as functional status, depression, and comorbidity.</w:t>
      </w:r>
    </w:p>
    <w:p w14:paraId="71D92568" w14:textId="77777777" w:rsidR="00DC65B8" w:rsidRDefault="00DC65B8" w:rsidP="00DC65B8">
      <w:pPr>
        <w:spacing w:after="240"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Brief Five Inventory - 10 (BFI-10)</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{"citationID":"Ki4KuKDi","properties":{"formattedCitation":"(Rammstedt, 2007)","plainCitation":"(Rammstedt, 2007)","noteIndex":0},"citationItems":[{"id":4926,"uris":["http://zotero.org/users/5440140/items/H2L9KH8C"],"uri":["http://zotero.org/users/5440140/items/H2L9KH8C"],"itemData":{"id":4926,"type":"article-journal","container-title":"European Journal of Psychological Assessment","ISSN":"2151-2426","issue":"3","page":"193","title":"The 10-item Big Five Inventory: Norm values and investigation of sociodemographic effects based on a German population representative sample","volume":"23","author":[{"family":"Rammstedt","given":"Beatrice"}],"issued":{"date-parts":[["2007"]]}}}],"schema":"https://github.com/citation-style-language/schema/raw/master/csl-citation.json"}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w:t>
      </w:r>
      <w:proofErr w:type="spellStart"/>
      <w:r>
        <w:rPr>
          <w:rFonts w:ascii="Times New Roman" w:hAnsi="Times New Roman" w:cs="Times New Roman"/>
          <w:sz w:val="24"/>
          <w:szCs w:val="24"/>
        </w:rPr>
        <w:t>Rammstedt</w:t>
      </w:r>
      <w:proofErr w:type="spellEnd"/>
      <w:r>
        <w:rPr>
          <w:rFonts w:ascii="Times New Roman" w:hAnsi="Times New Roman" w:cs="Times New Roman"/>
          <w:sz w:val="24"/>
          <w:szCs w:val="24"/>
        </w:rPr>
        <w:t>, 2007)</w:t>
      </w:r>
      <w:r>
        <w:rPr>
          <w:rFonts w:ascii="Times New Roman" w:hAnsi="Times New Roman" w:cs="Times New Roman"/>
          <w:sz w:val="24"/>
          <w:szCs w:val="24"/>
        </w:rPr>
        <w:fldChar w:fldCharType="end"/>
      </w:r>
      <w:r>
        <w:rPr>
          <w:rFonts w:ascii="Times New Roman" w:hAnsi="Times New Roman" w:cs="Times New Roman"/>
          <w:sz w:val="24"/>
          <w:szCs w:val="24"/>
        </w:rPr>
        <w:t xml:space="preserve"> - The BFI-10 is a ten-item scale asking the participant to describe their personality on a rating scale of disagree strongly to agree strongly based on ten statements. These correspond to the big five personality characteristics of extraversion, agreeableness, conscientiousness, neuroticism, and openness with two items per subscale. After reverse scoring one item per subscale, item scores are averaged for subscale values. </w:t>
      </w:r>
      <w:r>
        <w:rPr>
          <w:rFonts w:ascii="Times New Roman" w:hAnsi="Times New Roman" w:cs="Times New Roman"/>
          <w:sz w:val="24"/>
          <w:szCs w:val="24"/>
          <w:highlight w:val="white"/>
        </w:rPr>
        <w:t xml:space="preserve">Overall, results indicate that the BFI-10 scales retain significant reliability and validity levels compared to the longer scales. </w:t>
      </w:r>
    </w:p>
    <w:p w14:paraId="327D05B6" w14:textId="77777777" w:rsidR="00DC65B8" w:rsidRDefault="00DC65B8" w:rsidP="00DC65B8">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Noetic Experience and Belief Scale (NEBS)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{"citationID":"An0qLOvm","properties":{"formattedCitation":"(Wahbeh et al., 2020)","plainCitation":"(Wahbeh et al., 2020)","noteIndex":0},"citationItems":[{"id":6396,"uris":["http://zotero.org/users/5440140/items/WNN4V7HZ"],"uri":["http://zotero.org/users/5440140/items/WNN4V7HZ"],"itemData":{"id":6396,"type":"article-journal","container-title":"F100Research","DOI":"https://doi.org/10.12688/f1000research.20409.2","issue":"1741","title":"The noetic belief and experience scale: validation and reliability study  [version 2; peer review: 1 approved with reservations].","volume":"8","author":[{"family":"Wahbeh","given":"H."},{"family":"Yount","given":"G."},{"family":"Delorme","given":"A."},{"family":"Vieten","given":"C."},{"family":"Radin","given":"D."}],"issued":{"date-parts":[["2020"]]}}}],"schema":"https://github.com/citation-style-language/schema/raw/master/csl-citation.json"} </w:instrText>
      </w:r>
      <w:r>
        <w:rPr>
          <w:rFonts w:ascii="Times New Roman" w:hAnsi="Times New Roman" w:cs="Times New Roman"/>
          <w:sz w:val="24"/>
          <w:szCs w:val="24"/>
        </w:rPr>
        <w:fldChar w:fldCharType="separate"/>
      </w:r>
      <w:r>
        <w:rPr>
          <w:rFonts w:ascii="Times New Roman" w:hAnsi="Times New Roman" w:cs="Times New Roman"/>
          <w:sz w:val="24"/>
          <w:szCs w:val="24"/>
        </w:rPr>
        <w:t>(</w:t>
      </w:r>
      <w:proofErr w:type="spellStart"/>
      <w:r>
        <w:rPr>
          <w:rFonts w:ascii="Times New Roman" w:hAnsi="Times New Roman" w:cs="Times New Roman"/>
          <w:sz w:val="24"/>
          <w:szCs w:val="24"/>
        </w:rPr>
        <w:t>Wahbeh</w:t>
      </w:r>
      <w:proofErr w:type="spellEnd"/>
      <w:r>
        <w:rPr>
          <w:rFonts w:ascii="Times New Roman" w:hAnsi="Times New Roman" w:cs="Times New Roman"/>
          <w:sz w:val="24"/>
          <w:szCs w:val="24"/>
        </w:rPr>
        <w:t xml:space="preserve"> et al., 2020)</w:t>
      </w:r>
      <w:r>
        <w:rPr>
          <w:rFonts w:ascii="Times New Roman" w:hAnsi="Times New Roman" w:cs="Times New Roman"/>
          <w:sz w:val="24"/>
          <w:szCs w:val="24"/>
        </w:rPr>
        <w:fldChar w:fldCharType="end"/>
      </w:r>
      <w:r>
        <w:rPr>
          <w:rFonts w:ascii="Times New Roman" w:hAnsi="Times New Roman" w:cs="Times New Roman"/>
          <w:sz w:val="24"/>
          <w:szCs w:val="24"/>
        </w:rPr>
        <w:t xml:space="preserve"> - The scale contains ten statements about the belief in intuition, non-local consciousness, extraterrestrials, precognition, life after death, contact with the dead, clairvoyance, psychokinesis, telepathy, and automatism, which the participant rates on a slider from Disagree Strongly (0) to Agree Strongly (100). For each item, participants also answer whether they have ever personally experienced the phenomenon on a slider scale from Never (0) to Always (100). The scale results in global scores for paranormal belief and paranormal experience by averaging the ten-items for each subscale (0-100). Item scores can also be used individually for scores on each specific category (0-100). The belief subscale Cronbach’s alpha = 0.90; Experience subscale Cronbach’s alpha of 0.93. The NEBS had high test-retest reliability for both the belief (</w:t>
      </w:r>
      <w:r>
        <w:rPr>
          <w:rFonts w:ascii="Times New Roman" w:hAnsi="Times New Roman" w:cs="Times New Roman"/>
          <w:i/>
          <w:sz w:val="24"/>
          <w:szCs w:val="24"/>
        </w:rPr>
        <w:t xml:space="preserve">r = </w:t>
      </w:r>
      <w:r>
        <w:rPr>
          <w:rFonts w:ascii="Times New Roman" w:hAnsi="Times New Roman" w:cs="Times New Roman"/>
          <w:sz w:val="24"/>
          <w:szCs w:val="24"/>
        </w:rPr>
        <w:t>0.83</w:t>
      </w:r>
      <w:r>
        <w:rPr>
          <w:rFonts w:ascii="Times New Roman" w:hAnsi="Times New Roman" w:cs="Times New Roman"/>
          <w:i/>
          <w:sz w:val="24"/>
          <w:szCs w:val="24"/>
        </w:rPr>
        <w:t xml:space="preserve">, p </w:t>
      </w:r>
      <w:r>
        <w:rPr>
          <w:rFonts w:ascii="Times New Roman" w:hAnsi="Times New Roman" w:cs="Times New Roman"/>
          <w:sz w:val="24"/>
          <w:szCs w:val="24"/>
        </w:rPr>
        <w:t>&lt;0.00005) and experience values (</w:t>
      </w:r>
      <w:r>
        <w:rPr>
          <w:rFonts w:ascii="Times New Roman" w:hAnsi="Times New Roman" w:cs="Times New Roman"/>
          <w:i/>
          <w:sz w:val="24"/>
          <w:szCs w:val="24"/>
        </w:rPr>
        <w:t xml:space="preserve">r = </w:t>
      </w:r>
      <w:r>
        <w:rPr>
          <w:rFonts w:ascii="Times New Roman" w:hAnsi="Times New Roman" w:cs="Times New Roman"/>
          <w:sz w:val="24"/>
          <w:szCs w:val="24"/>
        </w:rPr>
        <w:t>0.77</w:t>
      </w:r>
      <w:r>
        <w:rPr>
          <w:rFonts w:ascii="Times New Roman" w:hAnsi="Times New Roman" w:cs="Times New Roman"/>
          <w:i/>
          <w:sz w:val="24"/>
          <w:szCs w:val="24"/>
        </w:rPr>
        <w:t xml:space="preserve">, p </w:t>
      </w:r>
      <w:r>
        <w:rPr>
          <w:rFonts w:ascii="Times New Roman" w:hAnsi="Times New Roman" w:cs="Times New Roman"/>
          <w:sz w:val="24"/>
          <w:szCs w:val="24"/>
        </w:rPr>
        <w:t>&lt;0.00005).</w:t>
      </w:r>
    </w:p>
    <w:p w14:paraId="0150E592" w14:textId="77777777" w:rsidR="00DC65B8" w:rsidRDefault="00DC65B8" w:rsidP="00DC65B8">
      <w:pPr>
        <w:spacing w:after="0" w:line="240" w:lineRule="auto"/>
        <w:ind w:left="360"/>
        <w:rPr>
          <w:rFonts w:ascii="Times New Roman" w:hAnsi="Times New Roman" w:cs="Times New Roman"/>
          <w:sz w:val="24"/>
          <w:szCs w:val="24"/>
        </w:rPr>
      </w:pPr>
    </w:p>
    <w:p w14:paraId="1783CC56" w14:textId="77777777" w:rsidR="00DC65B8" w:rsidRDefault="00DC65B8" w:rsidP="00DC65B8">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Meditation practice</w:t>
      </w:r>
      <w:r>
        <w:rPr>
          <w:rFonts w:ascii="Times New Roman" w:hAnsi="Times New Roman" w:cs="Times New Roman"/>
          <w:sz w:val="24"/>
          <w:szCs w:val="24"/>
        </w:rPr>
        <w:t xml:space="preserve"> - Participants are also asked, “Do you meditate?” Answer choices are Yes or No. If yes, participants can answer how many minutes per day and how many years they have been meditating. </w:t>
      </w:r>
    </w:p>
    <w:p w14:paraId="3642BEDC" w14:textId="77777777" w:rsidR="00DC65B8" w:rsidRDefault="00DC65B8" w:rsidP="00DC65B8">
      <w:pPr>
        <w:rPr>
          <w:rFonts w:ascii="Times New Roman" w:hAnsi="Times New Roman" w:cs="Times New Roman"/>
          <w:sz w:val="24"/>
          <w:szCs w:val="24"/>
        </w:rPr>
      </w:pPr>
    </w:p>
    <w:p w14:paraId="39A0C511" w14:textId="77777777" w:rsidR="00DC65B8" w:rsidRDefault="00DC65B8" w:rsidP="00DC65B8">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Practice Categories </w:t>
      </w:r>
    </w:p>
    <w:p w14:paraId="67B4F5BD" w14:textId="77777777" w:rsidR="00DC65B8" w:rsidRDefault="00DC65B8" w:rsidP="00DC65B8">
      <w:pPr>
        <w:spacing w:after="0" w:line="240" w:lineRule="auto"/>
        <w:rPr>
          <w:rFonts w:ascii="Times New Roman" w:hAnsi="Times New Roman" w:cs="Times New Roman"/>
          <w:b/>
          <w:sz w:val="24"/>
          <w:szCs w:val="24"/>
        </w:rPr>
      </w:pPr>
    </w:p>
    <w:p w14:paraId="24444853" w14:textId="77777777" w:rsidR="00DC65B8" w:rsidRDefault="00DC65B8" w:rsidP="00DC65B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All workshop leaders are asked to rate their workshop format and content. </w:t>
      </w:r>
    </w:p>
    <w:p w14:paraId="6A976ADF" w14:textId="77777777" w:rsidR="00DC65B8" w:rsidRDefault="00DC65B8" w:rsidP="00DC65B8">
      <w:pPr>
        <w:spacing w:before="240" w:after="240" w:line="240" w:lineRule="auto"/>
        <w:ind w:left="360"/>
        <w:rPr>
          <w:rFonts w:ascii="Times New Roman" w:hAnsi="Times New Roman" w:cs="Times New Roman"/>
          <w:sz w:val="24"/>
          <w:szCs w:val="24"/>
        </w:rPr>
      </w:pPr>
      <w:r>
        <w:rPr>
          <w:rFonts w:ascii="Times New Roman" w:hAnsi="Times New Roman" w:cs="Times New Roman"/>
          <w:i/>
          <w:sz w:val="24"/>
          <w:szCs w:val="24"/>
        </w:rPr>
        <w:t xml:space="preserve">Format </w:t>
      </w:r>
      <w:r>
        <w:rPr>
          <w:rFonts w:ascii="Times New Roman" w:hAnsi="Times New Roman" w:cs="Times New Roman"/>
          <w:sz w:val="24"/>
          <w:szCs w:val="24"/>
        </w:rPr>
        <w:t xml:space="preserve">- “What is the general activity format of your workshop? Check all that apply” Answer choices: Lecture (didactic), small groups, paired, discussion, movement, outside/in nature. </w:t>
      </w:r>
    </w:p>
    <w:p w14:paraId="4DEBDB3B" w14:textId="77777777" w:rsidR="00DC65B8" w:rsidRDefault="00DC65B8" w:rsidP="00DC65B8">
      <w:pPr>
        <w:spacing w:after="0" w:line="240" w:lineRule="auto"/>
        <w:ind w:left="360"/>
        <w:rPr>
          <w:rFonts w:ascii="Times New Roman" w:hAnsi="Times New Roman" w:cs="Times New Roman"/>
          <w:sz w:val="24"/>
          <w:szCs w:val="24"/>
        </w:rPr>
      </w:pPr>
    </w:p>
    <w:p w14:paraId="6C4647B0" w14:textId="77777777" w:rsidR="00DC65B8" w:rsidRDefault="00DC65B8" w:rsidP="00DC65B8">
      <w:pPr>
        <w:spacing w:after="0" w:line="240" w:lineRule="auto"/>
        <w:ind w:left="360"/>
        <w:rPr>
          <w:rFonts w:ascii="Times New Roman" w:hAnsi="Times New Roman" w:cs="Times New Roman"/>
          <w:sz w:val="24"/>
          <w:szCs w:val="24"/>
        </w:rPr>
      </w:pPr>
      <w:r>
        <w:rPr>
          <w:rFonts w:ascii="Times New Roman" w:hAnsi="Times New Roman" w:cs="Times New Roman"/>
          <w:i/>
          <w:sz w:val="24"/>
          <w:szCs w:val="24"/>
        </w:rPr>
        <w:t>Content</w:t>
      </w:r>
      <w:r>
        <w:rPr>
          <w:rFonts w:ascii="Times New Roman" w:hAnsi="Times New Roman" w:cs="Times New Roman"/>
          <w:sz w:val="24"/>
          <w:szCs w:val="24"/>
        </w:rPr>
        <w:t xml:space="preserve"> -All workshop leaders were asked to rate their workshop content. “The following is a list of categories of noetic practices, including examples of individual practices that may be classified within that category. The examples are not extensive -- there may be additional examples of practices that could be included within each category. The categories are not exclusive -- individual practices may fall into multiple categories. Select ALL the categories of practice that are explored in your workshop.” Answer choices:</w:t>
      </w:r>
    </w:p>
    <w:p w14:paraId="5F39224C"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Altered States of Consciousness (Invoking theta/delta, hypnosis, psychedelics)</w:t>
      </w:r>
    </w:p>
    <w:p w14:paraId="2DE5A516"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Arts &amp; Creativity (Expressive and materials arts, writing, music)</w:t>
      </w:r>
    </w:p>
    <w:p w14:paraId="5DFB10E9"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Death, Dying &amp; Beyond (Channeling, mediumship with the deceased, grief work)</w:t>
      </w:r>
    </w:p>
    <w:p w14:paraId="03C4A546"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Dreamwork (Lucid dreaming, dream interpretation, intentional dreaming, Tibetan Dream Yoga)</w:t>
      </w:r>
    </w:p>
    <w:p w14:paraId="2A050DC0"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Embodied practices (Yoga, Tai Chi, 5-senses, 5-rhythms, authentic movement, somatic modalities)</w:t>
      </w:r>
    </w:p>
    <w:p w14:paraId="1EED55BE"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Health &amp; Healing (Subtle energy healing, biofield, diagnostic practices, mindful/intuitive eating, chakra work, mind-body medicine practices)</w:t>
      </w:r>
    </w:p>
    <w:p w14:paraId="11FF2F72"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Intention (Vision boards, manifesting processes, positive affirmations, intention-setting)</w:t>
      </w:r>
    </w:p>
    <w:p w14:paraId="05CBDE97"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Intuition (Inner knowing, divination, sixth sense)</w:t>
      </w:r>
    </w:p>
    <w:p w14:paraId="792706D7"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Meditation/Contemplation (Mindfulness, guided meditation, visualization, mantras, expressive meditation, walking meditation)</w:t>
      </w:r>
    </w:p>
    <w:p w14:paraId="693E6AF3"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Nature practices (Working with elements, nature baths, vision quests, animal communication)</w:t>
      </w:r>
    </w:p>
    <w:p w14:paraId="1A99EE6E"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PSI/Parapsychology (Clairvoyance, clairaudience, clairsentience, remote viewing, psychokinesis, precognition, channeling/mediumship, quantum phenomena)</w:t>
      </w:r>
    </w:p>
    <w:p w14:paraId="1E5CB8FF"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Positive Psychology Practices (Gratitude, altruism, awe, affirmations, compassion)</w:t>
      </w:r>
    </w:p>
    <w:p w14:paraId="6631C99A"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Sound/Aural Practices (Sound baths, singing bowls, kirtan, raga, sound as creator, music)</w:t>
      </w:r>
    </w:p>
    <w:p w14:paraId="1F101747"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Spirituality (Prayer, ritual, invocation, chanting, religious practices)</w:t>
      </w:r>
    </w:p>
    <w:p w14:paraId="4759BBB6" w14:textId="77777777" w:rsidR="00DC65B8" w:rsidRDefault="00DC65B8" w:rsidP="00DC65B8">
      <w:pPr>
        <w:numPr>
          <w:ilvl w:val="0"/>
          <w:numId w:val="1"/>
        </w:numPr>
        <w:spacing w:after="0" w:line="240" w:lineRule="auto"/>
        <w:rPr>
          <w:rFonts w:ascii="Times New Roman" w:hAnsi="Times New Roman" w:cs="Times New Roman"/>
          <w:sz w:val="24"/>
          <w:szCs w:val="24"/>
          <w:highlight w:val="white"/>
        </w:rPr>
      </w:pPr>
      <w:r>
        <w:rPr>
          <w:rFonts w:ascii="Times New Roman" w:hAnsi="Times New Roman" w:cs="Times New Roman"/>
          <w:sz w:val="24"/>
          <w:szCs w:val="24"/>
          <w:highlight w:val="white"/>
        </w:rPr>
        <w:t xml:space="preserve">Technology Tools (Brain entrainment, AI (e.g., loving AI robot), light/sound machines, biofeedback tools, </w:t>
      </w:r>
      <w:proofErr w:type="spellStart"/>
      <w:r>
        <w:rPr>
          <w:rFonts w:ascii="Times New Roman" w:hAnsi="Times New Roman" w:cs="Times New Roman"/>
          <w:sz w:val="24"/>
          <w:szCs w:val="24"/>
          <w:highlight w:val="white"/>
        </w:rPr>
        <w:t>HeartMath</w:t>
      </w:r>
      <w:proofErr w:type="spellEnd"/>
      <w:r>
        <w:rPr>
          <w:rFonts w:ascii="Times New Roman" w:hAnsi="Times New Roman" w:cs="Times New Roman"/>
          <w:sz w:val="24"/>
          <w:szCs w:val="24"/>
          <w:highlight w:val="white"/>
        </w:rPr>
        <w:t>)</w:t>
      </w:r>
    </w:p>
    <w:p w14:paraId="58830271" w14:textId="77777777" w:rsidR="00DC65B8" w:rsidRDefault="00DC65B8" w:rsidP="00DC65B8">
      <w:pPr>
        <w:spacing w:after="0" w:line="240" w:lineRule="auto"/>
        <w:rPr>
          <w:rFonts w:ascii="Times New Roman" w:hAnsi="Times New Roman" w:cs="Times New Roman"/>
          <w:sz w:val="24"/>
          <w:szCs w:val="24"/>
          <w:highlight w:val="white"/>
        </w:rPr>
        <w:sectPr w:rsidR="00DC65B8">
          <w:pgSz w:w="12240" w:h="15840"/>
          <w:pgMar w:top="1440" w:right="1440" w:bottom="1440" w:left="1440" w:header="720" w:footer="720" w:gutter="0"/>
          <w:cols w:space="720"/>
        </w:sectPr>
      </w:pPr>
    </w:p>
    <w:p w14:paraId="35019446" w14:textId="77777777" w:rsidR="00DC65B8" w:rsidRDefault="00DC65B8" w:rsidP="00DC65B8">
      <w:pPr>
        <w:spacing w:after="0" w:line="240" w:lineRule="auto"/>
        <w:rPr>
          <w:rFonts w:ascii="Times New Roman" w:hAnsi="Times New Roman" w:cs="Times New Roman"/>
          <w:sz w:val="24"/>
          <w:szCs w:val="24"/>
          <w:highlight w:val="white"/>
        </w:rPr>
        <w:sectPr w:rsidR="00DC65B8">
          <w:type w:val="continuous"/>
          <w:pgSz w:w="12240" w:h="15840"/>
          <w:pgMar w:top="1440" w:right="1440" w:bottom="1440" w:left="1440" w:header="720" w:footer="720" w:gutter="0"/>
          <w:cols w:space="720"/>
        </w:sectPr>
      </w:pPr>
    </w:p>
    <w:p w14:paraId="18A21880" w14:textId="4E943458" w:rsidR="00DC65B8" w:rsidRDefault="00DC65B8" w:rsidP="00DC65B8">
      <w:pPr>
        <w:spacing w:after="0" w:line="240" w:lineRule="auto"/>
        <w:rPr>
          <w:rFonts w:ascii="Times New Roman" w:hAnsi="Times New Roman" w:cs="Times New Roman"/>
          <w:sz w:val="24"/>
          <w:szCs w:val="24"/>
          <w:highlight w:val="white"/>
        </w:rPr>
      </w:pPr>
      <w:r>
        <w:rPr>
          <w:rFonts w:ascii="Times New Roman" w:hAnsi="Times New Roman" w:cs="Times New Roman"/>
          <w:noProof/>
        </w:rPr>
        <w:lastRenderedPageBreak/>
        <w:drawing>
          <wp:inline distT="0" distB="0" distL="0" distR="0" wp14:anchorId="6D7939E9" wp14:editId="03863462">
            <wp:extent cx="5943600" cy="45523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552315"/>
                    </a:xfrm>
                    <a:prstGeom prst="rect">
                      <a:avLst/>
                    </a:prstGeom>
                    <a:noFill/>
                    <a:ln>
                      <a:noFill/>
                    </a:ln>
                  </pic:spPr>
                </pic:pic>
              </a:graphicData>
            </a:graphic>
          </wp:inline>
        </w:drawing>
      </w:r>
    </w:p>
    <w:p w14:paraId="07883E37" w14:textId="0669A62C" w:rsidR="00BB7B29" w:rsidRDefault="00BB7B29" w:rsidP="00DC65B8"/>
    <w:sectPr w:rsidR="00BB7B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852331"/>
    <w:multiLevelType w:val="multilevel"/>
    <w:tmpl w:val="7F8A6320"/>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5B8"/>
    <w:rsid w:val="00BB7B29"/>
    <w:rsid w:val="00DC6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7751A"/>
  <w15:chartTrackingRefBased/>
  <w15:docId w15:val="{AA48A040-5AFC-403C-9D62-9479DCF2B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5B8"/>
    <w:pPr>
      <w:spacing w:line="25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qFormat/>
    <w:rsid w:val="00DC65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C65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5758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6883</Words>
  <Characters>39235</Characters>
  <Application>Microsoft Office Word</Application>
  <DocSecurity>0</DocSecurity>
  <Lines>326</Lines>
  <Paragraphs>92</Paragraphs>
  <ScaleCrop>false</ScaleCrop>
  <Company/>
  <LinksUpToDate>false</LinksUpToDate>
  <CharactersWithSpaces>46026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2021-03-09T14:27:00Z</dcterms:created>
  <dcterms:modified xsi:type="dcterms:W3CDTF">2021-03-09T14:28:00Z</dcterms:modified>
</cp:coreProperties>
</file>