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08911035" w14:textId="77777777" w:rsidR="00FC2CE0" w:rsidRPr="006A46C2" w:rsidRDefault="00FC2CE0" w:rsidP="00FC2CE0">
      <w:pPr>
        <w:jc w:val="both"/>
        <w:rPr>
          <w:b/>
          <w:bCs/>
        </w:rPr>
      </w:pPr>
      <w:r w:rsidRPr="007F2468">
        <w:rPr>
          <w:b/>
          <w:bCs/>
        </w:rPr>
        <w:t>Extended</w:t>
      </w:r>
      <w:r w:rsidRPr="006A46C2" w:rsidDel="00A75458">
        <w:rPr>
          <w:b/>
          <w:bCs/>
        </w:rPr>
        <w:t xml:space="preserve"> </w:t>
      </w:r>
      <w:r>
        <w:rPr>
          <w:b/>
          <w:bCs/>
        </w:rPr>
        <w:t>Fig.</w:t>
      </w:r>
      <w:r w:rsidRPr="006A46C2" w:rsidDel="00A825A2">
        <w:rPr>
          <w:b/>
          <w:bCs/>
        </w:rPr>
        <w:t xml:space="preserve"> </w:t>
      </w:r>
      <w:r>
        <w:rPr>
          <w:b/>
          <w:bCs/>
        </w:rPr>
        <w:t>1 |</w:t>
      </w:r>
      <w:r w:rsidRPr="006A46C2">
        <w:rPr>
          <w:b/>
          <w:bCs/>
        </w:rPr>
        <w:t xml:space="preserve"> Ethological analyses of social behavio</w:t>
      </w:r>
      <w:r>
        <w:rPr>
          <w:b/>
          <w:bCs/>
        </w:rPr>
        <w:t>u</w:t>
      </w:r>
      <w:r w:rsidRPr="006A46C2">
        <w:rPr>
          <w:b/>
          <w:bCs/>
        </w:rPr>
        <w:t>r in AGG and NON mice</w:t>
      </w:r>
      <w:r>
        <w:rPr>
          <w:b/>
          <w:bCs/>
        </w:rPr>
        <w:t>.</w:t>
      </w:r>
    </w:p>
    <w:p w14:paraId="402766B8" w14:textId="77777777" w:rsidR="00FC2CE0" w:rsidRPr="00BF683D" w:rsidRDefault="00FC2CE0" w:rsidP="00FC2CE0">
      <w:pPr>
        <w:jc w:val="both"/>
      </w:pPr>
      <w:r w:rsidRPr="00611F3D">
        <w:rPr>
          <w:b/>
          <w:bCs/>
        </w:rPr>
        <w:t>a-c</w:t>
      </w:r>
      <w:r>
        <w:t>, Females engage in more facial investigation than males (main effect of sex: F</w:t>
      </w:r>
      <w:r>
        <w:rPr>
          <w:vertAlign w:val="subscript"/>
        </w:rPr>
        <w:t xml:space="preserve">(1,45) </w:t>
      </w:r>
      <w:r>
        <w:t xml:space="preserve">= 10.17, </w:t>
      </w:r>
      <w:r w:rsidRPr="00611F3D">
        <w:rPr>
          <w:i/>
          <w:iCs/>
        </w:rPr>
        <w:t>p</w:t>
      </w:r>
      <w:r>
        <w:t xml:space="preserve"> = 0.0024; female AGG vs male AGG: </w:t>
      </w:r>
      <w:r w:rsidRPr="00611F3D">
        <w:rPr>
          <w:i/>
          <w:iCs/>
        </w:rPr>
        <w:t>p</w:t>
      </w:r>
      <w:r>
        <w:t xml:space="preserve"> = 0.0008, female NON vs male AGG: </w:t>
      </w:r>
      <w:r w:rsidRPr="00611F3D">
        <w:rPr>
          <w:i/>
          <w:iCs/>
        </w:rPr>
        <w:t>p</w:t>
      </w:r>
      <w:r>
        <w:t xml:space="preserve"> = 0.0104; Tukey’s post-hoc, </w:t>
      </w:r>
      <w:r w:rsidRPr="00611F3D">
        <w:rPr>
          <w:b/>
          <w:bCs/>
        </w:rPr>
        <w:t>a</w:t>
      </w:r>
      <w:r>
        <w:t>), males engaged in more flank investigation (main effect of sex : F</w:t>
      </w:r>
      <w:r>
        <w:rPr>
          <w:vertAlign w:val="subscript"/>
        </w:rPr>
        <w:t xml:space="preserve">(1,45) </w:t>
      </w:r>
      <w:r>
        <w:t xml:space="preserve">= 4.775, </w:t>
      </w:r>
      <w:r w:rsidRPr="00611F3D">
        <w:rPr>
          <w:i/>
          <w:iCs/>
        </w:rPr>
        <w:t>p</w:t>
      </w:r>
      <w:r>
        <w:t xml:space="preserve"> = 0.0341, </w:t>
      </w:r>
      <w:r>
        <w:rPr>
          <w:b/>
          <w:bCs/>
        </w:rPr>
        <w:t>b)</w:t>
      </w:r>
      <w:r>
        <w:rPr>
          <w:bCs/>
        </w:rPr>
        <w:t>,</w:t>
      </w:r>
      <w:r>
        <w:t xml:space="preserve"> there were no differences in anogenital investigation (sex x phenotype interaction: F</w:t>
      </w:r>
      <w:r>
        <w:rPr>
          <w:vertAlign w:val="subscript"/>
        </w:rPr>
        <w:t xml:space="preserve">(1,45) </w:t>
      </w:r>
      <w:r>
        <w:t xml:space="preserve">= .5178, </w:t>
      </w:r>
      <w:r w:rsidRPr="00611F3D">
        <w:rPr>
          <w:i/>
          <w:iCs/>
        </w:rPr>
        <w:t>p</w:t>
      </w:r>
      <w:r>
        <w:t xml:space="preserve"> = 0.4755, </w:t>
      </w:r>
      <w:r w:rsidRPr="008254B4">
        <w:rPr>
          <w:b/>
          <w:iCs/>
        </w:rPr>
        <w:t>c</w:t>
      </w:r>
      <w:r>
        <w:t xml:space="preserve">). </w:t>
      </w:r>
      <w:r w:rsidRPr="00611F3D">
        <w:rPr>
          <w:b/>
          <w:bCs/>
        </w:rPr>
        <w:t>d-f</w:t>
      </w:r>
      <w:r>
        <w:t>. Females delivered slightly more bites (t</w:t>
      </w:r>
      <w:r>
        <w:rPr>
          <w:vertAlign w:val="subscript"/>
        </w:rPr>
        <w:t xml:space="preserve">(25) </w:t>
      </w:r>
      <w:r>
        <w:t xml:space="preserve">= 1.808, </w:t>
      </w:r>
      <w:r w:rsidRPr="00611F3D">
        <w:rPr>
          <w:i/>
          <w:iCs/>
        </w:rPr>
        <w:t>p</w:t>
      </w:r>
      <w:r>
        <w:t xml:space="preserve"> = 0.0827, </w:t>
      </w:r>
      <w:r w:rsidRPr="00611F3D">
        <w:rPr>
          <w:b/>
          <w:bCs/>
        </w:rPr>
        <w:t>d</w:t>
      </w:r>
      <w:r>
        <w:t>) and males engage in more wrestling behaviour (t</w:t>
      </w:r>
      <w:r>
        <w:rPr>
          <w:vertAlign w:val="subscript"/>
        </w:rPr>
        <w:t xml:space="preserve">(25) </w:t>
      </w:r>
      <w:r>
        <w:t xml:space="preserve">= 2.203, </w:t>
      </w:r>
      <w:r w:rsidRPr="00611F3D">
        <w:rPr>
          <w:i/>
          <w:iCs/>
        </w:rPr>
        <w:t>p</w:t>
      </w:r>
      <w:r>
        <w:t xml:space="preserve"> = 0.0371, </w:t>
      </w:r>
      <w:r w:rsidRPr="00611F3D">
        <w:rPr>
          <w:b/>
          <w:bCs/>
        </w:rPr>
        <w:t>e</w:t>
      </w:r>
      <w:r>
        <w:t>) with no differences in the number of kicks delivered (t</w:t>
      </w:r>
      <w:r>
        <w:rPr>
          <w:vertAlign w:val="subscript"/>
        </w:rPr>
        <w:t xml:space="preserve">(25) </w:t>
      </w:r>
      <w:r>
        <w:t xml:space="preserve">= 0.09111, </w:t>
      </w:r>
      <w:r w:rsidRPr="00611F3D">
        <w:rPr>
          <w:i/>
          <w:iCs/>
        </w:rPr>
        <w:t>p</w:t>
      </w:r>
      <w:r>
        <w:t xml:space="preserve"> = 0.9281, </w:t>
      </w:r>
      <w:r w:rsidRPr="00611F3D">
        <w:rPr>
          <w:b/>
          <w:bCs/>
        </w:rPr>
        <w:t>f</w:t>
      </w:r>
      <w:r>
        <w:t>). n = 13 (Male AGG), 14 (Female AGG), 11 Male NON), 11 (Female NON).</w:t>
      </w:r>
    </w:p>
    <w:p w14:paraId="429C73CA" w14:textId="77777777" w:rsidR="00FC2CE0" w:rsidRDefault="00FC2CE0" w:rsidP="00FC2CE0">
      <w:pPr>
        <w:jc w:val="both"/>
      </w:pPr>
      <w:r w:rsidRPr="007F2468">
        <w:rPr>
          <w:b/>
          <w:bCs/>
        </w:rPr>
        <w:t>Extended</w:t>
      </w:r>
      <w:r w:rsidRPr="006A46C2" w:rsidDel="00A75458">
        <w:rPr>
          <w:b/>
          <w:bCs/>
        </w:rPr>
        <w:t xml:space="preserve"> </w:t>
      </w:r>
      <w:r>
        <w:rPr>
          <w:b/>
          <w:bCs/>
        </w:rPr>
        <w:t>Fig.2 |</w:t>
      </w:r>
      <w:r w:rsidRPr="006A46C2">
        <w:rPr>
          <w:b/>
          <w:bCs/>
        </w:rPr>
        <w:t xml:space="preserve"> Regional c</w:t>
      </w:r>
      <w:r>
        <w:rPr>
          <w:b/>
          <w:bCs/>
        </w:rPr>
        <w:t>F</w:t>
      </w:r>
      <w:r w:rsidRPr="006A46C2">
        <w:rPr>
          <w:b/>
          <w:bCs/>
        </w:rPr>
        <w:t>os expression differences between female and male AGGs and preservation analysis.</w:t>
      </w:r>
    </w:p>
    <w:p w14:paraId="0712E926" w14:textId="77777777" w:rsidR="00FC2CE0" w:rsidRDefault="00FC2CE0" w:rsidP="00FC2CE0">
      <w:pPr>
        <w:jc w:val="both"/>
      </w:pPr>
      <w:r w:rsidRPr="00CB2434">
        <w:t xml:space="preserve"> </w:t>
      </w:r>
      <w:r w:rsidRPr="00A031D3">
        <w:rPr>
          <w:b/>
          <w:bCs/>
        </w:rPr>
        <w:t>a-c</w:t>
      </w:r>
      <w:r>
        <w:t>,</w:t>
      </w:r>
      <w:r w:rsidRPr="00CB2434">
        <w:t xml:space="preserve"> Summed </w:t>
      </w:r>
      <w:r>
        <w:t>z-</w:t>
      </w:r>
      <w:r w:rsidRPr="00CB2434">
        <w:t>scores for density and connectivity measures in all modules. Each colo</w:t>
      </w:r>
      <w:r>
        <w:t>u</w:t>
      </w:r>
      <w:r w:rsidRPr="00CB2434">
        <w:t xml:space="preserve">red circle corresponds to a module </w:t>
      </w:r>
      <w:r>
        <w:t>(</w:t>
      </w:r>
      <w:r w:rsidRPr="008254B4">
        <w:rPr>
          <w:b/>
        </w:rPr>
        <w:t>a</w:t>
      </w:r>
      <w:r>
        <w:rPr>
          <w:b/>
        </w:rPr>
        <w:t>)</w:t>
      </w:r>
      <w:r>
        <w:t>,</w:t>
      </w:r>
      <w:r w:rsidRPr="00CB2434">
        <w:t xml:space="preserve"> Z</w:t>
      </w:r>
      <w:r>
        <w:t>-</w:t>
      </w:r>
      <w:r w:rsidRPr="00CB2434">
        <w:t>statistics for connectivity (</w:t>
      </w:r>
      <w:r w:rsidRPr="00611F3D">
        <w:rPr>
          <w:b/>
          <w:bCs/>
        </w:rPr>
        <w:t>b</w:t>
      </w:r>
      <w:r w:rsidRPr="00CB2434">
        <w:t>) and density measures for each module</w:t>
      </w:r>
      <w:r>
        <w:t xml:space="preserve"> (</w:t>
      </w:r>
      <w:r w:rsidRPr="00611F3D">
        <w:rPr>
          <w:b/>
          <w:bCs/>
        </w:rPr>
        <w:t>c</w:t>
      </w:r>
      <w:r>
        <w:t>)</w:t>
      </w:r>
      <w:r w:rsidRPr="00CB2434">
        <w:t xml:space="preserve">. </w:t>
      </w:r>
      <w:r w:rsidRPr="008357F8">
        <w:t>See table 2</w:t>
      </w:r>
      <w:r w:rsidRPr="00CB2434">
        <w:t xml:space="preserve"> for detailed descriptions of z-statistics.</w:t>
      </w:r>
      <w:r>
        <w:t xml:space="preserve"> </w:t>
      </w:r>
      <w:r>
        <w:rPr>
          <w:b/>
          <w:bCs/>
        </w:rPr>
        <w:t>d</w:t>
      </w:r>
      <w:r>
        <w:t xml:space="preserve">. </w:t>
      </w:r>
      <w:r w:rsidRPr="00CB2434">
        <w:t>Heatmap of whole brain c-</w:t>
      </w:r>
      <w:r>
        <w:t>F</w:t>
      </w:r>
      <w:r w:rsidRPr="00CB2434">
        <w:t xml:space="preserve">os differences between male AGG vs. NON and female AGG vs. NON comparisons. </w:t>
      </w:r>
      <w:r>
        <w:rPr>
          <w:b/>
          <w:bCs/>
        </w:rPr>
        <w:t>e</w:t>
      </w:r>
      <w:r w:rsidRPr="00611F3D">
        <w:rPr>
          <w:b/>
          <w:bCs/>
        </w:rPr>
        <w:t>-</w:t>
      </w:r>
      <w:r>
        <w:rPr>
          <w:b/>
          <w:bCs/>
        </w:rPr>
        <w:t>f</w:t>
      </w:r>
      <w:r>
        <w:t>,</w:t>
      </w:r>
      <w:r w:rsidRPr="00CB2434">
        <w:t xml:space="preserve"> Top 20 regions with the largest c</w:t>
      </w:r>
      <w:r>
        <w:t>-F</w:t>
      </w:r>
      <w:r w:rsidRPr="00CB2434">
        <w:t>os expression differences in males (</w:t>
      </w:r>
      <w:r>
        <w:rPr>
          <w:b/>
          <w:bCs/>
        </w:rPr>
        <w:t>e</w:t>
      </w:r>
      <w:r w:rsidRPr="00CB2434">
        <w:t>) and females (</w:t>
      </w:r>
      <w:r>
        <w:rPr>
          <w:b/>
          <w:bCs/>
        </w:rPr>
        <w:t>f</w:t>
      </w:r>
      <w:r w:rsidRPr="008357F8">
        <w:t>). See table 3 for</w:t>
      </w:r>
      <w:r w:rsidRPr="00CB2434">
        <w:t xml:space="preserve"> statistics.  </w:t>
      </w:r>
      <w:r>
        <w:t>n = 13 (Male AGG), 14 (Female AGG), 11 Male NON), 11 (Female NON).</w:t>
      </w:r>
    </w:p>
    <w:p w14:paraId="7B870555" w14:textId="77777777" w:rsidR="00FC2CE0" w:rsidRDefault="00FC2CE0" w:rsidP="00FC2CE0">
      <w:pPr>
        <w:jc w:val="both"/>
      </w:pPr>
    </w:p>
    <w:p w14:paraId="05E4865E" w14:textId="77777777" w:rsidR="00FC2CE0" w:rsidRPr="00E91861" w:rsidRDefault="00FC2CE0" w:rsidP="00FC2CE0">
      <w:pPr>
        <w:jc w:val="both"/>
        <w:rPr>
          <w:b/>
          <w:bCs/>
        </w:rPr>
      </w:pPr>
      <w:r w:rsidRPr="007F2468">
        <w:rPr>
          <w:b/>
          <w:bCs/>
        </w:rPr>
        <w:t>Extended</w:t>
      </w:r>
      <w:r>
        <w:rPr>
          <w:b/>
          <w:bCs/>
        </w:rPr>
        <w:t xml:space="preserve"> Fig.</w:t>
      </w:r>
      <w:r w:rsidRPr="006A46C2" w:rsidDel="00A825A2">
        <w:rPr>
          <w:b/>
          <w:bCs/>
        </w:rPr>
        <w:t xml:space="preserve"> </w:t>
      </w:r>
      <w:r>
        <w:rPr>
          <w:b/>
          <w:bCs/>
        </w:rPr>
        <w:t>3 |</w:t>
      </w:r>
      <w:r w:rsidRPr="006A46C2">
        <w:rPr>
          <w:b/>
          <w:bCs/>
        </w:rPr>
        <w:t xml:space="preserve"> </w:t>
      </w:r>
      <w:r w:rsidRPr="00E91861">
        <w:rPr>
          <w:b/>
          <w:bCs/>
        </w:rPr>
        <w:t>Cellular phenotyping of c-</w:t>
      </w:r>
      <w:r>
        <w:rPr>
          <w:b/>
          <w:bCs/>
        </w:rPr>
        <w:t>F</w:t>
      </w:r>
      <w:r w:rsidRPr="00E91861">
        <w:rPr>
          <w:b/>
          <w:bCs/>
        </w:rPr>
        <w:t>os</w:t>
      </w:r>
      <w:r w:rsidRPr="00E91861">
        <w:rPr>
          <w:b/>
          <w:bCs/>
          <w:vertAlign w:val="superscript"/>
        </w:rPr>
        <w:t>+</w:t>
      </w:r>
      <w:r w:rsidRPr="00E91861">
        <w:rPr>
          <w:b/>
          <w:bCs/>
        </w:rPr>
        <w:t xml:space="preserve"> cells in </w:t>
      </w:r>
      <w:r>
        <w:rPr>
          <w:b/>
          <w:bCs/>
        </w:rPr>
        <w:t xml:space="preserve">the </w:t>
      </w:r>
      <w:r w:rsidRPr="00E91861">
        <w:rPr>
          <w:b/>
          <w:bCs/>
        </w:rPr>
        <w:t>COApl.</w:t>
      </w:r>
    </w:p>
    <w:p w14:paraId="2B037A9F" w14:textId="77777777" w:rsidR="00FC2CE0" w:rsidRPr="00CB2434" w:rsidRDefault="00FC2CE0" w:rsidP="00FC2CE0">
      <w:pPr>
        <w:jc w:val="both"/>
      </w:pPr>
      <w:r>
        <w:rPr>
          <w:b/>
          <w:bCs/>
        </w:rPr>
        <w:t xml:space="preserve">a, </w:t>
      </w:r>
      <w:r>
        <w:t>C-fos positive cells in the COAp of males. There was a significant effect of region (F</w:t>
      </w:r>
      <w:r w:rsidRPr="00E91861">
        <w:rPr>
          <w:vertAlign w:val="subscript"/>
        </w:rPr>
        <w:t>(1,</w:t>
      </w:r>
      <w:r>
        <w:rPr>
          <w:vertAlign w:val="subscript"/>
        </w:rPr>
        <w:t>22</w:t>
      </w:r>
      <w:r w:rsidRPr="00E91861">
        <w:rPr>
          <w:vertAlign w:val="subscript"/>
        </w:rPr>
        <w:t>)</w:t>
      </w:r>
      <w:r>
        <w:rPr>
          <w:vertAlign w:val="subscript"/>
        </w:rPr>
        <w:t xml:space="preserve"> </w:t>
      </w:r>
      <w:r>
        <w:t>= 1.739, p = 0.0486). Post-hoc tests revealed that male AGGs had an increase of  C-fos positive cells</w:t>
      </w:r>
      <w:r>
        <w:rPr>
          <w:b/>
          <w:bCs/>
        </w:rPr>
        <w:t xml:space="preserve"> </w:t>
      </w:r>
      <w:r>
        <w:t xml:space="preserve">in the lateral portion of the COAp compared to the medial portion (p = 0.0298). </w:t>
      </w:r>
      <w:r>
        <w:rPr>
          <w:b/>
          <w:bCs/>
        </w:rPr>
        <w:t>b</w:t>
      </w:r>
      <w:r w:rsidRPr="00611F3D">
        <w:rPr>
          <w:b/>
          <w:bCs/>
        </w:rPr>
        <w:t>-</w:t>
      </w:r>
      <w:r>
        <w:rPr>
          <w:b/>
          <w:bCs/>
        </w:rPr>
        <w:t>e</w:t>
      </w:r>
      <w:r>
        <w:t xml:space="preserve">, There were no group differences in the total amount of </w:t>
      </w:r>
      <w:r w:rsidRPr="00611F3D">
        <w:rPr>
          <w:i/>
          <w:iCs/>
        </w:rPr>
        <w:t>Esr</w:t>
      </w:r>
      <w:r w:rsidRPr="008254B4">
        <w:rPr>
          <w:i/>
        </w:rPr>
        <w:t>1</w:t>
      </w:r>
      <w:r w:rsidRPr="008254B4">
        <w:rPr>
          <w:vertAlign w:val="superscript"/>
        </w:rPr>
        <w:t>+</w:t>
      </w:r>
      <w:r>
        <w:t xml:space="preserve"> cells (sex × phenotype interaction: F</w:t>
      </w:r>
      <w:r w:rsidRPr="00E91861">
        <w:rPr>
          <w:vertAlign w:val="subscript"/>
        </w:rPr>
        <w:t>(1,16)</w:t>
      </w:r>
      <w:r>
        <w:rPr>
          <w:vertAlign w:val="subscript"/>
        </w:rPr>
        <w:t xml:space="preserve"> </w:t>
      </w:r>
      <w:r>
        <w:t xml:space="preserve">= 0.00007753, </w:t>
      </w:r>
      <w:r w:rsidRPr="00611F3D">
        <w:rPr>
          <w:i/>
          <w:iCs/>
        </w:rPr>
        <w:t>p</w:t>
      </w:r>
      <w:r>
        <w:t xml:space="preserve"> = 0.9781, </w:t>
      </w:r>
      <w:r>
        <w:rPr>
          <w:b/>
          <w:bCs/>
        </w:rPr>
        <w:t>b</w:t>
      </w:r>
      <w:r w:rsidRPr="008254B4">
        <w:rPr>
          <w:bCs/>
        </w:rPr>
        <w:t>)</w:t>
      </w:r>
      <w:r>
        <w:rPr>
          <w:bCs/>
        </w:rPr>
        <w:t>,</w:t>
      </w:r>
      <w:r>
        <w:t xml:space="preserve"> the number of </w:t>
      </w:r>
      <w:r w:rsidRPr="00611F3D">
        <w:rPr>
          <w:i/>
          <w:iCs/>
        </w:rPr>
        <w:t>Esr</w:t>
      </w:r>
      <w:r>
        <w:t xml:space="preserve">1 cells which express </w:t>
      </w:r>
      <w:r w:rsidRPr="008254B4">
        <w:rPr>
          <w:i/>
        </w:rPr>
        <w:t>Vglut1</w:t>
      </w:r>
      <w:r>
        <w:t xml:space="preserve"> (sex × phenotype interaction: F</w:t>
      </w:r>
      <w:r w:rsidRPr="00E91861">
        <w:rPr>
          <w:vertAlign w:val="subscript"/>
        </w:rPr>
        <w:t>(1,16)</w:t>
      </w:r>
      <w:r>
        <w:rPr>
          <w:vertAlign w:val="subscript"/>
        </w:rPr>
        <w:t xml:space="preserve"> </w:t>
      </w:r>
      <w:r>
        <w:t xml:space="preserve">= 0.05229, </w:t>
      </w:r>
      <w:r w:rsidRPr="00611F3D">
        <w:rPr>
          <w:i/>
          <w:iCs/>
        </w:rPr>
        <w:t>p</w:t>
      </w:r>
      <w:r>
        <w:t xml:space="preserve"> = 0.8220, </w:t>
      </w:r>
      <w:r>
        <w:rPr>
          <w:b/>
          <w:bCs/>
        </w:rPr>
        <w:t>c</w:t>
      </w:r>
      <w:r>
        <w:rPr>
          <w:bCs/>
        </w:rPr>
        <w:t>),</w:t>
      </w:r>
      <w:r w:rsidRPr="00E51B24">
        <w:t xml:space="preserve"> </w:t>
      </w:r>
      <w:r>
        <w:t>No group differences in the amount of cFos</w:t>
      </w:r>
      <w:r w:rsidRPr="008254B4">
        <w:rPr>
          <w:vertAlign w:val="superscript"/>
        </w:rPr>
        <w:t>+</w:t>
      </w:r>
      <w:r>
        <w:t xml:space="preserve"> cells which express </w:t>
      </w:r>
      <w:r w:rsidRPr="008254B4">
        <w:rPr>
          <w:i/>
        </w:rPr>
        <w:t>Esr1</w:t>
      </w:r>
      <w:r>
        <w:t xml:space="preserve"> (sex × phenotype interaction: F</w:t>
      </w:r>
      <w:r w:rsidRPr="00E91861">
        <w:rPr>
          <w:vertAlign w:val="subscript"/>
        </w:rPr>
        <w:t>(1,16)</w:t>
      </w:r>
      <w:r>
        <w:t xml:space="preserve"> = 0.8555, </w:t>
      </w:r>
      <w:r w:rsidRPr="00611F3D">
        <w:rPr>
          <w:i/>
          <w:iCs/>
        </w:rPr>
        <w:t>p</w:t>
      </w:r>
      <w:r>
        <w:t xml:space="preserve"> = 0.3687, </w:t>
      </w:r>
      <w:r w:rsidRPr="008254B4">
        <w:rPr>
          <w:b/>
        </w:rPr>
        <w:t>c</w:t>
      </w:r>
      <w:r>
        <w:t xml:space="preserve">), or </w:t>
      </w:r>
      <w:r w:rsidRPr="008254B4">
        <w:rPr>
          <w:i/>
        </w:rPr>
        <w:t>Vglut1</w:t>
      </w:r>
      <w:r>
        <w:t xml:space="preserve"> (sex × phenotype interaction: F</w:t>
      </w:r>
      <w:r w:rsidRPr="00E91861">
        <w:rPr>
          <w:vertAlign w:val="subscript"/>
        </w:rPr>
        <w:t>(1,16)</w:t>
      </w:r>
      <w:r>
        <w:rPr>
          <w:vertAlign w:val="subscript"/>
        </w:rPr>
        <w:t xml:space="preserve"> </w:t>
      </w:r>
      <w:r>
        <w:t xml:space="preserve">= 1.658, </w:t>
      </w:r>
      <w:r w:rsidRPr="00611F3D">
        <w:rPr>
          <w:i/>
          <w:iCs/>
        </w:rPr>
        <w:t>p</w:t>
      </w:r>
      <w:r>
        <w:t xml:space="preserve"> = 0.2162, </w:t>
      </w:r>
      <w:r>
        <w:rPr>
          <w:b/>
          <w:bCs/>
        </w:rPr>
        <w:t>e</w:t>
      </w:r>
      <w:r>
        <w:t>). n = 6 (Male AGG), 4 (Female AGG), 4 Male NON), 6 (Female NON).</w:t>
      </w:r>
    </w:p>
    <w:p w14:paraId="3F8401A0" w14:textId="77777777" w:rsidR="00FC2CE0" w:rsidRDefault="00FC2CE0" w:rsidP="00FC2CE0">
      <w:pPr>
        <w:jc w:val="both"/>
      </w:pPr>
    </w:p>
    <w:p w14:paraId="463F2520" w14:textId="77777777" w:rsidR="00FC2CE0" w:rsidRDefault="00FC2CE0" w:rsidP="00FC2CE0">
      <w:pPr>
        <w:jc w:val="both"/>
      </w:pPr>
      <w:r w:rsidRPr="007F2468">
        <w:rPr>
          <w:b/>
          <w:bCs/>
        </w:rPr>
        <w:t>Extended</w:t>
      </w:r>
      <w:r w:rsidRPr="006A46C2" w:rsidDel="00A75458">
        <w:rPr>
          <w:b/>
          <w:bCs/>
        </w:rPr>
        <w:t xml:space="preserve"> </w:t>
      </w:r>
      <w:r>
        <w:rPr>
          <w:b/>
          <w:bCs/>
        </w:rPr>
        <w:t>Fig.</w:t>
      </w:r>
      <w:r w:rsidRPr="006A46C2" w:rsidDel="00A825A2">
        <w:rPr>
          <w:b/>
          <w:bCs/>
        </w:rPr>
        <w:t xml:space="preserve"> </w:t>
      </w:r>
      <w:r>
        <w:rPr>
          <w:b/>
          <w:bCs/>
        </w:rPr>
        <w:t>4 |</w:t>
      </w:r>
      <w:r w:rsidRPr="006A46C2">
        <w:rPr>
          <w:b/>
          <w:bCs/>
        </w:rPr>
        <w:t xml:space="preserve"> </w:t>
      </w:r>
      <w:r w:rsidRPr="008254B4">
        <w:rPr>
          <w:b/>
          <w:bCs/>
          <w:i/>
        </w:rPr>
        <w:t>In vivo</w:t>
      </w:r>
      <w:r w:rsidRPr="00F528E2">
        <w:rPr>
          <w:b/>
          <w:bCs/>
        </w:rPr>
        <w:t xml:space="preserve"> activity of COAp</w:t>
      </w:r>
      <w:r>
        <w:rPr>
          <w:b/>
          <w:bCs/>
        </w:rPr>
        <w:t>l</w:t>
      </w:r>
      <w:r w:rsidRPr="00F528E2">
        <w:rPr>
          <w:b/>
          <w:bCs/>
          <w:vertAlign w:val="superscript"/>
        </w:rPr>
        <w:t xml:space="preserve">Esr1 </w:t>
      </w:r>
      <w:r w:rsidRPr="00F528E2">
        <w:rPr>
          <w:b/>
          <w:bCs/>
        </w:rPr>
        <w:t>cells during distinct bouts of investigation</w:t>
      </w:r>
      <w:r>
        <w:rPr>
          <w:b/>
          <w:bCs/>
        </w:rPr>
        <w:t xml:space="preserve"> in females</w:t>
      </w:r>
    </w:p>
    <w:p w14:paraId="7F8019D5" w14:textId="77777777" w:rsidR="00FC2CE0" w:rsidRPr="00FD7566" w:rsidRDefault="00FC2CE0" w:rsidP="00FC2CE0">
      <w:pPr>
        <w:jc w:val="both"/>
      </w:pPr>
      <w:r w:rsidRPr="00611F3D">
        <w:rPr>
          <w:b/>
          <w:bCs/>
        </w:rPr>
        <w:t>a-c</w:t>
      </w:r>
      <w:r>
        <w:t>, When examining the response of COApl</w:t>
      </w:r>
      <w:r>
        <w:rPr>
          <w:vertAlign w:val="superscript"/>
        </w:rPr>
        <w:t>Esr1</w:t>
      </w:r>
      <w:r>
        <w:t xml:space="preserve"> cells to odourants we found a significant increase in Ca</w:t>
      </w:r>
      <w:r>
        <w:rPr>
          <w:vertAlign w:val="superscript"/>
        </w:rPr>
        <w:t>2+</w:t>
      </w:r>
      <w:r>
        <w:t xml:space="preserve"> activity during the investigation of soiled female bedding (t</w:t>
      </w:r>
      <w:r>
        <w:rPr>
          <w:vertAlign w:val="subscript"/>
        </w:rPr>
        <w:t xml:space="preserve">(5) </w:t>
      </w:r>
      <w:r>
        <w:t xml:space="preserve">= 4.456, </w:t>
      </w:r>
      <w:r w:rsidRPr="00611F3D">
        <w:rPr>
          <w:i/>
          <w:iCs/>
        </w:rPr>
        <w:t>p</w:t>
      </w:r>
      <w:r>
        <w:t xml:space="preserve"> = 0.006, n = 6</w:t>
      </w:r>
      <w:r w:rsidRPr="00611F3D">
        <w:rPr>
          <w:b/>
          <w:bCs/>
        </w:rPr>
        <w:t>a</w:t>
      </w:r>
      <w:r>
        <w:t>) but not during the investigation of fox urine (t</w:t>
      </w:r>
      <w:r>
        <w:rPr>
          <w:vertAlign w:val="subscript"/>
        </w:rPr>
        <w:t xml:space="preserve">(6) </w:t>
      </w:r>
      <w:r>
        <w:t xml:space="preserve">= 1.451, </w:t>
      </w:r>
      <w:r w:rsidRPr="00611F3D">
        <w:rPr>
          <w:i/>
          <w:iCs/>
        </w:rPr>
        <w:t>p</w:t>
      </w:r>
      <w:r>
        <w:t xml:space="preserve"> = 0.1783, n = 7 </w:t>
      </w:r>
      <w:r w:rsidRPr="00611F3D">
        <w:rPr>
          <w:b/>
          <w:bCs/>
        </w:rPr>
        <w:t>b</w:t>
      </w:r>
      <w:r>
        <w:t>) or ethanol (t</w:t>
      </w:r>
      <w:r>
        <w:rPr>
          <w:vertAlign w:val="subscript"/>
        </w:rPr>
        <w:t xml:space="preserve">(4) </w:t>
      </w:r>
      <w:r>
        <w:t xml:space="preserve">= 0.801, </w:t>
      </w:r>
      <w:r w:rsidRPr="00611F3D">
        <w:rPr>
          <w:i/>
          <w:iCs/>
        </w:rPr>
        <w:t>p</w:t>
      </w:r>
      <w:r>
        <w:t xml:space="preserve"> = 0.4643, n =5 </w:t>
      </w:r>
      <w:r w:rsidRPr="00611F3D">
        <w:rPr>
          <w:b/>
          <w:bCs/>
        </w:rPr>
        <w:t>c</w:t>
      </w:r>
      <w:r>
        <w:t xml:space="preserve">). </w:t>
      </w:r>
      <w:r w:rsidRPr="00611F3D">
        <w:rPr>
          <w:b/>
          <w:bCs/>
        </w:rPr>
        <w:t>d</w:t>
      </w:r>
      <w:r>
        <w:t xml:space="preserve">, </w:t>
      </w:r>
      <w:r w:rsidRPr="00CB2434">
        <w:t>On days in which no attack occurred, of COAp</w:t>
      </w:r>
      <w:r>
        <w:t>l</w:t>
      </w:r>
      <w:r w:rsidRPr="00CB2434">
        <w:rPr>
          <w:vertAlign w:val="superscript"/>
        </w:rPr>
        <w:t>Esr1</w:t>
      </w:r>
      <w:r w:rsidRPr="00CB2434">
        <w:t xml:space="preserve"> activity significantly increased during a bout of investigation (trial </w:t>
      </w:r>
      <w:r>
        <w:t>×</w:t>
      </w:r>
      <w:r w:rsidRPr="00CB2434">
        <w:t xml:space="preserve"> time interaction: F</w:t>
      </w:r>
      <w:r w:rsidRPr="00CB2434">
        <w:rPr>
          <w:vertAlign w:val="subscript"/>
        </w:rPr>
        <w:t>(1,3)</w:t>
      </w:r>
      <w:r w:rsidRPr="00CB2434">
        <w:t xml:space="preserve"> = 27.37, </w:t>
      </w:r>
      <w:r w:rsidRPr="00611F3D">
        <w:rPr>
          <w:i/>
          <w:iCs/>
        </w:rPr>
        <w:t>p</w:t>
      </w:r>
      <w:r w:rsidRPr="00CB2434">
        <w:t xml:space="preserve"> = 0.0136, Tukey’s post-hoc: </w:t>
      </w:r>
      <w:r w:rsidRPr="00611F3D">
        <w:rPr>
          <w:i/>
          <w:iCs/>
        </w:rPr>
        <w:t>p</w:t>
      </w:r>
      <w:r w:rsidRPr="00CB2434">
        <w:t xml:space="preserve"> = 0.0141</w:t>
      </w:r>
      <w:r>
        <w:t>)</w:t>
      </w:r>
      <w:r w:rsidRPr="00CB2434">
        <w:t xml:space="preserve"> but not on days in which an attack occurred (Tukey’s post-hoc: </w:t>
      </w:r>
      <w:r w:rsidRPr="00611F3D">
        <w:rPr>
          <w:i/>
          <w:iCs/>
        </w:rPr>
        <w:t>p</w:t>
      </w:r>
      <w:r w:rsidRPr="00CB2434">
        <w:t xml:space="preserve"> = 0.9944). </w:t>
      </w:r>
      <w:r w:rsidRPr="00611F3D">
        <w:rPr>
          <w:b/>
          <w:bCs/>
        </w:rPr>
        <w:t>e</w:t>
      </w:r>
      <w:r>
        <w:t xml:space="preserve">, </w:t>
      </w:r>
      <w:r w:rsidRPr="00CB2434">
        <w:t>On attack days, there was no difference in COAp</w:t>
      </w:r>
      <w:r>
        <w:t>l</w:t>
      </w:r>
      <w:r w:rsidRPr="00CB2434">
        <w:rPr>
          <w:vertAlign w:val="superscript"/>
        </w:rPr>
        <w:t>Esr1</w:t>
      </w:r>
      <w:r w:rsidRPr="00CB2434">
        <w:t xml:space="preserve"> activity during an investigation bout which did (behavio</w:t>
      </w:r>
      <w:r>
        <w:t>u</w:t>
      </w:r>
      <w:r w:rsidRPr="00CB2434">
        <w:t>r x time interaction: F</w:t>
      </w:r>
      <w:r w:rsidRPr="00CB2434">
        <w:rPr>
          <w:vertAlign w:val="subscript"/>
        </w:rPr>
        <w:t xml:space="preserve">(1,4) </w:t>
      </w:r>
      <w:r w:rsidRPr="00CB2434">
        <w:t xml:space="preserve">= 0.8304, </w:t>
      </w:r>
      <w:r w:rsidRPr="00611F3D">
        <w:rPr>
          <w:i/>
          <w:iCs/>
        </w:rPr>
        <w:t>p</w:t>
      </w:r>
      <w:r w:rsidRPr="00CB2434">
        <w:t xml:space="preserve"> = 0.4137, Tukey’s post-hoc: </w:t>
      </w:r>
      <w:r w:rsidRPr="00611F3D">
        <w:rPr>
          <w:i/>
          <w:iCs/>
        </w:rPr>
        <w:t>p</w:t>
      </w:r>
      <w:r w:rsidRPr="00CB2434">
        <w:t xml:space="preserve"> = 0.9776) or did not precede an attack (Tukey’s post-hoc: </w:t>
      </w:r>
      <w:r w:rsidRPr="00611F3D">
        <w:rPr>
          <w:i/>
          <w:iCs/>
        </w:rPr>
        <w:t>p</w:t>
      </w:r>
      <w:r w:rsidRPr="00CB2434">
        <w:t xml:space="preserve"> = 0.8064). </w:t>
      </w:r>
      <w:r w:rsidRPr="00611F3D">
        <w:rPr>
          <w:b/>
          <w:bCs/>
        </w:rPr>
        <w:t>f</w:t>
      </w:r>
      <w:r>
        <w:t xml:space="preserve">, </w:t>
      </w:r>
      <w:r w:rsidRPr="00CB2434">
        <w:t>There was no difference in COAp</w:t>
      </w:r>
      <w:r w:rsidRPr="00CB2434">
        <w:rPr>
          <w:vertAlign w:val="superscript"/>
        </w:rPr>
        <w:t>Esr1</w:t>
      </w:r>
      <w:r w:rsidRPr="00CB2434">
        <w:t xml:space="preserve"> activity when females engaged in attacks which was (behavio</w:t>
      </w:r>
      <w:r>
        <w:t>u</w:t>
      </w:r>
      <w:r w:rsidRPr="00CB2434">
        <w:t xml:space="preserve">r </w:t>
      </w:r>
      <w:r>
        <w:t>×</w:t>
      </w:r>
      <w:r w:rsidRPr="00CB2434">
        <w:t xml:space="preserve"> time interaction: F(1,4) = 3.756, </w:t>
      </w:r>
      <w:r w:rsidRPr="00611F3D">
        <w:rPr>
          <w:i/>
          <w:iCs/>
        </w:rPr>
        <w:t>p</w:t>
      </w:r>
      <w:r w:rsidRPr="00CB2434">
        <w:t xml:space="preserve"> = 0.1476, Tukey’s post-hoc: </w:t>
      </w:r>
      <w:r w:rsidRPr="00611F3D">
        <w:rPr>
          <w:i/>
          <w:iCs/>
        </w:rPr>
        <w:t>p</w:t>
      </w:r>
      <w:r w:rsidRPr="00CB2434">
        <w:t xml:space="preserve"> = 0.3799 or was</w:t>
      </w:r>
      <w:r>
        <w:t xml:space="preserve"> </w:t>
      </w:r>
      <w:r w:rsidRPr="00CB2434">
        <w:t>n</w:t>
      </w:r>
      <w:r>
        <w:t>o</w:t>
      </w:r>
      <w:r w:rsidRPr="00CB2434">
        <w:t xml:space="preserve">t preceded by a bout of investigation (Tukey’s post-hoc: </w:t>
      </w:r>
      <w:r w:rsidRPr="00611F3D">
        <w:rPr>
          <w:i/>
          <w:iCs/>
        </w:rPr>
        <w:t>p</w:t>
      </w:r>
      <w:r w:rsidRPr="00CB2434">
        <w:t xml:space="preserve"> = 0.8385)</w:t>
      </w:r>
      <w:r>
        <w:t xml:space="preserve"> n = 6 . </w:t>
      </w:r>
      <w:r w:rsidRPr="00611F3D">
        <w:rPr>
          <w:b/>
          <w:bCs/>
        </w:rPr>
        <w:t>g-i</w:t>
      </w:r>
      <w:r>
        <w:t>, In a separate cohort of mice, we tested the effect of the estrous cycle on the response of COApl</w:t>
      </w:r>
      <w:r>
        <w:rPr>
          <w:vertAlign w:val="superscript"/>
        </w:rPr>
        <w:t>Esr1</w:t>
      </w:r>
      <w:r>
        <w:t xml:space="preserve"> cells during the RI. On non-attack trials, we observed a main effect of time when females investigated the intruder </w:t>
      </w:r>
      <w:r w:rsidRPr="004E69BC">
        <w:t>(F (1, 6) = 9.428</w:t>
      </w:r>
      <w:r>
        <w:t xml:space="preserve">, </w:t>
      </w:r>
      <w:r w:rsidRPr="00611F3D">
        <w:rPr>
          <w:i/>
          <w:iCs/>
        </w:rPr>
        <w:t>p</w:t>
      </w:r>
      <w:r>
        <w:t xml:space="preserve"> = 0.0219, </w:t>
      </w:r>
      <w:r w:rsidRPr="00611F3D">
        <w:rPr>
          <w:b/>
          <w:bCs/>
        </w:rPr>
        <w:t>g</w:t>
      </w:r>
      <w:r>
        <w:t xml:space="preserve">) but not during attack </w:t>
      </w:r>
      <w:r w:rsidRPr="00FD7566">
        <w:t>trials (F (1, 6) = 1.877</w:t>
      </w:r>
      <w:r>
        <w:t xml:space="preserve">, </w:t>
      </w:r>
      <w:r w:rsidRPr="00611F3D">
        <w:rPr>
          <w:i/>
          <w:iCs/>
        </w:rPr>
        <w:t>p</w:t>
      </w:r>
      <w:r>
        <w:t xml:space="preserve"> = 0.500, </w:t>
      </w:r>
      <w:r w:rsidRPr="00611F3D">
        <w:rPr>
          <w:b/>
          <w:bCs/>
        </w:rPr>
        <w:t>h</w:t>
      </w:r>
      <w:r>
        <w:t xml:space="preserve">) or when females </w:t>
      </w:r>
      <w:r>
        <w:lastRenderedPageBreak/>
        <w:t>delivered bites</w:t>
      </w:r>
      <w:r w:rsidRPr="004E69BC">
        <w:t xml:space="preserve"> (F (1, 7) = 0.3587, </w:t>
      </w:r>
      <w:r w:rsidRPr="00611F3D">
        <w:rPr>
          <w:i/>
          <w:iCs/>
        </w:rPr>
        <w:t>p</w:t>
      </w:r>
      <w:r w:rsidRPr="004E69BC">
        <w:t xml:space="preserve"> = 0.581</w:t>
      </w:r>
      <w:r>
        <w:t xml:space="preserve">, </w:t>
      </w:r>
      <w:r w:rsidRPr="00611F3D">
        <w:rPr>
          <w:b/>
          <w:bCs/>
        </w:rPr>
        <w:t>i</w:t>
      </w:r>
      <w:r>
        <w:t>). There were no significant interactions between time and cycle for any of the behaviours n = 8.</w:t>
      </w:r>
    </w:p>
    <w:p w14:paraId="706BFF14" w14:textId="77777777" w:rsidR="00FC2CE0" w:rsidRDefault="00FC2CE0" w:rsidP="00FC2CE0">
      <w:pPr>
        <w:jc w:val="both"/>
      </w:pPr>
    </w:p>
    <w:p w14:paraId="7A25A875" w14:textId="77777777" w:rsidR="00FC2CE0" w:rsidRDefault="00FC2CE0" w:rsidP="00FC2CE0">
      <w:pPr>
        <w:jc w:val="both"/>
        <w:rPr>
          <w:b/>
          <w:bCs/>
        </w:rPr>
      </w:pPr>
      <w:r w:rsidRPr="007F2468">
        <w:rPr>
          <w:b/>
          <w:bCs/>
        </w:rPr>
        <w:t>Extended</w:t>
      </w:r>
      <w:r>
        <w:rPr>
          <w:b/>
          <w:bCs/>
        </w:rPr>
        <w:t xml:space="preserve"> Fig.</w:t>
      </w:r>
      <w:r w:rsidRPr="006A46C2" w:rsidDel="00A825A2">
        <w:rPr>
          <w:b/>
          <w:bCs/>
        </w:rPr>
        <w:t xml:space="preserve"> </w:t>
      </w:r>
      <w:r>
        <w:rPr>
          <w:b/>
          <w:bCs/>
        </w:rPr>
        <w:t>5 |</w:t>
      </w:r>
      <w:r w:rsidRPr="006A46C2">
        <w:rPr>
          <w:b/>
          <w:bCs/>
        </w:rPr>
        <w:t xml:space="preserve"> Ethological analyses of social behavio</w:t>
      </w:r>
      <w:r>
        <w:rPr>
          <w:b/>
          <w:bCs/>
        </w:rPr>
        <w:t>u</w:t>
      </w:r>
      <w:r w:rsidRPr="006A46C2">
        <w:rPr>
          <w:b/>
          <w:bCs/>
        </w:rPr>
        <w:t>r in</w:t>
      </w:r>
      <w:r>
        <w:rPr>
          <w:b/>
          <w:bCs/>
        </w:rPr>
        <w:t xml:space="preserve"> mice from DREADD experiment</w:t>
      </w:r>
    </w:p>
    <w:p w14:paraId="11BC9CFF" w14:textId="77777777" w:rsidR="00FC2CE0" w:rsidRPr="00CB2434" w:rsidRDefault="00FC2CE0" w:rsidP="00FC2CE0">
      <w:pPr>
        <w:jc w:val="both"/>
      </w:pPr>
      <w:r w:rsidRPr="00611F3D">
        <w:rPr>
          <w:b/>
          <w:bCs/>
        </w:rPr>
        <w:t>a-c</w:t>
      </w:r>
      <w:r>
        <w:t xml:space="preserve">, Inhibiting </w:t>
      </w:r>
      <w:r w:rsidRPr="00D01A6D">
        <w:t>COAp</w:t>
      </w:r>
      <w:r>
        <w:t>l</w:t>
      </w:r>
      <w:r w:rsidRPr="00D01A6D">
        <w:rPr>
          <w:vertAlign w:val="superscript"/>
        </w:rPr>
        <w:t>Esr1</w:t>
      </w:r>
      <w:r w:rsidRPr="00D01A6D">
        <w:t xml:space="preserve"> cells</w:t>
      </w:r>
      <w:r>
        <w:t xml:space="preserve"> results in a reduction in bites (virus × drug interaction: F</w:t>
      </w:r>
      <w:r w:rsidRPr="00D01A6D">
        <w:rPr>
          <w:vertAlign w:val="subscript"/>
        </w:rPr>
        <w:t>(2,27)</w:t>
      </w:r>
      <w:r>
        <w:t xml:space="preserve"> = 7.036, </w:t>
      </w:r>
      <w:r w:rsidRPr="00611F3D">
        <w:rPr>
          <w:i/>
          <w:iCs/>
        </w:rPr>
        <w:t>p</w:t>
      </w:r>
      <w:r>
        <w:t xml:space="preserve"> = 0.0035; Sidak’s post-hoc: </w:t>
      </w:r>
      <w:r w:rsidRPr="00611F3D">
        <w:rPr>
          <w:i/>
          <w:iCs/>
        </w:rPr>
        <w:t>p</w:t>
      </w:r>
      <w:r>
        <w:t xml:space="preserve"> = 0.0363, </w:t>
      </w:r>
      <w:r w:rsidRPr="00611F3D">
        <w:rPr>
          <w:b/>
          <w:bCs/>
        </w:rPr>
        <w:t>a</w:t>
      </w:r>
      <w:r>
        <w:t>) and kicks (virus × drug interaction: F</w:t>
      </w:r>
      <w:r w:rsidRPr="00D01A6D">
        <w:rPr>
          <w:vertAlign w:val="subscript"/>
        </w:rPr>
        <w:t>(2,27)</w:t>
      </w:r>
      <w:r>
        <w:t xml:space="preserve"> = 3.254, </w:t>
      </w:r>
      <w:r w:rsidRPr="00611F3D">
        <w:rPr>
          <w:i/>
          <w:iCs/>
        </w:rPr>
        <w:t>p</w:t>
      </w:r>
      <w:r>
        <w:t xml:space="preserve"> = 0.0542; Sidak’s post-hoc: </w:t>
      </w:r>
      <w:r w:rsidRPr="00611F3D">
        <w:rPr>
          <w:i/>
          <w:iCs/>
        </w:rPr>
        <w:t>p</w:t>
      </w:r>
      <w:r>
        <w:t xml:space="preserve"> = 0.0457, </w:t>
      </w:r>
      <w:r w:rsidRPr="00611F3D">
        <w:rPr>
          <w:b/>
          <w:bCs/>
        </w:rPr>
        <w:t>b</w:t>
      </w:r>
      <w:r>
        <w:t>) delivered to the intruder with no effect on wrestling (virus × drug interaction: F</w:t>
      </w:r>
      <w:r w:rsidRPr="00D01A6D">
        <w:rPr>
          <w:vertAlign w:val="subscript"/>
        </w:rPr>
        <w:t>(2,27)</w:t>
      </w:r>
      <w:r>
        <w:t xml:space="preserve"> = 3.402, </w:t>
      </w:r>
      <w:r w:rsidRPr="00611F3D">
        <w:rPr>
          <w:i/>
          <w:iCs/>
        </w:rPr>
        <w:t>p</w:t>
      </w:r>
      <w:r>
        <w:t xml:space="preserve"> = 0.0481; Sidak’s post-hoc: </w:t>
      </w:r>
      <w:r w:rsidRPr="00611F3D">
        <w:rPr>
          <w:i/>
          <w:iCs/>
        </w:rPr>
        <w:t>p</w:t>
      </w:r>
      <w:r>
        <w:t xml:space="preserve"> = 0.1569, </w:t>
      </w:r>
      <w:r w:rsidRPr="00611F3D">
        <w:rPr>
          <w:b/>
          <w:bCs/>
        </w:rPr>
        <w:t>c</w:t>
      </w:r>
      <w:r>
        <w:t>). Exciting</w:t>
      </w:r>
      <w:r w:rsidRPr="00D01A6D">
        <w:t xml:space="preserve"> COAp</w:t>
      </w:r>
      <w:r w:rsidRPr="00D01A6D">
        <w:rPr>
          <w:vertAlign w:val="superscript"/>
        </w:rPr>
        <w:t>Esr1</w:t>
      </w:r>
      <w:r w:rsidRPr="00D01A6D">
        <w:t xml:space="preserve"> cells</w:t>
      </w:r>
      <w:r>
        <w:t xml:space="preserve"> increased the number of bites (Sidak’s post-hoc: p = 0.470) given with no effect on kicks (Sidak’s post-hoc: </w:t>
      </w:r>
      <w:r w:rsidRPr="00611F3D">
        <w:rPr>
          <w:i/>
          <w:iCs/>
        </w:rPr>
        <w:t>p</w:t>
      </w:r>
      <w:r>
        <w:t xml:space="preserve"> = 0.9874) or wrestling (Sidak’s post-hoc: </w:t>
      </w:r>
      <w:r w:rsidRPr="00611F3D">
        <w:rPr>
          <w:i/>
          <w:iCs/>
        </w:rPr>
        <w:t>p</w:t>
      </w:r>
      <w:r>
        <w:t xml:space="preserve"> = 0.7197). </w:t>
      </w:r>
      <w:r w:rsidRPr="00611F3D">
        <w:rPr>
          <w:b/>
          <w:bCs/>
        </w:rPr>
        <w:t>d-e</w:t>
      </w:r>
      <w:r>
        <w:t>. Mice injected with hM4Di also showed an increase in anogenital investigation (virus × drug interaction: F</w:t>
      </w:r>
      <w:r w:rsidRPr="00D01A6D">
        <w:rPr>
          <w:vertAlign w:val="subscript"/>
        </w:rPr>
        <w:t>(2,27)</w:t>
      </w:r>
      <w:r>
        <w:t xml:space="preserve"> =5.623, </w:t>
      </w:r>
      <w:r w:rsidRPr="00611F3D">
        <w:rPr>
          <w:i/>
          <w:iCs/>
        </w:rPr>
        <w:t>p</w:t>
      </w:r>
      <w:r>
        <w:t xml:space="preserve"> = 0.0091; Sidak’s post-hoc: </w:t>
      </w:r>
      <w:r w:rsidRPr="00611F3D">
        <w:rPr>
          <w:i/>
          <w:iCs/>
        </w:rPr>
        <w:t>p</w:t>
      </w:r>
      <w:r>
        <w:t xml:space="preserve"> = 0.0111, </w:t>
      </w:r>
      <w:r w:rsidRPr="00611F3D">
        <w:rPr>
          <w:b/>
          <w:bCs/>
        </w:rPr>
        <w:t>d</w:t>
      </w:r>
      <w:r>
        <w:t>), decreased the number of withdrawals (virus × drug interaction: F</w:t>
      </w:r>
      <w:r w:rsidRPr="00D01A6D">
        <w:rPr>
          <w:vertAlign w:val="subscript"/>
        </w:rPr>
        <w:t>(2,27)</w:t>
      </w:r>
      <w:r>
        <w:t xml:space="preserve"> = 4.218, p = 0.0255; Sidak’s post-hoc: p = 0.0163, </w:t>
      </w:r>
      <w:r w:rsidRPr="00611F3D">
        <w:rPr>
          <w:b/>
          <w:bCs/>
        </w:rPr>
        <w:t>e</w:t>
      </w:r>
      <w:r>
        <w:t>) but did not affect facial investigation (virus × drug interaction: F</w:t>
      </w:r>
      <w:r w:rsidRPr="00D01A6D">
        <w:rPr>
          <w:vertAlign w:val="subscript"/>
        </w:rPr>
        <w:t>(2,27)</w:t>
      </w:r>
      <w:r>
        <w:t xml:space="preserve"> = 3.511, </w:t>
      </w:r>
      <w:r w:rsidRPr="00611F3D">
        <w:rPr>
          <w:i/>
          <w:iCs/>
        </w:rPr>
        <w:t>p</w:t>
      </w:r>
      <w:r>
        <w:t xml:space="preserve"> = 0.0441; Sidak’s post-hoc: </w:t>
      </w:r>
      <w:r w:rsidRPr="00611F3D">
        <w:rPr>
          <w:i/>
          <w:iCs/>
        </w:rPr>
        <w:t>p</w:t>
      </w:r>
      <w:r>
        <w:t xml:space="preserve"> = 0.9903, </w:t>
      </w:r>
      <w:r w:rsidRPr="00611F3D">
        <w:rPr>
          <w:b/>
          <w:bCs/>
        </w:rPr>
        <w:t>f</w:t>
      </w:r>
      <w:r>
        <w:t xml:space="preserve">). Mice injected with hM3Dq did not show differences in anogenital investigation (Sidak’s post-hoc: </w:t>
      </w:r>
      <w:r w:rsidRPr="00611F3D">
        <w:rPr>
          <w:i/>
          <w:iCs/>
        </w:rPr>
        <w:t>p</w:t>
      </w:r>
      <w:r>
        <w:t xml:space="preserve"> = 0.4065), withdrawals (Sidak’s post-hoc: </w:t>
      </w:r>
      <w:r w:rsidRPr="00611F3D">
        <w:rPr>
          <w:i/>
          <w:iCs/>
        </w:rPr>
        <w:t>p</w:t>
      </w:r>
      <w:r>
        <w:t xml:space="preserve"> = 0.7535) or facial investigation (Sidak’s post-hoc: </w:t>
      </w:r>
      <w:r w:rsidRPr="00611F3D">
        <w:rPr>
          <w:i/>
          <w:iCs/>
        </w:rPr>
        <w:t>p</w:t>
      </w:r>
      <w:r>
        <w:t xml:space="preserve"> = 0.1537) n = 10 (HM4di), 10 (HM3dq) 10 (mCherry). </w:t>
      </w:r>
      <w:r w:rsidRPr="009D6BF2">
        <w:rPr>
          <w:b/>
          <w:bCs/>
        </w:rPr>
        <w:t>g</w:t>
      </w:r>
      <w:r>
        <w:rPr>
          <w:b/>
          <w:bCs/>
        </w:rPr>
        <w:t>,</w:t>
      </w:r>
      <w:r w:rsidRPr="009D6BF2">
        <w:rPr>
          <w:b/>
          <w:bCs/>
        </w:rPr>
        <w:t xml:space="preserve"> h</w:t>
      </w:r>
      <w:r>
        <w:t xml:space="preserve"> For self-administration experiments, both groups learned to press the lever for access to an intruder at equal rates (virus × drug interaction: </w:t>
      </w:r>
      <w:r w:rsidRPr="009D6BF2">
        <w:t>F</w:t>
      </w:r>
      <w:r w:rsidRPr="009D6BF2">
        <w:rPr>
          <w:vertAlign w:val="subscript"/>
        </w:rPr>
        <w:t>(15, 135)</w:t>
      </w:r>
      <w:r w:rsidRPr="009D6BF2">
        <w:t xml:space="preserve"> = 0.7175</w:t>
      </w:r>
      <w:r>
        <w:t xml:space="preserve">, p = 0.5640, </w:t>
      </w:r>
      <w:r w:rsidRPr="009D6BF2">
        <w:rPr>
          <w:b/>
          <w:bCs/>
        </w:rPr>
        <w:t>g</w:t>
      </w:r>
      <w:r w:rsidRPr="009D6BF2">
        <w:t>) and both groups had similar breakpoints in the progressive ratio test</w:t>
      </w:r>
      <w:r>
        <w:t xml:space="preserve"> </w:t>
      </w:r>
      <w:r w:rsidRPr="009D6BF2">
        <w:t>(</w:t>
      </w:r>
      <w:r>
        <w:t xml:space="preserve">virus x drug interaction: </w:t>
      </w:r>
      <w:r w:rsidRPr="009D6BF2">
        <w:t>F</w:t>
      </w:r>
      <w:r w:rsidRPr="009D6BF2">
        <w:rPr>
          <w:vertAlign w:val="subscript"/>
        </w:rPr>
        <w:t>(1, 9)</w:t>
      </w:r>
      <w:r w:rsidRPr="009D6BF2">
        <w:t xml:space="preserve"> = 0.1712</w:t>
      </w:r>
      <w:r>
        <w:t xml:space="preserve">, p = 0.6887, </w:t>
      </w:r>
      <w:r w:rsidRPr="00537D08">
        <w:rPr>
          <w:b/>
          <w:bCs/>
        </w:rPr>
        <w:t>h</w:t>
      </w:r>
      <w:r>
        <w:t>) n = 11 (HM4di), 9 (mCherry)</w:t>
      </w:r>
      <w:r w:rsidRPr="009D6BF2">
        <w:t xml:space="preserve">.  </w:t>
      </w:r>
      <w:r>
        <w:t>I</w:t>
      </w:r>
      <w:r w:rsidRPr="009D6BF2">
        <w:t>nhibition</w:t>
      </w:r>
      <w:r>
        <w:t xml:space="preserve"> of the COApl</w:t>
      </w:r>
      <w:r w:rsidRPr="009D6BF2">
        <w:t xml:space="preserve"> did not affect the investigation duration of an odo</w:t>
      </w:r>
      <w:r>
        <w:t>u</w:t>
      </w:r>
      <w:r w:rsidRPr="009D6BF2">
        <w:t>r associated with threat (fox urine</w:t>
      </w:r>
      <w:r>
        <w:t xml:space="preserve">; virus × drug interaction: </w:t>
      </w:r>
      <w:r w:rsidRPr="00537D08">
        <w:t>F (1, 13) = 0.6169</w:t>
      </w:r>
      <w:r>
        <w:t>, p = 0.4463</w:t>
      </w:r>
      <w:r w:rsidRPr="009D6BF2">
        <w:t>)</w:t>
      </w:r>
      <w:r>
        <w:t xml:space="preserve"> n = 8 (HM4di), 6 (mCherry)</w:t>
      </w:r>
      <w:r w:rsidRPr="009D6BF2">
        <w:t xml:space="preserve">. </w:t>
      </w:r>
      <w:r w:rsidRPr="009D6BF2">
        <w:rPr>
          <w:b/>
          <w:bCs/>
        </w:rPr>
        <w:t>j-l</w:t>
      </w:r>
      <w:r>
        <w:t>,</w:t>
      </w:r>
      <w:r w:rsidRPr="009D6BF2">
        <w:t xml:space="preserve"> inhibiting the COApm</w:t>
      </w:r>
      <w:r>
        <w:t xml:space="preserve"> did not affect attack (t</w:t>
      </w:r>
      <w:r>
        <w:rPr>
          <w:vertAlign w:val="subscript"/>
        </w:rPr>
        <w:t xml:space="preserve">5 = </w:t>
      </w:r>
      <w:r>
        <w:t xml:space="preserve">0.9657, p= 0.3785, </w:t>
      </w:r>
      <w:r w:rsidRPr="00537D08">
        <w:rPr>
          <w:b/>
          <w:bCs/>
        </w:rPr>
        <w:t>j</w:t>
      </w:r>
      <w:r>
        <w:t>) or investigation duration (t</w:t>
      </w:r>
      <w:r>
        <w:rPr>
          <w:vertAlign w:val="subscript"/>
        </w:rPr>
        <w:t>5</w:t>
      </w:r>
      <w:r>
        <w:t xml:space="preserve"> = 1.127, p = 0.3108) n = 6 (HM4di &amp; mCherry).</w:t>
      </w:r>
    </w:p>
    <w:p w14:paraId="0BDFAC4B" w14:textId="77777777" w:rsidR="00FC2CE0" w:rsidRDefault="00FC2CE0" w:rsidP="00FC2CE0">
      <w:pPr>
        <w:jc w:val="both"/>
      </w:pPr>
    </w:p>
    <w:p w14:paraId="1EE181EE" w14:textId="77777777" w:rsidR="00FC2CE0" w:rsidRDefault="00FC2CE0" w:rsidP="00FC2CE0">
      <w:pPr>
        <w:jc w:val="both"/>
        <w:rPr>
          <w:b/>
          <w:bCs/>
        </w:rPr>
      </w:pPr>
      <w:r w:rsidRPr="007F2468">
        <w:rPr>
          <w:b/>
          <w:bCs/>
        </w:rPr>
        <w:t>Extended</w:t>
      </w:r>
      <w:r w:rsidRPr="006A46C2" w:rsidDel="00A75458">
        <w:rPr>
          <w:b/>
          <w:bCs/>
        </w:rPr>
        <w:t xml:space="preserve"> </w:t>
      </w:r>
      <w:r>
        <w:rPr>
          <w:b/>
          <w:bCs/>
        </w:rPr>
        <w:t>Fig.</w:t>
      </w:r>
      <w:r w:rsidRPr="006A46C2" w:rsidDel="00A825A2">
        <w:rPr>
          <w:b/>
          <w:bCs/>
        </w:rPr>
        <w:t xml:space="preserve"> </w:t>
      </w:r>
      <w:r>
        <w:rPr>
          <w:b/>
          <w:bCs/>
        </w:rPr>
        <w:t>6 |</w:t>
      </w:r>
      <w:r w:rsidRPr="006A46C2">
        <w:rPr>
          <w:b/>
          <w:bCs/>
        </w:rPr>
        <w:t xml:space="preserve"> </w:t>
      </w:r>
      <w:r>
        <w:rPr>
          <w:b/>
          <w:bCs/>
        </w:rPr>
        <w:t>Manipulation of COApl</w:t>
      </w:r>
      <w:r>
        <w:rPr>
          <w:b/>
          <w:bCs/>
          <w:vertAlign w:val="superscript"/>
        </w:rPr>
        <w:t>Esr1</w:t>
      </w:r>
      <w:r>
        <w:rPr>
          <w:b/>
          <w:bCs/>
        </w:rPr>
        <w:t xml:space="preserve"> cells has no effect on female social behaviour</w:t>
      </w:r>
    </w:p>
    <w:p w14:paraId="4C424247" w14:textId="77777777" w:rsidR="00FC2CE0" w:rsidRDefault="00FC2CE0" w:rsidP="00FC2CE0">
      <w:pPr>
        <w:jc w:val="both"/>
      </w:pPr>
      <w:r w:rsidRPr="00611F3D">
        <w:rPr>
          <w:b/>
          <w:bCs/>
        </w:rPr>
        <w:t>a-c</w:t>
      </w:r>
      <w:r>
        <w:t xml:space="preserve">, There were no effects of inhibiting or </w:t>
      </w:r>
      <w:r w:rsidRPr="00A93C92">
        <w:t>exciting COAp</w:t>
      </w:r>
      <w:r>
        <w:t>l</w:t>
      </w:r>
      <w:r w:rsidRPr="00A93C92">
        <w:rPr>
          <w:vertAlign w:val="superscript"/>
        </w:rPr>
        <w:t>Esr1</w:t>
      </w:r>
      <w:r w:rsidRPr="00A93C92">
        <w:t xml:space="preserve"> cells</w:t>
      </w:r>
      <w:r>
        <w:t xml:space="preserve"> on total attack duration (virus × drug interaction: F</w:t>
      </w:r>
      <w:r w:rsidRPr="00A93C92">
        <w:rPr>
          <w:vertAlign w:val="subscript"/>
        </w:rPr>
        <w:t>(2,18)</w:t>
      </w:r>
      <w:r>
        <w:t xml:space="preserve"> = 0.2960, </w:t>
      </w:r>
      <w:r w:rsidRPr="00611F3D">
        <w:rPr>
          <w:i/>
          <w:iCs/>
        </w:rPr>
        <w:t>p</w:t>
      </w:r>
      <w:r>
        <w:t xml:space="preserve"> = 0.7473, </w:t>
      </w:r>
      <w:r w:rsidRPr="00611F3D">
        <w:rPr>
          <w:b/>
          <w:bCs/>
        </w:rPr>
        <w:t>a</w:t>
      </w:r>
      <w:r>
        <w:t>), bites (F</w:t>
      </w:r>
      <w:r w:rsidRPr="00A93C92">
        <w:rPr>
          <w:vertAlign w:val="subscript"/>
        </w:rPr>
        <w:t>(2,18)</w:t>
      </w:r>
      <w:r>
        <w:t xml:space="preserve"> = 0.3465, p = 0.7118, </w:t>
      </w:r>
      <w:r w:rsidRPr="00611F3D">
        <w:rPr>
          <w:b/>
          <w:bCs/>
        </w:rPr>
        <w:t>b</w:t>
      </w:r>
      <w:r>
        <w:t>) or kicks (F</w:t>
      </w:r>
      <w:r w:rsidRPr="00A93C92">
        <w:rPr>
          <w:vertAlign w:val="subscript"/>
        </w:rPr>
        <w:t>(2,18)</w:t>
      </w:r>
      <w:r>
        <w:t xml:space="preserve"> = 0.9476, </w:t>
      </w:r>
      <w:r w:rsidRPr="00611F3D">
        <w:rPr>
          <w:i/>
          <w:iCs/>
        </w:rPr>
        <w:t>p</w:t>
      </w:r>
      <w:r>
        <w:t xml:space="preserve"> = 0.4062, </w:t>
      </w:r>
      <w:r>
        <w:rPr>
          <w:b/>
          <w:bCs/>
        </w:rPr>
        <w:t>c</w:t>
      </w:r>
      <w:r>
        <w:t xml:space="preserve">) delivered to the intruder. </w:t>
      </w:r>
      <w:r w:rsidRPr="00611F3D">
        <w:rPr>
          <w:b/>
          <w:bCs/>
        </w:rPr>
        <w:t>e-f</w:t>
      </w:r>
      <w:r>
        <w:t>,</w:t>
      </w:r>
      <w:r w:rsidRPr="00A93C92">
        <w:t xml:space="preserve"> Manipulation of COAp</w:t>
      </w:r>
      <w:r>
        <w:t>l</w:t>
      </w:r>
      <w:r w:rsidRPr="00A93C92">
        <w:rPr>
          <w:vertAlign w:val="superscript"/>
        </w:rPr>
        <w:t>Esr1</w:t>
      </w:r>
      <w:r w:rsidRPr="00A93C92">
        <w:t xml:space="preserve"> cells</w:t>
      </w:r>
      <w:r>
        <w:t xml:space="preserve"> did not affect anogenital (virus × drug interaction: F</w:t>
      </w:r>
      <w:r w:rsidRPr="00A93C92">
        <w:rPr>
          <w:vertAlign w:val="subscript"/>
        </w:rPr>
        <w:t>(2,18)</w:t>
      </w:r>
      <w:r>
        <w:t xml:space="preserve"> = 0.7908, </w:t>
      </w:r>
      <w:r w:rsidRPr="00611F3D">
        <w:rPr>
          <w:i/>
          <w:iCs/>
        </w:rPr>
        <w:t>p</w:t>
      </w:r>
      <w:r>
        <w:t xml:space="preserve"> = 0.4686, </w:t>
      </w:r>
      <w:r w:rsidRPr="00611F3D">
        <w:rPr>
          <w:b/>
          <w:bCs/>
        </w:rPr>
        <w:t>d</w:t>
      </w:r>
      <w:r>
        <w:t>), facial (F</w:t>
      </w:r>
      <w:r w:rsidRPr="00A93C92">
        <w:rPr>
          <w:vertAlign w:val="subscript"/>
        </w:rPr>
        <w:t>(2,18)</w:t>
      </w:r>
      <w:r>
        <w:t xml:space="preserve"> = 1.278, </w:t>
      </w:r>
      <w:r w:rsidRPr="00611F3D">
        <w:rPr>
          <w:i/>
          <w:iCs/>
        </w:rPr>
        <w:t>p</w:t>
      </w:r>
      <w:r>
        <w:t xml:space="preserve"> = 0.3028, </w:t>
      </w:r>
      <w:r w:rsidRPr="00611F3D">
        <w:rPr>
          <w:b/>
          <w:bCs/>
        </w:rPr>
        <w:t>e</w:t>
      </w:r>
      <w:r>
        <w:t>), or flank (F</w:t>
      </w:r>
      <w:r w:rsidRPr="00A93C92">
        <w:rPr>
          <w:vertAlign w:val="subscript"/>
        </w:rPr>
        <w:t>(2,18)</w:t>
      </w:r>
      <w:r>
        <w:t xml:space="preserve"> = 0.7477, </w:t>
      </w:r>
      <w:r w:rsidRPr="00611F3D">
        <w:rPr>
          <w:i/>
          <w:iCs/>
        </w:rPr>
        <w:t>p</w:t>
      </w:r>
      <w:r>
        <w:t xml:space="preserve"> = 0.4876, </w:t>
      </w:r>
      <w:r w:rsidRPr="00611F3D">
        <w:rPr>
          <w:b/>
          <w:bCs/>
        </w:rPr>
        <w:t>f</w:t>
      </w:r>
      <w:r>
        <w:t>) investigation n = (7 HM4di, HM3dq &amp;  mCherry).</w:t>
      </w:r>
    </w:p>
    <w:p w14:paraId="24F58E30" w14:textId="77777777" w:rsidR="00FC2CE0" w:rsidRDefault="00FC2CE0" w:rsidP="00FC2CE0">
      <w:pPr>
        <w:jc w:val="both"/>
      </w:pPr>
      <w:r>
        <w:t xml:space="preserve"> </w:t>
      </w:r>
    </w:p>
    <w:p w14:paraId="7B5C8C98" w14:textId="77777777" w:rsidR="00FC2CE0" w:rsidRDefault="00FC2CE0" w:rsidP="00FC2CE0">
      <w:pPr>
        <w:jc w:val="both"/>
        <w:rPr>
          <w:b/>
          <w:bCs/>
        </w:rPr>
      </w:pPr>
      <w:r w:rsidRPr="007F2468">
        <w:rPr>
          <w:b/>
          <w:bCs/>
        </w:rPr>
        <w:t>Extended</w:t>
      </w:r>
      <w:r w:rsidRPr="006A46C2" w:rsidDel="00A75458">
        <w:rPr>
          <w:b/>
          <w:bCs/>
        </w:rPr>
        <w:t xml:space="preserve"> </w:t>
      </w:r>
      <w:r>
        <w:rPr>
          <w:b/>
          <w:bCs/>
        </w:rPr>
        <w:t>Fig.</w:t>
      </w:r>
      <w:r w:rsidRPr="006A46C2" w:rsidDel="00A825A2">
        <w:rPr>
          <w:b/>
          <w:bCs/>
        </w:rPr>
        <w:t xml:space="preserve"> </w:t>
      </w:r>
      <w:r>
        <w:rPr>
          <w:b/>
          <w:bCs/>
        </w:rPr>
        <w:t>7 |</w:t>
      </w:r>
      <w:r w:rsidRPr="006A46C2">
        <w:rPr>
          <w:b/>
          <w:bCs/>
        </w:rPr>
        <w:t xml:space="preserve"> Ethological analyses of social behavio</w:t>
      </w:r>
      <w:r>
        <w:rPr>
          <w:b/>
          <w:bCs/>
        </w:rPr>
        <w:t>u</w:t>
      </w:r>
      <w:r w:rsidRPr="006A46C2">
        <w:rPr>
          <w:b/>
          <w:bCs/>
        </w:rPr>
        <w:t xml:space="preserve">r </w:t>
      </w:r>
      <w:r>
        <w:rPr>
          <w:b/>
          <w:bCs/>
        </w:rPr>
        <w:t>and preservation statistics from DREADD/iDISCO+ experiment</w:t>
      </w:r>
    </w:p>
    <w:p w14:paraId="288A9629" w14:textId="77777777" w:rsidR="00FC2CE0" w:rsidRDefault="00FC2CE0" w:rsidP="00FC2CE0">
      <w:pPr>
        <w:jc w:val="both"/>
      </w:pPr>
      <w:r w:rsidRPr="00611F3D">
        <w:rPr>
          <w:b/>
          <w:bCs/>
        </w:rPr>
        <w:t>a-c</w:t>
      </w:r>
      <w:r>
        <w:t xml:space="preserve">, Inhibiting </w:t>
      </w:r>
      <w:r w:rsidRPr="00D01A6D">
        <w:t>COAp</w:t>
      </w:r>
      <w:r>
        <w:t>l</w:t>
      </w:r>
      <w:r w:rsidRPr="00D01A6D">
        <w:rPr>
          <w:vertAlign w:val="superscript"/>
        </w:rPr>
        <w:t>Esr1</w:t>
      </w:r>
      <w:r w:rsidRPr="00D01A6D">
        <w:t xml:space="preserve"> cells</w:t>
      </w:r>
      <w:r>
        <w:t xml:space="preserve"> results in a reduction in bites (t</w:t>
      </w:r>
      <w:r>
        <w:rPr>
          <w:vertAlign w:val="subscript"/>
        </w:rPr>
        <w:t xml:space="preserve">25 </w:t>
      </w:r>
      <w:r>
        <w:t xml:space="preserve">= 3.883, p = 0.0007, </w:t>
      </w:r>
      <w:r w:rsidRPr="00611F3D">
        <w:rPr>
          <w:b/>
          <w:bCs/>
        </w:rPr>
        <w:t>a</w:t>
      </w:r>
      <w:r>
        <w:t>) and kicks (t</w:t>
      </w:r>
      <w:r>
        <w:rPr>
          <w:vertAlign w:val="subscript"/>
        </w:rPr>
        <w:t xml:space="preserve">25 </w:t>
      </w:r>
      <w:r>
        <w:t xml:space="preserve">= 2.11, </w:t>
      </w:r>
      <w:r w:rsidRPr="00611F3D">
        <w:rPr>
          <w:i/>
          <w:iCs/>
        </w:rPr>
        <w:t>p</w:t>
      </w:r>
      <w:r>
        <w:t xml:space="preserve"> = 0.0450, </w:t>
      </w:r>
      <w:r w:rsidRPr="00611F3D">
        <w:rPr>
          <w:b/>
          <w:bCs/>
        </w:rPr>
        <w:t>b</w:t>
      </w:r>
      <w:r>
        <w:t>) delivered to the intruder with no effect on wrestling (t</w:t>
      </w:r>
      <w:r>
        <w:rPr>
          <w:vertAlign w:val="subscript"/>
        </w:rPr>
        <w:t xml:space="preserve">25 </w:t>
      </w:r>
      <w:r>
        <w:t xml:space="preserve">= 1.832, </w:t>
      </w:r>
      <w:r w:rsidRPr="00611F3D">
        <w:rPr>
          <w:i/>
          <w:iCs/>
        </w:rPr>
        <w:t>p</w:t>
      </w:r>
      <w:r>
        <w:t xml:space="preserve"> = 0.0789, </w:t>
      </w:r>
      <w:r w:rsidRPr="00611F3D">
        <w:rPr>
          <w:b/>
          <w:bCs/>
        </w:rPr>
        <w:t>c</w:t>
      </w:r>
      <w:r>
        <w:t xml:space="preserve">) compared to the mCherry group. </w:t>
      </w:r>
      <w:r w:rsidRPr="00611F3D">
        <w:rPr>
          <w:b/>
          <w:bCs/>
        </w:rPr>
        <w:t>d-f</w:t>
      </w:r>
      <w:r>
        <w:t>, Mice injected with the hM4Di virus also displayed an increase in anogenital (t</w:t>
      </w:r>
      <w:r>
        <w:rPr>
          <w:vertAlign w:val="subscript"/>
        </w:rPr>
        <w:t xml:space="preserve">25 </w:t>
      </w:r>
      <w:r>
        <w:t xml:space="preserve">= 4.436, p = 0.0002, </w:t>
      </w:r>
      <w:r w:rsidRPr="00611F3D">
        <w:rPr>
          <w:b/>
          <w:bCs/>
        </w:rPr>
        <w:t>d</w:t>
      </w:r>
      <w:r>
        <w:t>), facial (t</w:t>
      </w:r>
      <w:r>
        <w:rPr>
          <w:vertAlign w:val="subscript"/>
        </w:rPr>
        <w:t xml:space="preserve">25 </w:t>
      </w:r>
      <w:r>
        <w:t xml:space="preserve">= 2.724, p = 0.0116, </w:t>
      </w:r>
      <w:r>
        <w:rPr>
          <w:b/>
          <w:bCs/>
        </w:rPr>
        <w:t>e</w:t>
      </w:r>
      <w:r>
        <w:t>) and flank (t</w:t>
      </w:r>
      <w:r>
        <w:rPr>
          <w:vertAlign w:val="subscript"/>
        </w:rPr>
        <w:t xml:space="preserve">25 </w:t>
      </w:r>
      <w:r>
        <w:t xml:space="preserve">= 3.496, </w:t>
      </w:r>
      <w:r w:rsidRPr="00611F3D">
        <w:rPr>
          <w:i/>
          <w:iCs/>
        </w:rPr>
        <w:t>p</w:t>
      </w:r>
      <w:r>
        <w:t xml:space="preserve"> = 0.0018, </w:t>
      </w:r>
      <w:r>
        <w:rPr>
          <w:b/>
          <w:bCs/>
        </w:rPr>
        <w:t>f</w:t>
      </w:r>
      <w:r>
        <w:t xml:space="preserve">) investigation n = 19. (HM4di), 21 (mCherry). </w:t>
      </w:r>
      <w:r w:rsidRPr="00611F3D">
        <w:rPr>
          <w:b/>
          <w:bCs/>
        </w:rPr>
        <w:t>g</w:t>
      </w:r>
      <w:r>
        <w:t>, In addition to the pink module, inhibiting the COApl alters the preservation of the red module (t</w:t>
      </w:r>
      <w:r>
        <w:rPr>
          <w:vertAlign w:val="subscript"/>
        </w:rPr>
        <w:t xml:space="preserve">9 </w:t>
      </w:r>
      <w:r>
        <w:t xml:space="preserve">= 3.600, </w:t>
      </w:r>
      <w:r w:rsidRPr="00611F3D">
        <w:rPr>
          <w:i/>
          <w:iCs/>
        </w:rPr>
        <w:t>p</w:t>
      </w:r>
      <w:r>
        <w:t xml:space="preserve"> = 0.039529). </w:t>
      </w:r>
      <w:r w:rsidRPr="00611F3D">
        <w:rPr>
          <w:b/>
          <w:bCs/>
        </w:rPr>
        <w:t>h</w:t>
      </w:r>
      <w:r>
        <w:t>, The pink module had the highest percentage of regions (78%) which showed a decrease in c-Fos.</w:t>
      </w:r>
    </w:p>
    <w:p w14:paraId="3AC7ADA1" w14:textId="77777777" w:rsidR="00755780" w:rsidRDefault="00755780"/>
    <w:sectPr w:rsidR="00755780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2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C2CE0"/>
    <w:rsid w:val="00755780"/>
    <w:rsid w:val="00FC2CE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9BF4835"/>
  <w15:chartTrackingRefBased/>
  <w15:docId w15:val="{27CDF6CF-E861-48AD-815D-BE3B2AA6B16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FC2CE0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1122</Words>
  <Characters>6401</Characters>
  <Application>Microsoft Office Word</Application>
  <DocSecurity>0</DocSecurity>
  <Lines>53</Lines>
  <Paragraphs>15</Paragraphs>
  <ScaleCrop>false</ScaleCrop>
  <Company>Springer Nature</Company>
  <LinksUpToDate>false</LinksUpToDate>
  <CharactersWithSpaces>7508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Sachin Maharnur</dc:creator>
  <cp:keywords/>
  <dc:description/>
  <cp:lastModifiedBy>Sachin Maharnur</cp:lastModifiedBy>
  <cp:revision>1</cp:revision>
  <dcterms:created xsi:type="dcterms:W3CDTF">2023-07-06T03:26:00Z</dcterms:created>
  <dcterms:modified xsi:type="dcterms:W3CDTF">2023-07-06T03:26:00Z</dcterms:modified>
</cp:coreProperties>
</file>