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0F839" w14:textId="07E9D0E4" w:rsidR="00AA675F" w:rsidRDefault="00FA50F3">
      <w:r>
        <w:rPr>
          <w:noProof/>
        </w:rPr>
        <w:drawing>
          <wp:inline distT="0" distB="0" distL="0" distR="0" wp14:anchorId="555B25FA" wp14:editId="789BDAD4">
            <wp:extent cx="5274310" cy="373316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F69BC" w14:textId="1D651148" w:rsidR="00FA50F3" w:rsidRDefault="00FA50F3">
      <w:pPr>
        <w:rPr>
          <w:rFonts w:ascii="Times New Roman" w:hAnsi="Times New Roman" w:cs="Times New Roman"/>
          <w:sz w:val="24"/>
          <w:szCs w:val="24"/>
        </w:rPr>
      </w:pPr>
      <w:r w:rsidRPr="00FA50F3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Pr="00FA50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0F3">
        <w:rPr>
          <w:rFonts w:ascii="Times New Roman" w:hAnsi="Times New Roman" w:cs="Times New Roman"/>
          <w:sz w:val="24"/>
          <w:szCs w:val="24"/>
        </w:rPr>
        <w:t>Results of pseudo-time analysis of 11 cancer cell clusters</w:t>
      </w:r>
      <w:r w:rsidRPr="00FA50F3">
        <w:rPr>
          <w:rFonts w:ascii="Times New Roman" w:hAnsi="Times New Roman" w:cs="Times New Roman"/>
          <w:sz w:val="24"/>
          <w:szCs w:val="24"/>
        </w:rPr>
        <w:t>.</w:t>
      </w:r>
    </w:p>
    <w:p w14:paraId="4954ABD5" w14:textId="5050D874" w:rsidR="00FA50F3" w:rsidRDefault="00FA50F3">
      <w:pPr>
        <w:rPr>
          <w:rFonts w:ascii="Times New Roman" w:hAnsi="Times New Roman" w:cs="Times New Roman"/>
          <w:sz w:val="24"/>
          <w:szCs w:val="24"/>
        </w:rPr>
      </w:pPr>
    </w:p>
    <w:p w14:paraId="488CBE52" w14:textId="037DC19B" w:rsidR="00FA50F3" w:rsidRDefault="00FA5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108D137D" wp14:editId="5FBD7D53">
            <wp:extent cx="5274310" cy="510349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0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DC045" w14:textId="4E6DFD9D" w:rsidR="00790825" w:rsidRPr="00790825" w:rsidRDefault="00790825" w:rsidP="00790825">
      <w:pPr>
        <w:rPr>
          <w:rFonts w:ascii="Times New Roman" w:hAnsi="Times New Roman" w:cs="Times New Roman"/>
          <w:sz w:val="24"/>
          <w:szCs w:val="24"/>
        </w:rPr>
      </w:pPr>
      <w:r w:rsidRPr="00790825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90825">
        <w:rPr>
          <w:rFonts w:ascii="Times New Roman" w:hAnsi="Times New Roman" w:cs="Times New Roman"/>
          <w:sz w:val="24"/>
          <w:szCs w:val="24"/>
        </w:rPr>
        <w:t>Identification and validation of cancer stem cell clusters</w:t>
      </w:r>
      <w:r>
        <w:rPr>
          <w:rFonts w:ascii="Times New Roman" w:hAnsi="Times New Roman" w:cs="Times New Roman"/>
          <w:sz w:val="24"/>
          <w:szCs w:val="24"/>
        </w:rPr>
        <w:t xml:space="preserve">. (A-D) </w:t>
      </w:r>
      <w:r w:rsidRPr="00790825">
        <w:rPr>
          <w:rFonts w:ascii="Times New Roman" w:hAnsi="Times New Roman" w:cs="Times New Roman"/>
          <w:sz w:val="24"/>
          <w:szCs w:val="24"/>
        </w:rPr>
        <w:t>Cancer stem cell-related genes previously reported in the literature, such as EPCAM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790825">
        <w:rPr>
          <w:rFonts w:ascii="Times New Roman" w:hAnsi="Times New Roman" w:cs="Times New Roman"/>
          <w:sz w:val="24"/>
          <w:szCs w:val="24"/>
        </w:rPr>
        <w:t>, KRT19</w:t>
      </w:r>
      <w:r>
        <w:rPr>
          <w:rFonts w:ascii="Times New Roman" w:hAnsi="Times New Roman" w:cs="Times New Roman"/>
          <w:sz w:val="24"/>
          <w:szCs w:val="24"/>
        </w:rPr>
        <w:t>(B)</w:t>
      </w:r>
      <w:r w:rsidRPr="00790825">
        <w:rPr>
          <w:rFonts w:ascii="Times New Roman" w:hAnsi="Times New Roman" w:cs="Times New Roman"/>
          <w:sz w:val="24"/>
          <w:szCs w:val="24"/>
        </w:rPr>
        <w:t>, ITGA6</w:t>
      </w:r>
      <w:r>
        <w:rPr>
          <w:rFonts w:ascii="Times New Roman" w:hAnsi="Times New Roman" w:cs="Times New Roman"/>
          <w:sz w:val="24"/>
          <w:szCs w:val="24"/>
        </w:rPr>
        <w:t>(C)</w:t>
      </w:r>
      <w:r w:rsidRPr="00790825">
        <w:rPr>
          <w:rFonts w:ascii="Times New Roman" w:hAnsi="Times New Roman" w:cs="Times New Roman"/>
          <w:sz w:val="24"/>
          <w:szCs w:val="24"/>
        </w:rPr>
        <w:t>, and CD44</w:t>
      </w:r>
      <w:r>
        <w:rPr>
          <w:rFonts w:ascii="Times New Roman" w:hAnsi="Times New Roman" w:cs="Times New Roman"/>
          <w:sz w:val="24"/>
          <w:szCs w:val="24"/>
        </w:rPr>
        <w:t>(D)</w:t>
      </w:r>
      <w:r w:rsidRPr="00790825">
        <w:rPr>
          <w:rFonts w:ascii="Times New Roman" w:hAnsi="Times New Roman" w:cs="Times New Roman"/>
          <w:sz w:val="24"/>
          <w:szCs w:val="24"/>
        </w:rPr>
        <w:t>, are highly expressed in cancer cell cluster 1</w:t>
      </w:r>
      <w:r w:rsidR="00A00E93">
        <w:rPr>
          <w:rFonts w:ascii="Times New Roman" w:hAnsi="Times New Roman" w:cs="Times New Roman"/>
          <w:sz w:val="24"/>
          <w:szCs w:val="24"/>
        </w:rPr>
        <w:t>.</w:t>
      </w:r>
    </w:p>
    <w:p w14:paraId="3CE5E345" w14:textId="77777777" w:rsidR="00790825" w:rsidRPr="00790825" w:rsidRDefault="00790825" w:rsidP="00790825">
      <w:pPr>
        <w:rPr>
          <w:rFonts w:ascii="Times New Roman" w:hAnsi="Times New Roman" w:cs="Times New Roman"/>
          <w:sz w:val="24"/>
          <w:szCs w:val="24"/>
        </w:rPr>
      </w:pPr>
    </w:p>
    <w:p w14:paraId="0A7912BB" w14:textId="5E748082" w:rsidR="00FA50F3" w:rsidRDefault="002D23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77010433" wp14:editId="4B5DC73A">
            <wp:extent cx="5274310" cy="603948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3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2F06A" w14:textId="6B023E6F" w:rsidR="00DE0607" w:rsidRDefault="00DE0607">
      <w:pPr>
        <w:rPr>
          <w:rFonts w:ascii="Times New Roman" w:hAnsi="Times New Roman" w:cs="Times New Roman"/>
          <w:sz w:val="24"/>
          <w:szCs w:val="24"/>
        </w:rPr>
      </w:pPr>
      <w:r w:rsidRPr="002F447C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E0607">
        <w:rPr>
          <w:rFonts w:ascii="Times New Roman" w:hAnsi="Times New Roman" w:cs="Times New Roman"/>
          <w:sz w:val="24"/>
          <w:szCs w:val="24"/>
        </w:rPr>
        <w:t>Identification of differentially expressed cancer stem cell-</w:t>
      </w:r>
      <w:r>
        <w:rPr>
          <w:rFonts w:ascii="Times New Roman" w:hAnsi="Times New Roman" w:cs="Times New Roman"/>
          <w:sz w:val="24"/>
          <w:szCs w:val="24"/>
        </w:rPr>
        <w:t>relat</w:t>
      </w:r>
      <w:r w:rsidRPr="00DE0607">
        <w:rPr>
          <w:rFonts w:ascii="Times New Roman" w:hAnsi="Times New Roman" w:cs="Times New Roman"/>
          <w:sz w:val="24"/>
          <w:szCs w:val="24"/>
        </w:rPr>
        <w:t>ed genes</w:t>
      </w:r>
      <w:r>
        <w:rPr>
          <w:rFonts w:ascii="Times New Roman" w:hAnsi="Times New Roman" w:cs="Times New Roman"/>
          <w:sz w:val="24"/>
          <w:szCs w:val="24"/>
        </w:rPr>
        <w:t xml:space="preserve">. (A) </w:t>
      </w:r>
      <w:r w:rsidRPr="00DE0607">
        <w:rPr>
          <w:rFonts w:ascii="Times New Roman" w:hAnsi="Times New Roman" w:cs="Times New Roman"/>
          <w:sz w:val="24"/>
          <w:szCs w:val="24"/>
        </w:rPr>
        <w:t>Gene differential expression ranking diagram showing genes differentially expressed in HCC tissues and in paracancerous tissues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E0607">
        <w:t xml:space="preserve"> </w:t>
      </w:r>
      <w:r w:rsidRPr="00DE0607">
        <w:rPr>
          <w:rFonts w:ascii="Times New Roman" w:hAnsi="Times New Roman" w:cs="Times New Roman"/>
          <w:sz w:val="24"/>
          <w:szCs w:val="24"/>
        </w:rPr>
        <w:t xml:space="preserve">(B) Venn diagram demonstrating that there are </w:t>
      </w:r>
      <w:r>
        <w:rPr>
          <w:rFonts w:ascii="Times New Roman" w:hAnsi="Times New Roman" w:cs="Times New Roman"/>
          <w:sz w:val="24"/>
          <w:szCs w:val="24"/>
        </w:rPr>
        <w:t>120</w:t>
      </w:r>
      <w:r w:rsidRPr="00DE06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DE0607">
        <w:rPr>
          <w:rFonts w:ascii="Times New Roman" w:hAnsi="Times New Roman" w:cs="Times New Roman"/>
          <w:sz w:val="24"/>
          <w:szCs w:val="24"/>
        </w:rPr>
        <w:t xml:space="preserve">ancer stem cell-related gene differentially expressed in HCC tissue and paracancerous tissue. (C) Results of GO functional enrichment analysis of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DE0607">
        <w:rPr>
          <w:rFonts w:ascii="Times New Roman" w:hAnsi="Times New Roman" w:cs="Times New Roman"/>
          <w:sz w:val="24"/>
          <w:szCs w:val="24"/>
        </w:rPr>
        <w:t xml:space="preserve">ancer stem cell-related gene. (D) Results of KEGG functional enrichment analysis of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DE0607">
        <w:rPr>
          <w:rFonts w:ascii="Times New Roman" w:hAnsi="Times New Roman" w:cs="Times New Roman"/>
          <w:sz w:val="24"/>
          <w:szCs w:val="24"/>
        </w:rPr>
        <w:t>ancer stem cell-related gene.</w:t>
      </w:r>
    </w:p>
    <w:p w14:paraId="502211F9" w14:textId="09FECA54" w:rsidR="002203B5" w:rsidRDefault="002203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EA4A387" wp14:editId="499E2EE0">
            <wp:extent cx="5274310" cy="76409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4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64886" w14:textId="4D9904FC" w:rsidR="002203B5" w:rsidRDefault="002203B5">
      <w:pPr>
        <w:rPr>
          <w:rFonts w:ascii="Times New Roman" w:hAnsi="Times New Roman" w:cs="Times New Roman"/>
          <w:sz w:val="24"/>
          <w:szCs w:val="24"/>
        </w:rPr>
      </w:pPr>
    </w:p>
    <w:p w14:paraId="02611C41" w14:textId="5CBD897C" w:rsidR="002203B5" w:rsidRDefault="002203B5">
      <w:pPr>
        <w:rPr>
          <w:rFonts w:ascii="Times New Roman" w:hAnsi="Times New Roman" w:cs="Times New Roman"/>
          <w:sz w:val="24"/>
          <w:szCs w:val="24"/>
        </w:rPr>
      </w:pPr>
      <w:r w:rsidRPr="002203B5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203B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203B5">
        <w:rPr>
          <w:rFonts w:ascii="Times New Roman" w:hAnsi="Times New Roman" w:cs="Times New Roman"/>
          <w:sz w:val="24"/>
          <w:szCs w:val="24"/>
        </w:rPr>
        <w:t xml:space="preserve"> The relationship between risk scores and clinical characteristics in the training set.(A-H) Relationship between risk score and clinical characteristics, including age(A), gender(B), N stage(C), M stage(D), tumor grade(E),tumor stage(F),MVI(G) and survival status(H).</w:t>
      </w:r>
    </w:p>
    <w:p w14:paraId="6E505155" w14:textId="6E3B5D7B" w:rsidR="00F138FC" w:rsidRDefault="00F138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67E35C9" wp14:editId="7F483C58">
            <wp:extent cx="5274310" cy="753173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3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17036" w14:textId="1E8A9698" w:rsidR="00F138FC" w:rsidRDefault="00F138FC">
      <w:pPr>
        <w:rPr>
          <w:rFonts w:ascii="Times New Roman" w:hAnsi="Times New Roman" w:cs="Times New Roman"/>
          <w:sz w:val="24"/>
          <w:szCs w:val="24"/>
        </w:rPr>
      </w:pPr>
    </w:p>
    <w:p w14:paraId="45C009EE" w14:textId="02B379B2" w:rsidR="00F138FC" w:rsidRDefault="00F138FC">
      <w:pPr>
        <w:rPr>
          <w:rFonts w:ascii="Times New Roman" w:hAnsi="Times New Roman" w:cs="Times New Roman"/>
          <w:sz w:val="24"/>
          <w:szCs w:val="24"/>
        </w:rPr>
      </w:pPr>
      <w:r w:rsidRPr="00E604FD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E604F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138FC">
        <w:rPr>
          <w:rFonts w:ascii="Times New Roman" w:hAnsi="Times New Roman" w:cs="Times New Roman"/>
          <w:sz w:val="24"/>
          <w:szCs w:val="24"/>
        </w:rPr>
        <w:t xml:space="preserve">  Multiple external data sets were used to verify the superiority of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138FC">
        <w:rPr>
          <w:rFonts w:ascii="Times New Roman" w:hAnsi="Times New Roman" w:cs="Times New Roman"/>
          <w:sz w:val="24"/>
          <w:szCs w:val="24"/>
        </w:rPr>
        <w:t xml:space="preserve">rognostic </w:t>
      </w:r>
      <w:r>
        <w:rPr>
          <w:rFonts w:ascii="Times New Roman" w:hAnsi="Times New Roman" w:cs="Times New Roman"/>
          <w:sz w:val="24"/>
          <w:szCs w:val="24"/>
        </w:rPr>
        <w:t>signature</w:t>
      </w:r>
      <w:r w:rsidRPr="00F138FC">
        <w:rPr>
          <w:rFonts w:ascii="Times New Roman" w:hAnsi="Times New Roman" w:cs="Times New Roman"/>
          <w:sz w:val="24"/>
          <w:szCs w:val="24"/>
        </w:rPr>
        <w:t xml:space="preserve">.  (A) Patients in the low-risk group in the GSE14250 dataset survived significantly better than those in the high-risk group. (B) Patients in the low-risk group in the ICGC data set survived significantly better than those in the high-risk group.(C) </w:t>
      </w:r>
      <w:r w:rsidRPr="00F138FC">
        <w:rPr>
          <w:rFonts w:ascii="Times New Roman" w:hAnsi="Times New Roman" w:cs="Times New Roman"/>
          <w:sz w:val="24"/>
          <w:szCs w:val="24"/>
        </w:rPr>
        <w:lastRenderedPageBreak/>
        <w:t>ROC curves of prognostic signature predicting the risk of death at 1, 3, and 5 years in the GSE14250 dataset. (D) ROC curves of prognostic signature predicting the risk of death at 1, 3, and 5 years in the ICGC dataset.</w:t>
      </w:r>
      <w:r w:rsidR="00E604FD">
        <w:rPr>
          <w:rFonts w:ascii="Times New Roman" w:hAnsi="Times New Roman" w:cs="Times New Roman"/>
          <w:sz w:val="24"/>
          <w:szCs w:val="24"/>
        </w:rPr>
        <w:t xml:space="preserve"> (E) </w:t>
      </w:r>
      <w:r w:rsidR="00E604FD" w:rsidRPr="00E604FD">
        <w:rPr>
          <w:rFonts w:ascii="Times New Roman" w:hAnsi="Times New Roman" w:cs="Times New Roman"/>
          <w:sz w:val="24"/>
          <w:szCs w:val="24"/>
        </w:rPr>
        <w:t>Results of meta-analysis of 2 independent external validation datasets and TCGA dataset.</w:t>
      </w:r>
    </w:p>
    <w:p w14:paraId="3A5061F4" w14:textId="38CAA1A3" w:rsidR="00E604FD" w:rsidRDefault="00E604FD">
      <w:pPr>
        <w:rPr>
          <w:rFonts w:ascii="Times New Roman" w:hAnsi="Times New Roman" w:cs="Times New Roman"/>
          <w:sz w:val="24"/>
          <w:szCs w:val="24"/>
        </w:rPr>
      </w:pPr>
    </w:p>
    <w:p w14:paraId="50A7CC72" w14:textId="508C259F" w:rsidR="00E604FD" w:rsidRDefault="00E604FD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2B8C1696" wp14:editId="387B6A96">
            <wp:extent cx="5274310" cy="7538720"/>
            <wp:effectExtent l="0" t="0" r="254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3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71EE0" w14:textId="30D6CA4D" w:rsidR="00E604FD" w:rsidRDefault="00E604FD" w:rsidP="00E604FD">
      <w:pPr>
        <w:rPr>
          <w:rFonts w:ascii="Times New Roman" w:hAnsi="Times New Roman" w:cs="Times New Roman"/>
          <w:sz w:val="24"/>
          <w:szCs w:val="24"/>
        </w:rPr>
      </w:pPr>
      <w:r w:rsidRPr="00BF203F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 w:rsidRPr="00BF203F"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003C5">
        <w:rPr>
          <w:rFonts w:ascii="Times New Roman" w:hAnsi="Times New Roman" w:cs="Times New Roman"/>
          <w:sz w:val="24"/>
          <w:szCs w:val="24"/>
        </w:rPr>
        <w:t xml:space="preserve">Exploration of the molecular mechanisms behind the prognostic </w:t>
      </w:r>
      <w:r>
        <w:rPr>
          <w:rFonts w:ascii="Times New Roman" w:hAnsi="Times New Roman" w:cs="Times New Roman"/>
          <w:sz w:val="24"/>
          <w:szCs w:val="24"/>
        </w:rPr>
        <w:t xml:space="preserve">signature. (A) </w:t>
      </w:r>
      <w:r w:rsidRPr="00E003C5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F868F0">
        <w:rPr>
          <w:rFonts w:ascii="Times New Roman" w:hAnsi="Times New Roman" w:cs="Times New Roman"/>
          <w:sz w:val="24"/>
          <w:szCs w:val="24"/>
        </w:rPr>
        <w:t>olcano map</w:t>
      </w:r>
      <w:r w:rsidRPr="00E003C5">
        <w:rPr>
          <w:rFonts w:ascii="Times New Roman" w:hAnsi="Times New Roman" w:cs="Times New Roman"/>
          <w:sz w:val="24"/>
          <w:szCs w:val="24"/>
        </w:rPr>
        <w:t xml:space="preserve"> demonstrates that most genes are highly expressed in the high-risk group</w:t>
      </w:r>
      <w:r>
        <w:rPr>
          <w:rFonts w:ascii="Times New Roman" w:hAnsi="Times New Roman" w:cs="Times New Roman"/>
          <w:sz w:val="24"/>
          <w:szCs w:val="24"/>
        </w:rPr>
        <w:t xml:space="preserve">. (B) </w:t>
      </w:r>
      <w:r w:rsidRPr="00E003C5">
        <w:rPr>
          <w:rFonts w:ascii="Times New Roman" w:hAnsi="Times New Roman" w:cs="Times New Roman"/>
          <w:sz w:val="24"/>
          <w:szCs w:val="24"/>
        </w:rPr>
        <w:t>Results of GO functional enrichment analysis of genes highly expressed in the high-risk group</w:t>
      </w:r>
      <w:r>
        <w:rPr>
          <w:rFonts w:ascii="Times New Roman" w:hAnsi="Times New Roman" w:cs="Times New Roman"/>
          <w:sz w:val="24"/>
          <w:szCs w:val="24"/>
        </w:rPr>
        <w:t xml:space="preserve">. (C) </w:t>
      </w:r>
      <w:r w:rsidRPr="00E003C5">
        <w:rPr>
          <w:rFonts w:ascii="Times New Roman" w:hAnsi="Times New Roman" w:cs="Times New Roman"/>
          <w:sz w:val="24"/>
          <w:szCs w:val="24"/>
        </w:rPr>
        <w:t xml:space="preserve">Results of GO functional enrichment analysis of genes highly expressed in the </w:t>
      </w:r>
      <w:r>
        <w:rPr>
          <w:rFonts w:ascii="Times New Roman" w:hAnsi="Times New Roman" w:cs="Times New Roman"/>
          <w:sz w:val="24"/>
          <w:szCs w:val="24"/>
        </w:rPr>
        <w:t>low</w:t>
      </w:r>
      <w:r w:rsidRPr="00E003C5">
        <w:rPr>
          <w:rFonts w:ascii="Times New Roman" w:hAnsi="Times New Roman" w:cs="Times New Roman"/>
          <w:sz w:val="24"/>
          <w:szCs w:val="24"/>
        </w:rPr>
        <w:t>-risk group</w:t>
      </w:r>
      <w:r>
        <w:rPr>
          <w:rFonts w:ascii="Times New Roman" w:hAnsi="Times New Roman" w:cs="Times New Roman"/>
          <w:sz w:val="24"/>
          <w:szCs w:val="24"/>
        </w:rPr>
        <w:t xml:space="preserve">. (D) </w:t>
      </w:r>
      <w:r w:rsidRPr="00BF203F">
        <w:rPr>
          <w:rFonts w:ascii="Times New Roman" w:hAnsi="Times New Roman" w:cs="Times New Roman"/>
          <w:sz w:val="24"/>
          <w:szCs w:val="24"/>
        </w:rPr>
        <w:t>Results of GSEA KEGG functional enrichment analysis in the high-risk and low-risk groups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(E-F) </w:t>
      </w:r>
      <w:r w:rsidRPr="00E604FD">
        <w:rPr>
          <w:rFonts w:ascii="Times New Roman" w:hAnsi="Times New Roman" w:cs="Times New Roman"/>
          <w:sz w:val="24"/>
          <w:szCs w:val="24"/>
        </w:rPr>
        <w:t>Hallmark enrichment analysis showed that the high-risk group was mainly enriched in MYC_TARGETS_V1 and E2F_TARGETS signaling pathways</w:t>
      </w:r>
      <w:r>
        <w:rPr>
          <w:rFonts w:ascii="Times New Roman" w:hAnsi="Times New Roman" w:cs="Times New Roman"/>
          <w:sz w:val="24"/>
          <w:szCs w:val="24"/>
        </w:rPr>
        <w:t>(E)</w:t>
      </w:r>
      <w:r w:rsidRPr="00E604FD">
        <w:rPr>
          <w:rFonts w:ascii="Times New Roman" w:hAnsi="Times New Roman" w:cs="Times New Roman"/>
          <w:sz w:val="24"/>
          <w:szCs w:val="24"/>
        </w:rPr>
        <w:t>, whereas the low-risk group was mainly enriched in BILE_ ACID_METABOLISMsignaling pathways</w:t>
      </w:r>
      <w:r>
        <w:rPr>
          <w:rFonts w:ascii="Times New Roman" w:hAnsi="Times New Roman" w:cs="Times New Roman"/>
          <w:sz w:val="24"/>
          <w:szCs w:val="24"/>
        </w:rPr>
        <w:t>(F).</w:t>
      </w:r>
    </w:p>
    <w:p w14:paraId="3B1BC045" w14:textId="32ABD7CE" w:rsidR="00E604FD" w:rsidRDefault="00E604FD" w:rsidP="00E604FD">
      <w:pPr>
        <w:rPr>
          <w:rFonts w:ascii="Times New Roman" w:hAnsi="Times New Roman" w:cs="Times New Roman"/>
          <w:sz w:val="24"/>
          <w:szCs w:val="24"/>
        </w:rPr>
      </w:pPr>
    </w:p>
    <w:p w14:paraId="0582D148" w14:textId="7352CE20" w:rsidR="00E604FD" w:rsidRDefault="00E604FD" w:rsidP="00E604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BA9B29" wp14:editId="2B54B61E">
            <wp:extent cx="5274310" cy="404368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4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93C34" w14:textId="77777777" w:rsidR="00E604FD" w:rsidRDefault="00E604FD" w:rsidP="00E604FD">
      <w:pPr>
        <w:rPr>
          <w:rFonts w:ascii="Times New Roman" w:hAnsi="Times New Roman" w:cs="Times New Roman" w:hint="eastAsia"/>
          <w:sz w:val="24"/>
          <w:szCs w:val="24"/>
        </w:rPr>
      </w:pPr>
    </w:p>
    <w:p w14:paraId="718FD04B" w14:textId="77777777" w:rsidR="00E604FD" w:rsidRDefault="00E604FD" w:rsidP="00E604FD">
      <w:pPr>
        <w:rPr>
          <w:rFonts w:ascii="Times New Roman" w:hAnsi="Times New Roman" w:cs="Times New Roman"/>
          <w:sz w:val="24"/>
          <w:szCs w:val="24"/>
        </w:rPr>
      </w:pPr>
      <w:r w:rsidRPr="00BF203F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BF203F"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203F">
        <w:rPr>
          <w:rFonts w:ascii="Times New Roman" w:hAnsi="Times New Roman" w:cs="Times New Roman"/>
          <w:sz w:val="24"/>
          <w:szCs w:val="24"/>
        </w:rPr>
        <w:t>Heatmap shows that most immune checkpoint-associated genes are overexpressed in high-risk groups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A044C1" w14:textId="7846AE02" w:rsidR="002203B5" w:rsidRDefault="002203B5">
      <w:pPr>
        <w:rPr>
          <w:rFonts w:ascii="Times New Roman" w:hAnsi="Times New Roman" w:cs="Times New Roman"/>
          <w:sz w:val="24"/>
          <w:szCs w:val="24"/>
        </w:rPr>
      </w:pPr>
    </w:p>
    <w:p w14:paraId="4A8E737E" w14:textId="4EEB9D7D" w:rsidR="00E604FD" w:rsidRDefault="00E604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7A479A5E" wp14:editId="1DC94F15">
            <wp:extent cx="5274310" cy="766254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6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9C79A" w14:textId="184C0D66" w:rsidR="00E604FD" w:rsidRPr="00456854" w:rsidRDefault="00E604FD" w:rsidP="00E604FD">
      <w:pPr>
        <w:rPr>
          <w:rFonts w:ascii="Times New Roman" w:hAnsi="Times New Roman" w:cs="Times New Roman"/>
          <w:sz w:val="24"/>
          <w:szCs w:val="24"/>
        </w:rPr>
      </w:pPr>
      <w:r w:rsidRPr="00570C8F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570C8F"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F203F">
        <w:rPr>
          <w:rFonts w:ascii="Times New Roman" w:hAnsi="Times New Roman" w:cs="Times New Roman"/>
          <w:sz w:val="24"/>
          <w:szCs w:val="24"/>
        </w:rPr>
        <w:t>Drug sensitivity prediction in the training set</w:t>
      </w:r>
      <w:r>
        <w:rPr>
          <w:rFonts w:ascii="Times New Roman" w:hAnsi="Times New Roman" w:cs="Times New Roman"/>
          <w:sz w:val="24"/>
          <w:szCs w:val="24"/>
        </w:rPr>
        <w:t xml:space="preserve">. (A-F) </w:t>
      </w:r>
      <w:r w:rsidRPr="00570C8F">
        <w:rPr>
          <w:rFonts w:ascii="Times New Roman" w:hAnsi="Times New Roman" w:cs="Times New Roman"/>
          <w:sz w:val="24"/>
          <w:szCs w:val="24"/>
        </w:rPr>
        <w:t>The results of drug sensitivity analysis showed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8F">
        <w:rPr>
          <w:rFonts w:ascii="Times New Roman" w:hAnsi="Times New Roman" w:cs="Times New Roman"/>
          <w:sz w:val="24"/>
          <w:szCs w:val="24"/>
        </w:rPr>
        <w:t xml:space="preserve">a higher risk score was related to lower IC50 among antitumor drugs, such as </w:t>
      </w:r>
      <w:r w:rsidRPr="00E604FD">
        <w:rPr>
          <w:rFonts w:ascii="Times New Roman" w:hAnsi="Times New Roman" w:cs="Times New Roman"/>
          <w:sz w:val="24"/>
          <w:szCs w:val="24"/>
        </w:rPr>
        <w:t>Bleomycin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E604FD">
        <w:rPr>
          <w:rFonts w:ascii="Times New Roman" w:hAnsi="Times New Roman" w:cs="Times New Roman"/>
          <w:sz w:val="24"/>
          <w:szCs w:val="24"/>
        </w:rPr>
        <w:t>, Embelin</w:t>
      </w:r>
      <w:r>
        <w:rPr>
          <w:rFonts w:ascii="Times New Roman" w:hAnsi="Times New Roman" w:cs="Times New Roman"/>
          <w:sz w:val="24"/>
          <w:szCs w:val="24"/>
        </w:rPr>
        <w:t>(B)</w:t>
      </w:r>
      <w:r w:rsidRPr="00E604FD">
        <w:rPr>
          <w:rFonts w:ascii="Times New Roman" w:hAnsi="Times New Roman" w:cs="Times New Roman"/>
          <w:sz w:val="24"/>
          <w:szCs w:val="24"/>
        </w:rPr>
        <w:t>, Bexarotene</w:t>
      </w:r>
      <w:r>
        <w:rPr>
          <w:rFonts w:ascii="Times New Roman" w:hAnsi="Times New Roman" w:cs="Times New Roman"/>
          <w:sz w:val="24"/>
          <w:szCs w:val="24"/>
        </w:rPr>
        <w:t>(C)</w:t>
      </w:r>
      <w:r w:rsidRPr="00E604FD">
        <w:rPr>
          <w:rFonts w:ascii="Times New Roman" w:hAnsi="Times New Roman" w:cs="Times New Roman"/>
          <w:sz w:val="24"/>
          <w:szCs w:val="24"/>
        </w:rPr>
        <w:t>, Salubrinal</w:t>
      </w:r>
      <w:r>
        <w:rPr>
          <w:rFonts w:ascii="Times New Roman" w:hAnsi="Times New Roman" w:cs="Times New Roman"/>
          <w:sz w:val="24"/>
          <w:szCs w:val="24"/>
        </w:rPr>
        <w:t>(D)</w:t>
      </w:r>
      <w:r w:rsidRPr="00E604FD">
        <w:rPr>
          <w:rFonts w:ascii="Times New Roman" w:hAnsi="Times New Roman" w:cs="Times New Roman"/>
          <w:sz w:val="24"/>
          <w:szCs w:val="24"/>
        </w:rPr>
        <w:t>, Doxorubicin</w:t>
      </w:r>
      <w:r>
        <w:rPr>
          <w:rFonts w:ascii="Times New Roman" w:hAnsi="Times New Roman" w:cs="Times New Roman"/>
          <w:sz w:val="24"/>
          <w:szCs w:val="24"/>
        </w:rPr>
        <w:t>(E)</w:t>
      </w:r>
      <w:r w:rsidRPr="00E604FD">
        <w:rPr>
          <w:rFonts w:ascii="Times New Roman" w:hAnsi="Times New Roman" w:cs="Times New Roman"/>
          <w:sz w:val="24"/>
          <w:szCs w:val="24"/>
        </w:rPr>
        <w:t xml:space="preserve"> and Tipifarnib</w:t>
      </w:r>
      <w:r>
        <w:rPr>
          <w:rFonts w:ascii="Times New Roman" w:hAnsi="Times New Roman" w:cs="Times New Roman"/>
          <w:sz w:val="24"/>
          <w:szCs w:val="24"/>
        </w:rPr>
        <w:t>(F)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059B7A" w14:textId="75EE0EC6" w:rsidR="00E604FD" w:rsidRPr="00E604FD" w:rsidRDefault="00E604FD" w:rsidP="00E604FD">
      <w:pPr>
        <w:rPr>
          <w:rFonts w:ascii="Times New Roman" w:hAnsi="Times New Roman" w:cs="Times New Roman" w:hint="eastAsia"/>
          <w:sz w:val="24"/>
          <w:szCs w:val="24"/>
        </w:rPr>
      </w:pPr>
    </w:p>
    <w:sectPr w:rsidR="00E604FD" w:rsidRPr="00E604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C0682" w14:textId="77777777" w:rsidR="00CA30B7" w:rsidRDefault="00CA30B7" w:rsidP="00FA50F3">
      <w:r>
        <w:separator/>
      </w:r>
    </w:p>
  </w:endnote>
  <w:endnote w:type="continuationSeparator" w:id="0">
    <w:p w14:paraId="1AE09563" w14:textId="77777777" w:rsidR="00CA30B7" w:rsidRDefault="00CA30B7" w:rsidP="00FA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0A4D4" w14:textId="77777777" w:rsidR="00CA30B7" w:rsidRDefault="00CA30B7" w:rsidP="00FA50F3">
      <w:r>
        <w:separator/>
      </w:r>
    </w:p>
  </w:footnote>
  <w:footnote w:type="continuationSeparator" w:id="0">
    <w:p w14:paraId="2E37BEB1" w14:textId="77777777" w:rsidR="00CA30B7" w:rsidRDefault="00CA30B7" w:rsidP="00FA50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D4"/>
    <w:rsid w:val="00174429"/>
    <w:rsid w:val="001E0111"/>
    <w:rsid w:val="001E5DD4"/>
    <w:rsid w:val="002203B5"/>
    <w:rsid w:val="002D23C5"/>
    <w:rsid w:val="002F447C"/>
    <w:rsid w:val="004850B5"/>
    <w:rsid w:val="00790825"/>
    <w:rsid w:val="00A00E93"/>
    <w:rsid w:val="00AA675F"/>
    <w:rsid w:val="00CA30B7"/>
    <w:rsid w:val="00DE0607"/>
    <w:rsid w:val="00E604FD"/>
    <w:rsid w:val="00F138FC"/>
    <w:rsid w:val="00FA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26F74C"/>
  <w15:chartTrackingRefBased/>
  <w15:docId w15:val="{F9F0A1CB-C118-4213-8DB3-78654EF31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0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50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50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50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8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gaobiao110094@163.com</dc:creator>
  <cp:keywords/>
  <dc:description/>
  <cp:lastModifiedBy>gaobiao110094@163.com</cp:lastModifiedBy>
  <cp:revision>14</cp:revision>
  <dcterms:created xsi:type="dcterms:W3CDTF">2022-12-30T05:22:00Z</dcterms:created>
  <dcterms:modified xsi:type="dcterms:W3CDTF">2022-12-30T09:41:00Z</dcterms:modified>
</cp:coreProperties>
</file>