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A840" w14:textId="77777777" w:rsidR="00894673" w:rsidRPr="002B60DA" w:rsidRDefault="00894673" w:rsidP="00894673">
      <w:pPr>
        <w:widowControl w:val="0"/>
        <w:suppressAutoHyphens/>
        <w:spacing w:after="0" w:line="276" w:lineRule="auto"/>
        <w:rPr>
          <w:rFonts w:cstheme="minorHAnsi"/>
          <w:color w:val="000000" w:themeColor="text1"/>
          <w:lang w:val="en-US"/>
        </w:rPr>
      </w:pPr>
      <w:r w:rsidRPr="002B60DA">
        <w:rPr>
          <w:rFonts w:cstheme="minorHAnsi"/>
          <w:b/>
          <w:bCs/>
          <w:color w:val="000000" w:themeColor="text1"/>
          <w:lang w:val="en-US"/>
        </w:rPr>
        <w:t>Appendix 3</w:t>
      </w:r>
      <w:r w:rsidRPr="002B60DA">
        <w:rPr>
          <w:rFonts w:cstheme="minorHAnsi"/>
          <w:color w:val="000000" w:themeColor="text1"/>
          <w:lang w:val="en-US"/>
        </w:rPr>
        <w:t>. Results of literature search</w:t>
      </w:r>
    </w:p>
    <w:tbl>
      <w:tblPr>
        <w:tblW w:w="14175" w:type="dxa"/>
        <w:tblLayout w:type="fixed"/>
        <w:tblCellMar>
          <w:left w:w="28" w:type="dxa"/>
          <w:right w:w="28" w:type="dxa"/>
        </w:tblCellMar>
        <w:tblLook w:val="04A0" w:firstRow="1" w:lastRow="0" w:firstColumn="1" w:lastColumn="0" w:noHBand="0" w:noVBand="1"/>
      </w:tblPr>
      <w:tblGrid>
        <w:gridCol w:w="1560"/>
        <w:gridCol w:w="567"/>
        <w:gridCol w:w="1134"/>
        <w:gridCol w:w="2268"/>
        <w:gridCol w:w="8646"/>
      </w:tblGrid>
      <w:tr w:rsidR="00894673" w:rsidRPr="002B60DA" w14:paraId="6996F3D6" w14:textId="77777777" w:rsidTr="00A432C6">
        <w:trPr>
          <w:trHeight w:val="290"/>
        </w:trPr>
        <w:tc>
          <w:tcPr>
            <w:tcW w:w="1560" w:type="dxa"/>
            <w:tcBorders>
              <w:top w:val="single" w:sz="4" w:space="0" w:color="auto"/>
              <w:left w:val="nil"/>
              <w:bottom w:val="single" w:sz="4" w:space="0" w:color="auto"/>
              <w:right w:val="nil"/>
            </w:tcBorders>
            <w:shd w:val="clear" w:color="auto" w:fill="auto"/>
            <w:noWrap/>
          </w:tcPr>
          <w:p w14:paraId="1F726BE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First author</w:t>
            </w:r>
          </w:p>
        </w:tc>
        <w:tc>
          <w:tcPr>
            <w:tcW w:w="567" w:type="dxa"/>
            <w:tcBorders>
              <w:top w:val="single" w:sz="4" w:space="0" w:color="auto"/>
              <w:left w:val="nil"/>
              <w:bottom w:val="single" w:sz="4" w:space="0" w:color="auto"/>
              <w:right w:val="nil"/>
            </w:tcBorders>
            <w:shd w:val="clear" w:color="auto" w:fill="auto"/>
            <w:noWrap/>
          </w:tcPr>
          <w:p w14:paraId="03A24FC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Year</w:t>
            </w:r>
          </w:p>
        </w:tc>
        <w:tc>
          <w:tcPr>
            <w:tcW w:w="1134" w:type="dxa"/>
            <w:tcBorders>
              <w:top w:val="single" w:sz="4" w:space="0" w:color="auto"/>
              <w:left w:val="nil"/>
              <w:bottom w:val="single" w:sz="4" w:space="0" w:color="auto"/>
              <w:right w:val="nil"/>
            </w:tcBorders>
            <w:shd w:val="clear" w:color="auto" w:fill="auto"/>
            <w:noWrap/>
          </w:tcPr>
          <w:p w14:paraId="04DBCE2E"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Country</w:t>
            </w:r>
          </w:p>
        </w:tc>
        <w:tc>
          <w:tcPr>
            <w:tcW w:w="2268" w:type="dxa"/>
            <w:tcBorders>
              <w:top w:val="single" w:sz="4" w:space="0" w:color="auto"/>
              <w:left w:val="nil"/>
              <w:bottom w:val="single" w:sz="4" w:space="0" w:color="auto"/>
              <w:right w:val="nil"/>
            </w:tcBorders>
            <w:shd w:val="clear" w:color="auto" w:fill="auto"/>
            <w:noWrap/>
          </w:tcPr>
          <w:p w14:paraId="7F816D5C"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Type of study</w:t>
            </w:r>
          </w:p>
        </w:tc>
        <w:tc>
          <w:tcPr>
            <w:tcW w:w="8646" w:type="dxa"/>
            <w:tcBorders>
              <w:top w:val="single" w:sz="4" w:space="0" w:color="auto"/>
              <w:left w:val="nil"/>
              <w:bottom w:val="single" w:sz="4" w:space="0" w:color="auto"/>
              <w:right w:val="nil"/>
            </w:tcBorders>
            <w:shd w:val="clear" w:color="auto" w:fill="auto"/>
            <w:noWrap/>
          </w:tcPr>
          <w:p w14:paraId="234D5A89"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Purpose of study</w:t>
            </w:r>
          </w:p>
        </w:tc>
      </w:tr>
      <w:tr w:rsidR="00894673" w:rsidRPr="0040251C" w14:paraId="613350DC" w14:textId="77777777" w:rsidTr="00A432C6">
        <w:trPr>
          <w:trHeight w:val="290"/>
        </w:trPr>
        <w:tc>
          <w:tcPr>
            <w:tcW w:w="1560" w:type="dxa"/>
            <w:tcBorders>
              <w:top w:val="single" w:sz="4" w:space="0" w:color="auto"/>
              <w:left w:val="nil"/>
              <w:bottom w:val="nil"/>
              <w:right w:val="nil"/>
            </w:tcBorders>
            <w:shd w:val="clear" w:color="auto" w:fill="auto"/>
            <w:noWrap/>
            <w:hideMark/>
          </w:tcPr>
          <w:p w14:paraId="5F15502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Benabbas</w:t>
            </w:r>
            <w:proofErr w:type="spellEnd"/>
            <w:r w:rsidRPr="002B60DA">
              <w:rPr>
                <w:rFonts w:eastAsia="Times New Roman" w:cstheme="minorHAnsi"/>
                <w:color w:val="000000" w:themeColor="text1"/>
                <w:lang w:val="en-US" w:eastAsia="en-GB"/>
              </w:rPr>
              <w:t xml:space="preserve">, R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{"citationItems":[{"id":"ITEM-1","itemData":{"DOI":"10.1111/acem.13181","ISSN":"15532712","PMID":"28214369","abstract":"Background: Acute appendicitis (AA) is the most common surgical emergency in children. Accurate and timely diagnosis is crucial but challenging due to atypical presentations and the inherent difficulty of obtaining a reliable history and physical examination in younger children. Objectives: The aim of this study was to determine the utility of history, physical examination, laboratory tests, Pediatric Appendicitis Score (PAS) and Emergency Department Point-of-Care Ultrasound (ED-POCUS) in the diagnosis of AA in ED pediatric patients. We performed a systematic review and meta-analysis and used a test–treatment threshold model to identify diagnostic findings that could rule in/out AA and obviate the need for further imaging studies, specifically computed tomography (CT) scan, magnetic resonance imaging (MRI), and radiology department ultrasound (RUS). Methods: We searched PubMed, EMBASE, and SCOPUS up to October 2016 for studies on ED pediatric patients with abdominal pain. Quality Assessment Tool for Diagnostic Accuracy Studies (QUADAS-2) was used to evaluate the quality and applicability of included studies. Positive and negative likelihood ratios (LR+ and LR–) for diagnostic modalities were calculated and when appropriate data was pooled using Meta-DiSc. Based on the available literature on the test characteristics of different imaging modalities and applying the Pauker-Kassirer method we developed a test–treatment threshold model. Results: Twenty-one studies were included encompassing 8,605 patients with weighted AA prevalence of 39.2%. Studies had variable quality using the QUADAS-2 tool with most studies at high risk of partial verification bias. We divided studies based on their inclusion criteria into two groups of “undifferentiated abdominal pain” and abdominal pain “suspected of AA.” In patients with undifferentiated abdominal pain, history of “pain migration to right lower quadrant (RLQ)” (LR+ = 4.81, 95% confidence interval [CI] = 3.59–6.44) and presence of “cough/hop pain” in the physical examination (LR+ = 7.64, 95% CI = 5.94–9.83) were most strongly associated with AA. In patients suspected of AA none of the history or laboratory findings were strongly associated with AA. Rovsing's sign was the physical examination finding most strongly associated with AA (LR+ = 3.52, 95% CI = 2.65–4.68). Among different PAS cutoff points, PAS ≥ 9 (LR+ = 5.26, 95% CI = 3.34–8.29) was most associated with AA. None of the history, physical examination, labora…","author":[{"dropping-particle":"","family":"Benabbas","given":"Roshanak","non-dropping-particle":"","parse-names":false,"suffix":""},{"dropping-particle":"","family":"Hanna","given":"Mark","non-dropping-particle":"","parse-names":false,"suffix":""},{"dropping-particle":"","family":"Shah","given":"Jay","non-dropping-particle":"","parse-names":false,"suffix":""},{"dropping-particle":"","family":"Sinert","given":"Richard","non-dropping-particle":"","parse-names":false,"suffix":""}],"container-title":"Academic Emergency Medicine","id":"ITEM-1","issue":"5","issued":{"date-parts":[["2017"]]},"page":"523-551","title":"Diagnostic Accuracy of History, Physical Examination, Laboratory Tests, and Point-of-care Ultrasound for Pediatric Acute Appendicitis in the Emergency Department: A Systematic Review and Meta-analysis","type":"article-journal","volume":"24"},"uris":["http://www.mendeley.com/documents/?uuid=b42728d3-71d4-489f-a893-adf5923956d8"]}],"mendeley":{"formattedCitation":"(14)","plainTextFormattedCitation":"(14)","previouslyFormattedCitation":"&lt;sup&gt;14&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(14)</w:t>
            </w:r>
            <w:r w:rsidRPr="002B60DA">
              <w:rPr>
                <w:rFonts w:eastAsia="Times New Roman" w:cstheme="minorHAnsi"/>
                <w:color w:val="000000" w:themeColor="text1"/>
                <w:lang w:val="en-US" w:eastAsia="en-GB"/>
              </w:rPr>
              <w:fldChar w:fldCharType="end"/>
            </w:r>
          </w:p>
        </w:tc>
        <w:tc>
          <w:tcPr>
            <w:tcW w:w="567" w:type="dxa"/>
            <w:tcBorders>
              <w:top w:val="single" w:sz="4" w:space="0" w:color="auto"/>
              <w:left w:val="nil"/>
              <w:bottom w:val="nil"/>
              <w:right w:val="nil"/>
            </w:tcBorders>
            <w:shd w:val="clear" w:color="auto" w:fill="auto"/>
            <w:noWrap/>
            <w:hideMark/>
          </w:tcPr>
          <w:p w14:paraId="4FB1BCB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2017</w:t>
            </w:r>
          </w:p>
        </w:tc>
        <w:tc>
          <w:tcPr>
            <w:tcW w:w="1134" w:type="dxa"/>
            <w:tcBorders>
              <w:top w:val="single" w:sz="4" w:space="0" w:color="auto"/>
              <w:left w:val="nil"/>
              <w:bottom w:val="nil"/>
              <w:right w:val="nil"/>
            </w:tcBorders>
            <w:shd w:val="clear" w:color="auto" w:fill="auto"/>
            <w:noWrap/>
            <w:hideMark/>
          </w:tcPr>
          <w:p w14:paraId="70A1A7AC"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UK</w:t>
            </w:r>
          </w:p>
        </w:tc>
        <w:tc>
          <w:tcPr>
            <w:tcW w:w="2268" w:type="dxa"/>
            <w:tcBorders>
              <w:top w:val="single" w:sz="4" w:space="0" w:color="auto"/>
              <w:left w:val="nil"/>
              <w:bottom w:val="nil"/>
              <w:right w:val="nil"/>
            </w:tcBorders>
            <w:shd w:val="clear" w:color="auto" w:fill="auto"/>
            <w:noWrap/>
            <w:hideMark/>
          </w:tcPr>
          <w:p w14:paraId="04AA609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 and meta-analysis</w:t>
            </w:r>
          </w:p>
        </w:tc>
        <w:tc>
          <w:tcPr>
            <w:tcW w:w="8646" w:type="dxa"/>
            <w:tcBorders>
              <w:top w:val="single" w:sz="4" w:space="0" w:color="auto"/>
              <w:left w:val="nil"/>
              <w:bottom w:val="nil"/>
              <w:right w:val="nil"/>
            </w:tcBorders>
            <w:shd w:val="clear" w:color="auto" w:fill="auto"/>
            <w:noWrap/>
            <w:hideMark/>
          </w:tcPr>
          <w:p w14:paraId="1748DC2C"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evaluate which element (s) of history, physical examination, laboratory tests, PAS, or ED‐POCUS are most useful in the diagnosis of AA in ED pediatric patients.</w:t>
            </w:r>
          </w:p>
        </w:tc>
      </w:tr>
      <w:tr w:rsidR="00894673" w:rsidRPr="003927A5" w14:paraId="1BABC722" w14:textId="77777777" w:rsidTr="00A432C6">
        <w:trPr>
          <w:trHeight w:val="290"/>
        </w:trPr>
        <w:tc>
          <w:tcPr>
            <w:tcW w:w="1560" w:type="dxa"/>
            <w:tcBorders>
              <w:top w:val="nil"/>
              <w:left w:val="nil"/>
              <w:bottom w:val="nil"/>
              <w:right w:val="nil"/>
            </w:tcBorders>
            <w:shd w:val="clear" w:color="auto" w:fill="auto"/>
            <w:noWrap/>
            <w:hideMark/>
          </w:tcPr>
          <w:p w14:paraId="08B1EFB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Ebell, H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{"citationItems":[{"id":"ITEM-1","itemData":{"DOI":"10.1016/j.annemergmed.2014.02.025","abstract":"Twitter: @markebell. Study objective: The objective of this study is to systematically review the accuracy of the Alvarado score and Pediatric Appendicitis Score and to identify optimal cutoffs for low-and high-risk populations. Methods: We performed a systematic review of the literature and identified 26 studies of the accuracy of the Alvarado score and Pediatric Appendicitis Score. Data were abstracted in parallel, and only prospective, cohort studies that avoided verification bias were included. We calculated summary likelihood ratios for low-, moderate-, and high-risk groups, using all possible cutoffs based on available data, even if not reported in the original study. Results: The pretest probability of appendicitis was approximately 33% in studies of children and approximately 66% in studies of adults. Likelihood ratios at different cutoffs for the Alvarado score in adults were as follows: 0.03 (&lt;4 points), 0.42 (4 to 6 points), and 3.4 (7 points); and 0.01 (&lt;5 points), 0.98 (5 to 8 points), and 6.7 (9 points). Likelihood ratios for the Alvarado score in children were as follows: 0.02 (&lt;4 points), 0.27 (4 to 6 points), and 4.2 (7 points); and 0.04 (&lt;5 points), 1.2 (5 to 8 points), and 8.5 (9 points). For the Pediatric Appendicitis Score, likelihood ratios were 0.13 (&lt;4 points), 0.70 (4 to 7 points), and 8.1 (8 points). Conclusion: For children with a pretest probability of acute appendicitis of 60% or less, an Alvarado score below 4 rules out the diagnosis; this is also true for a score less than 5 if the pretest probability is up to approximately 40%. In adults with a pretest probability greater than or equal to 60%, an Alvarado score of 8 or higher rules in the diagnosis, whereas one of 9 or higher rules in the diagnosis at pretest probabilities greater than or equal to 40%. The Pediatric Appendicitis Score did not identify clinically useful low-or high-risk groups at typical pretest probabilities.","author":[{"dropping-particle":"","family":"Ebell","given":"Mark H","non-dropping-particle":"","parse-names":false,"suffix":""},{"dropping-particle":"","family":"Shinholser","given":"Joanna","non-dropping-particle":"","parse-names":false,"suffix":""}],"container-title":"Ann Emerg Med","id":"ITEM-1","issued":{"date-parts":[["2014"]]},"page":"365-372","title":"What Are the Most Clinically Useful Cutoffs for the Alvarado and Pediatric Appendicitis Scores? A Systematic Review","type":"article-journal","volume":"64"},"uris":["http://www.mendeley.com/documents/?uuid=bf2e9087-bcda-3240-9d46-aa4b2f0e316a"]}],"mendeley":{"formattedCitation":"(15)","plainTextFormattedCitation":"(15)","previouslyFormattedCitation":"&lt;sup&gt;22&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(15)</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2D456F75"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2014</w:t>
            </w:r>
          </w:p>
        </w:tc>
        <w:tc>
          <w:tcPr>
            <w:tcW w:w="1134" w:type="dxa"/>
            <w:tcBorders>
              <w:top w:val="nil"/>
              <w:left w:val="nil"/>
              <w:bottom w:val="nil"/>
              <w:right w:val="nil"/>
            </w:tcBorders>
            <w:shd w:val="clear" w:color="auto" w:fill="auto"/>
            <w:noWrap/>
            <w:hideMark/>
          </w:tcPr>
          <w:p w14:paraId="5BD1B5A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USA</w:t>
            </w:r>
          </w:p>
        </w:tc>
        <w:tc>
          <w:tcPr>
            <w:tcW w:w="2268" w:type="dxa"/>
            <w:tcBorders>
              <w:top w:val="nil"/>
              <w:left w:val="nil"/>
              <w:bottom w:val="nil"/>
              <w:right w:val="nil"/>
            </w:tcBorders>
            <w:shd w:val="clear" w:color="auto" w:fill="auto"/>
            <w:noWrap/>
            <w:hideMark/>
          </w:tcPr>
          <w:p w14:paraId="1732422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 and meta-analysis</w:t>
            </w:r>
          </w:p>
        </w:tc>
        <w:tc>
          <w:tcPr>
            <w:tcW w:w="8646" w:type="dxa"/>
            <w:tcBorders>
              <w:top w:val="nil"/>
              <w:left w:val="nil"/>
              <w:bottom w:val="nil"/>
              <w:right w:val="nil"/>
            </w:tcBorders>
            <w:shd w:val="clear" w:color="auto" w:fill="auto"/>
            <w:noWrap/>
            <w:hideMark/>
          </w:tcPr>
          <w:p w14:paraId="7E1F8E8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The objective of this study is to systematically review the accuracy of the Alvarado score and Pediatric Appendicitis Score and to identify optimal cut-offs for low- and high-risk populations.</w:t>
            </w:r>
          </w:p>
        </w:tc>
      </w:tr>
      <w:tr w:rsidR="00894673" w:rsidRPr="003927A5" w14:paraId="7B67528B" w14:textId="77777777" w:rsidTr="00A432C6">
        <w:trPr>
          <w:trHeight w:val="290"/>
        </w:trPr>
        <w:tc>
          <w:tcPr>
            <w:tcW w:w="1560" w:type="dxa"/>
            <w:tcBorders>
              <w:top w:val="nil"/>
              <w:left w:val="nil"/>
              <w:bottom w:val="nil"/>
              <w:right w:val="nil"/>
            </w:tcBorders>
            <w:shd w:val="clear" w:color="auto" w:fill="auto"/>
            <w:noWrap/>
            <w:hideMark/>
          </w:tcPr>
          <w:p w14:paraId="28032105"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Giordiano</w:t>
            </w:r>
            <w:proofErr w:type="spellEnd"/>
            <w:r w:rsidRPr="002B60DA">
              <w:rPr>
                <w:rFonts w:eastAsia="Times New Roman" w:cstheme="minorHAnsi"/>
                <w:color w:val="000000" w:themeColor="text1"/>
                <w:lang w:val="en-US" w:eastAsia="en-GB"/>
              </w:rPr>
              <w:t xml:space="preserve">, S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{"citationItems":[{"id":"ITEM-1","itemData":{"DOI":"10.1016/j.ijsu.2013.05.029","ISSN":"17439191","abstract":"Hyperbilirubinemia associates with perforated acute appendicitis, but the precise test characteristics have not been determined by sufficiently powered studies. A systematic literature search of reports on hyperbilirubinemia in acute appendicitis was performed. After review and quality assessment of eight studies encompassing a total of 4974 patients the sensitivity, specificity and other measures of accuracy of hyperbilirubinemia as a predictor of perforation in acute appendicitis were pooled using a random-effects model. Summary estimates for hyperbilirubinemia (cutoff 1mg/dl) as a predictor of perforation in acute appendicitis were as follows: sensitivity, 0.49 (95% confidence interval [CI], 0.45-0.52); specificity, 0.82 (95% CI, 0.80-0.83); positive likelihood ratio, 2.51 (95% CI, 1.58-4.00); negative likelihood ratio, 0.58 (95% CI, 0.44-0.76); diagnostic odds ratio was 4.42 (95% CI, 2.21-8.83). In summary receiving operating characteristic (SROC) analysis, the area under curve was 0.73.The presence of hyperbilirubinemia does not alone distinguish a perforation in acute appendicitis. Serum bilirubin level is of some value as a predictor of appendiceal perforation. Patients with hyperbilirubinemia combined with symptoms and signs consistent with severe acute appendicitis should be considered for early appendectomy. © 2013 Surgical Associates Ltd.","author":[{"dropping-particle":"","family":"Giordano","given":"Salvatore","non-dropping-particle":"","parse-names":false,"suffix":""},{"dropping-particle":"","family":"Pääkkönen","given":"Markus","non-dropping-particle":"","parse-names":false,"suffix":""},{"dropping-particle":"","family":"Salminen","given":"Paulina","non-dropping-particle":"","parse-names":false,"suffix":""},{"dropping-particle":"","family":"Grönroos","given":"Juha M.","non-dropping-particle":"","parse-names":false,"suffix":""}],"container-title":"International Journal of Surgery","id":"ITEM-1","issue":"9","issued":{"date-parts":[["2013","11","1"]]},"page":"795-800","publisher":"Elsevier","title":"Elevated serum bilirubin in assessing the likelihood of perforation inacute appendicitis: A diagnostic meta-analysis","type":"article","volume":"11"},"uris":["http://www.mendeley.com/documents/?uuid=bb8666b9-704b-3fbc-b27e-4eacf0175544"]}],"mendeley":{"formattedCitation":"(16)","plainTextFormattedCitation":"(16)","previouslyFormattedCitation":"&lt;sup&gt;23&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(16)</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1B16831A"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2013</w:t>
            </w:r>
          </w:p>
        </w:tc>
        <w:tc>
          <w:tcPr>
            <w:tcW w:w="1134" w:type="dxa"/>
            <w:tcBorders>
              <w:top w:val="nil"/>
              <w:left w:val="nil"/>
              <w:bottom w:val="nil"/>
              <w:right w:val="nil"/>
            </w:tcBorders>
            <w:shd w:val="clear" w:color="auto" w:fill="auto"/>
            <w:noWrap/>
            <w:hideMark/>
          </w:tcPr>
          <w:p w14:paraId="49B03E75"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Finland</w:t>
            </w:r>
          </w:p>
        </w:tc>
        <w:tc>
          <w:tcPr>
            <w:tcW w:w="2268" w:type="dxa"/>
            <w:tcBorders>
              <w:top w:val="nil"/>
              <w:left w:val="nil"/>
              <w:bottom w:val="nil"/>
              <w:right w:val="nil"/>
            </w:tcBorders>
            <w:shd w:val="clear" w:color="auto" w:fill="auto"/>
            <w:noWrap/>
            <w:hideMark/>
          </w:tcPr>
          <w:p w14:paraId="0958E95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Meta-analysis</w:t>
            </w:r>
          </w:p>
        </w:tc>
        <w:tc>
          <w:tcPr>
            <w:tcW w:w="8646" w:type="dxa"/>
            <w:tcBorders>
              <w:top w:val="nil"/>
              <w:left w:val="nil"/>
              <w:bottom w:val="nil"/>
              <w:right w:val="nil"/>
            </w:tcBorders>
            <w:shd w:val="clear" w:color="auto" w:fill="auto"/>
            <w:noWrap/>
            <w:hideMark/>
          </w:tcPr>
          <w:p w14:paraId="32FBA7F6"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determine the value of serum bilirubin measurement in diagnosing acute appendiceal perforation.</w:t>
            </w:r>
          </w:p>
        </w:tc>
      </w:tr>
      <w:tr w:rsidR="00894673" w:rsidRPr="003927A5" w14:paraId="04EFA683" w14:textId="77777777" w:rsidTr="00A432C6">
        <w:trPr>
          <w:trHeight w:val="290"/>
        </w:trPr>
        <w:tc>
          <w:tcPr>
            <w:tcW w:w="1560" w:type="dxa"/>
            <w:tcBorders>
              <w:top w:val="nil"/>
              <w:left w:val="nil"/>
              <w:bottom w:val="nil"/>
              <w:right w:val="nil"/>
            </w:tcBorders>
            <w:shd w:val="clear" w:color="auto" w:fill="auto"/>
            <w:noWrap/>
            <w:hideMark/>
          </w:tcPr>
          <w:p w14:paraId="45D697F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Hajibandh</w:t>
            </w:r>
            <w:proofErr w:type="spellEnd"/>
            <w:r w:rsidRPr="002B60DA">
              <w:rPr>
                <w:rFonts w:eastAsia="Times New Roman" w:cstheme="minorHAnsi"/>
                <w:color w:val="000000" w:themeColor="text1"/>
                <w:lang w:val="en-US" w:eastAsia="en-GB"/>
              </w:rPr>
              <w:t xml:space="preserve">, S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{"citationItems":[{"id":"ITEM-1","itemData":{"DOI":"10.1016/j.amjsurg.2019.04.018","ISSN":"18791883","abstract":"Objectives: to investigate whether Neutrophil-to-lymphocyte ratio (NLR) can predict acute appendicitis and whether it can distinguish between uncomplicated and complicated appendicitis. Methods: A search of electronic information sources was conducted to identify all studies reporting NLR in patients with clinical suspicion or confirmed diagnosis of acute appendicitis. We considered two comparisons:1) appendicitis versus no appendicitis; 2) uncomplicated appendicitis versus complicated appendicitis. ROC curve analysis was performed to determine cut-off values of NLR for appendicitis and complicated appendicitis. Results: Seventeen studies, enrolling 8,914 patients were included. NLR of 4.7 was cut-off value for appendicitis with sensitivity of 88.89% and specificity of 90.91% with AUC of 0.96. NLR of 8.8 was cut-off value for complicated appendicitis with sensitivity of 76.92% and specificity 100% with AUC of 0.91. NLR &gt;4.7 was predictor of acute appendicitis (OR:128,P &lt; 0.0001) and, NLR &gt;8.8 was predictor of complicated appendicitis (OR:43,P &lt; 0.0001). Conclusions: NLR predicts both diagnosis and severity of appendicitis. This may have implications for prioritising cases for surgery, for monitoring conservatively treated patients and for patients who do not routinely undergo CT scan (pregnant or paediatric patients).","author":[{"dropping-particle":"","family":"Hajibandeh","given":"Shahab","non-dropping-particle":"","parse-names":false,"suffix":""},{"dropping-particle":"","family":"Hajibandeh","given":"Shahin","non-dropping-particle":"","parse-names":false,"suffix":""},{"dropping-particle":"","family":"Hobbs","given":"Nicholas","non-dropping-particle":"","parse-names":false,"suffix":""},{"dropping-particle":"","family":"Mansour","given":"Moustafa","non-dropping-particle":"","parse-names":false,"suffix":""}],"container-title":"American Journal of Surgery","id":"ITEM-1","issue":"1","issued":{"date-parts":[["2020","1","1"]]},"page":"154-163","publisher":"Elsevier Inc.","title":"Neutrophil-to-lymphocyte ratio predicts acute appendicitis and distinguishes between complicated and uncomplicated appendicitis: A systematic review and meta-analysis","type":"article","volume":"219"},"uris":["http://www.mendeley.com/documents/?uuid=8f0bdbe8-51e8-34e9-a886-f74c3cacb23e"]}],"mendeley":{"formattedCitation":"(17)","plainTextFormattedCitation":"(17)","previouslyFormattedCitation":"&lt;sup&gt;24&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(17)</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5490566A"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2019</w:t>
            </w:r>
          </w:p>
        </w:tc>
        <w:tc>
          <w:tcPr>
            <w:tcW w:w="1134" w:type="dxa"/>
            <w:tcBorders>
              <w:top w:val="nil"/>
              <w:left w:val="nil"/>
              <w:bottom w:val="nil"/>
              <w:right w:val="nil"/>
            </w:tcBorders>
            <w:shd w:val="clear" w:color="auto" w:fill="auto"/>
            <w:noWrap/>
            <w:hideMark/>
          </w:tcPr>
          <w:p w14:paraId="404FF421"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USA</w:t>
            </w:r>
          </w:p>
        </w:tc>
        <w:tc>
          <w:tcPr>
            <w:tcW w:w="2268" w:type="dxa"/>
            <w:tcBorders>
              <w:top w:val="nil"/>
              <w:left w:val="nil"/>
              <w:bottom w:val="nil"/>
              <w:right w:val="nil"/>
            </w:tcBorders>
            <w:shd w:val="clear" w:color="auto" w:fill="auto"/>
            <w:noWrap/>
            <w:hideMark/>
          </w:tcPr>
          <w:p w14:paraId="565564B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 and meta-analysis</w:t>
            </w:r>
          </w:p>
        </w:tc>
        <w:tc>
          <w:tcPr>
            <w:tcW w:w="8646" w:type="dxa"/>
            <w:tcBorders>
              <w:top w:val="nil"/>
              <w:left w:val="nil"/>
              <w:bottom w:val="nil"/>
              <w:right w:val="nil"/>
            </w:tcBorders>
            <w:shd w:val="clear" w:color="auto" w:fill="auto"/>
            <w:noWrap/>
            <w:hideMark/>
          </w:tcPr>
          <w:p w14:paraId="25067CD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investigate whether Neutrophil-to-lymphocyte ratio can predict acute appendicitis and whether it can distinguish between uncomplicated and complicated appendicitis.</w:t>
            </w:r>
          </w:p>
        </w:tc>
      </w:tr>
      <w:tr w:rsidR="00894673" w:rsidRPr="0040251C" w14:paraId="38B2D8C5" w14:textId="77777777" w:rsidTr="00A432C6">
        <w:trPr>
          <w:trHeight w:val="290"/>
        </w:trPr>
        <w:tc>
          <w:tcPr>
            <w:tcW w:w="1560" w:type="dxa"/>
            <w:tcBorders>
              <w:top w:val="nil"/>
              <w:left w:val="nil"/>
              <w:bottom w:val="nil"/>
              <w:right w:val="nil"/>
            </w:tcBorders>
            <w:shd w:val="clear" w:color="auto" w:fill="auto"/>
            <w:noWrap/>
            <w:hideMark/>
          </w:tcPr>
          <w:p w14:paraId="78D3ACBA"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Kulik, DM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{"citationItems":[{"id":"ITEM-1","itemData":{"DOI":"10.1016/j.jclinepi.2012.09.004","ISBN":"1878-5921 (Electronic)\\r0895-4356 (Linking)","ISSN":"08954356","PMID":"23177898","abstract":"Objectives: To systematically identify clinical prediction rules (CPRs) for children with suspected appendicitis and compare their methodological quality and performance. Study Design and Setting: Included studies involved children aged 0-18 years with suspected appendicitis identified through MEDLINE and EMBASE from 1950 to 2012. The quality was assessed using 17 previously published items. The performance was evaluated using the sensitivity, negative likelihood ratio, and predicted frequency of appendicitis diagnosis that would result if the rule was used. Results: Twelve studies fulfilled the inclusion criteria describing the derivation or validation of six unique CPRs involving 4,201 children with suspected appendicitis. Migratory pain, nausea or vomiting, and right lower quadrant tenderness were common predictors to all rules. Methodological quality varied widely. The most poorly addressed quality items were the predictor and outcome assessor blinding, predictor description, and reproducibility of predictor assessment. The most well-validated CPRs were the Pediatric Appendicitis Score (PAS) and MANTRELS (Migration, Anorexia, Nausea/vomiting, Tenderness in the right lower quadrant, Rebound pain, Elevation in temperature, Leukocytosis, Shift to the left)/Alvarado Score. Overall, the PAS validation studies outperformed the Alvarado validation studies. Conclusion: The PAS and Alvarado scores were the most well validated but neither met the current performance benchmarks. A high quality, well validated, and consistently high-performing CPR was not identified. Further research is needed before a CPR for children with suspected appendicitis can be used in routine practice. ?? 2013 Elsevier Inc. All rights reserved.","author":[{"dropping-particle":"","family":"Kulik","given":"Dina M.","non-dropping-particle":"","parse-names":false,"suffix":""},{"dropping-particle":"","family":"Uleryk","given":"Elizabeth M.","non-dropping-particle":"","parse-names":false,"suffix":""},{"dropping-particle":"","family":"Maguire","given":"Jonathon L.","non-dropping-particle":"","parse-names":false,"suffix":""}],"container-title":"Journal of Clinical Epidemiology","id":"ITEM-1","issue":"1","issued":{"date-parts":[["2013"]]},"page":"95-104","publisher":"Elsevier Inc","title":"Does this child have appendicitis? A systematic review of clinical prediction rules for children with acute abdominal pain","type":"article-journal","volume":"66"},"uris":["http://www.mendeley.com/documents/?uuid=a086621e-e48c-47b0-a1aa-b13b0616b16f"]}],"mendeley":{"formattedCitation":"(18)","plainTextFormattedCitation":"(18)","previouslyFormattedCitation":"&lt;sup&gt;25&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(18)</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6B96642A"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2012</w:t>
            </w:r>
          </w:p>
        </w:tc>
        <w:tc>
          <w:tcPr>
            <w:tcW w:w="1134" w:type="dxa"/>
            <w:tcBorders>
              <w:top w:val="nil"/>
              <w:left w:val="nil"/>
              <w:bottom w:val="nil"/>
              <w:right w:val="nil"/>
            </w:tcBorders>
            <w:shd w:val="clear" w:color="auto" w:fill="auto"/>
            <w:noWrap/>
            <w:hideMark/>
          </w:tcPr>
          <w:p w14:paraId="038D7E3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USA</w:t>
            </w:r>
          </w:p>
        </w:tc>
        <w:tc>
          <w:tcPr>
            <w:tcW w:w="2268" w:type="dxa"/>
            <w:tcBorders>
              <w:top w:val="nil"/>
              <w:left w:val="nil"/>
              <w:bottom w:val="nil"/>
              <w:right w:val="nil"/>
            </w:tcBorders>
            <w:shd w:val="clear" w:color="auto" w:fill="auto"/>
            <w:noWrap/>
            <w:hideMark/>
          </w:tcPr>
          <w:p w14:paraId="662EFD08"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tcBorders>
              <w:top w:val="nil"/>
              <w:left w:val="nil"/>
              <w:bottom w:val="nil"/>
              <w:right w:val="nil"/>
            </w:tcBorders>
            <w:shd w:val="clear" w:color="auto" w:fill="auto"/>
            <w:noWrap/>
            <w:hideMark/>
          </w:tcPr>
          <w:p w14:paraId="33AE16F1"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systematically identify clinical prediction rules for children with suspected appendicitis and compare their methodological quality and performance.</w:t>
            </w:r>
          </w:p>
        </w:tc>
      </w:tr>
      <w:tr w:rsidR="00894673" w:rsidRPr="003927A5" w14:paraId="7D3857C9" w14:textId="77777777" w:rsidTr="00A432C6">
        <w:trPr>
          <w:trHeight w:val="290"/>
        </w:trPr>
        <w:tc>
          <w:tcPr>
            <w:tcW w:w="1560" w:type="dxa"/>
            <w:tcBorders>
              <w:top w:val="nil"/>
              <w:left w:val="nil"/>
              <w:bottom w:val="nil"/>
              <w:right w:val="nil"/>
            </w:tcBorders>
            <w:shd w:val="clear" w:color="auto" w:fill="auto"/>
            <w:noWrap/>
            <w:hideMark/>
          </w:tcPr>
          <w:p w14:paraId="4032C06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Ohle</w:t>
            </w:r>
            <w:proofErr w:type="spellEnd"/>
            <w:r w:rsidRPr="002B60DA">
              <w:rPr>
                <w:rFonts w:eastAsia="Times New Roman" w:cstheme="minorHAnsi"/>
                <w:color w:val="000000" w:themeColor="text1"/>
                <w:lang w:val="en-US" w:eastAsia="en-GB"/>
              </w:rPr>
              <w:t xml:space="preserve">, R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{"citationItems":[{"id":"ITEM-1","itemData":{"DOI":"10.1186/1741-7015-9-139","ISBN":"1741-7015 (Electronic)\\r1741-7015 (Linking)","ISSN":"1741-7015","PMID":"22204638","abstract":"BACKGROUND: The Alvarado score can be used to stratify patients with symptoms of suspected appendicitis; the validity of the score in certain patient groups and at different cut points is still unclear. The aim of this study was to assess the discrimination (diagnostic accuracy) and calibration performance of the Alvarado score.\\n\\nMETHODS: A systematic search of validation studies in Medline, Embase, DARE and The Cochrane library was performed up to April 2011. We assessed the diagnostic accuracy of the score at the two cut-off points: score of 5 (1 to 4 vs. 5 to 10) and score of 7 (1 to 6 vs. 7 to 10). Calibration was analysed across low (1 to 4), intermediate (5 to 6) and high (7 to 10) risk strata. The analysis focused on three sub-groups: men, women and children.\\n\\nRESULTS: Forty-two studies were included in the review. In terms of diagnostic accuracy, the cut-point of 5 was good at 'ruling out' admission for appendicitis (sensitivity 99% overall, 96% men, 99% woman, 99% children). At the cut-point of 7, recommended for 'ruling in' appendicitis and progression to surgery, the score performed poorly in each subgroup (specificity overall 81%, men 57%, woman 73%, children 76%). The Alvarado score is well calibrated in men across all risk strata (low RR 1.06, 95% CI 0.87 to 1.28; intermediate 1.09, 0.86 to 1.37 and high 1.02, 0.97 to 1.08). The score over-predicts the probability of appendicitis in children in the intermediate and high risk groups and in women across all risk strata.\\n\\nCONCLUSIONS: The Alvarado score is a useful diagnostic 'rule out' score at a cut point of 5 for all patient groups. The score is well calibrated in men, inconsistent in children and over-predicts the probability of appendicitis in women across all strata of risk.","author":[{"dropping-particle":"","family":"Ohle","given":"Robert","non-dropping-particle":"","parse-names":false,"suffix":""},{"dropping-particle":"","family":"O'Reilly","given":"Fran","non-dropping-particle":"","parse-names":false,"suffix":""},{"dropping-particle":"","family":"O'Brien","given":"Kirsty K","non-dropping-particle":"","parse-names":false,"suffix":""},{"dropping-particle":"","family":"Fahey","given":"Tom","non-dropping-particle":"","parse-names":false,"suffix":""},{"dropping-particle":"","family":"Dimitrov","given":"Borislav D","non-dropping-particle":"","parse-names":false,"suffix":""}],"container-title":"BMC medicine","id":"ITEM-1","issued":{"date-parts":[["2011"]]},"page":"139","title":"The Alvarado score for predicting acute appendicitis: a systematic review.","type":"article-journal","volume":"9"},"uris":["http://www.mendeley.com/documents/?uuid=86e1b698-94b6-45b0-9e01-4a57483cfb5c"]}],"mendeley":{"formattedCitation":"(19)","plainTextFormattedCitation":"(19)","previouslyFormattedCitation":"&lt;sup&gt;26&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(19)</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760C0A2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2011</w:t>
            </w:r>
          </w:p>
        </w:tc>
        <w:tc>
          <w:tcPr>
            <w:tcW w:w="1134" w:type="dxa"/>
            <w:tcBorders>
              <w:top w:val="nil"/>
              <w:left w:val="nil"/>
              <w:bottom w:val="nil"/>
              <w:right w:val="nil"/>
            </w:tcBorders>
            <w:shd w:val="clear" w:color="auto" w:fill="auto"/>
            <w:noWrap/>
            <w:hideMark/>
          </w:tcPr>
          <w:p w14:paraId="46EE7919"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USA</w:t>
            </w:r>
          </w:p>
        </w:tc>
        <w:tc>
          <w:tcPr>
            <w:tcW w:w="2268" w:type="dxa"/>
            <w:tcBorders>
              <w:top w:val="nil"/>
              <w:left w:val="nil"/>
              <w:bottom w:val="nil"/>
              <w:right w:val="nil"/>
            </w:tcBorders>
            <w:shd w:val="clear" w:color="auto" w:fill="auto"/>
            <w:noWrap/>
            <w:hideMark/>
          </w:tcPr>
          <w:p w14:paraId="45A88288"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 and meta-analysis</w:t>
            </w:r>
          </w:p>
        </w:tc>
        <w:tc>
          <w:tcPr>
            <w:tcW w:w="8646" w:type="dxa"/>
            <w:tcBorders>
              <w:top w:val="nil"/>
              <w:left w:val="nil"/>
              <w:bottom w:val="nil"/>
              <w:right w:val="nil"/>
            </w:tcBorders>
            <w:shd w:val="clear" w:color="auto" w:fill="auto"/>
            <w:noWrap/>
            <w:hideMark/>
          </w:tcPr>
          <w:p w14:paraId="6CA47C1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perform a systematic review and meta-analysis of validation studies that assess the Alvarado score to determine its performance.</w:t>
            </w:r>
          </w:p>
        </w:tc>
      </w:tr>
      <w:tr w:rsidR="00894673" w:rsidRPr="003927A5" w14:paraId="3B021F0E" w14:textId="77777777" w:rsidTr="00A432C6">
        <w:trPr>
          <w:trHeight w:val="290"/>
        </w:trPr>
        <w:tc>
          <w:tcPr>
            <w:tcW w:w="1560" w:type="dxa"/>
            <w:tcBorders>
              <w:top w:val="nil"/>
              <w:left w:val="nil"/>
              <w:bottom w:val="nil"/>
              <w:right w:val="nil"/>
            </w:tcBorders>
            <w:shd w:val="clear" w:color="auto" w:fill="auto"/>
            <w:noWrap/>
            <w:hideMark/>
          </w:tcPr>
          <w:p w14:paraId="758CC276"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Otan</w:t>
            </w:r>
            <w:proofErr w:type="spellEnd"/>
            <w:r w:rsidRPr="002B60DA">
              <w:rPr>
                <w:rFonts w:eastAsia="Times New Roman" w:cstheme="minorHAnsi"/>
                <w:color w:val="000000" w:themeColor="text1"/>
                <w:lang w:val="en-US" w:eastAsia="en-GB"/>
              </w:rPr>
              <w:t xml:space="preserve">, E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{"citationItems":[{"id":"ITEM-1","itemData":{"DOI":"10.1007/s00268-013-2079-5","abstract":"Background This study aimed to determine the clinical and demographic features of acute amebic appendicitis by reviewing the reported cases. Methods The PubMed and MEDLINE databases were searched to identify articles related to amebic appendicitis using key words. The search included all articles published between 1935 and 2012 without restricting language, journal, or country. Results A total of 174 cases of amebic appendicitis reported in 42 articles were analyzed. The mean age of the patients was 23.5 years (range 2 months-83 years). The majority of patients were male (74.0 %), and the majority of cases were reported from countries with high/moderate risk for amebiasis (76.5 %). A history of traveling to a high/moderate-risk country was cited in 64.0 % of the overall cases. The interval between travel and onset of clinical symptoms ranged from months to years. History of or coexisting dysenteric diarrhea was present in only 7.0 and 14.0 % of overall cases, respectively. A preoperative diagnosis of amebiasis was cited for only five cases (3.0 %). Complicated appendicitis was present in 30.7 % of cases, some of which required colon resection. Severe postoperative intraabdominal complications (e.g., liver abscess, abdominal sepsis, gastrointestinal fistula, hemorrhage) occurred in 19.4 % of surgery-treated patients. The overall mortality rate was 3.2 %. Conclusion Appendectomy specimens should be routinely sent for histopathologic examination. In the case of suspected amebic acute appendicitis, extra precautions-early appendectomy, metronidazole for antibiotic prophy-laxis, wet-preparation examination, obtaining a timely pathology result, increasing the awareness of uncommon complications of appendectomy-can hasten appropriate therapeutic intervention and improve outcome.","author":[{"dropping-particle":"","family":"Otan","given":"Emrah","non-dropping-particle":"","parse-names":false,"suffix":""},{"dropping-particle":"","family":"Akbulut","given":"Sami","non-dropping-particle":"","parse-names":false,"suffix":""},{"dropping-particle":"","family":"Kayaalp","given":"Cuneyt","non-dropping-particle":"","parse-names":false,"suffix":""}],"id":"ITEM-1","issued":{"date-parts":[["0"]]},"title":"Amebic Acute Appendicitis: Systematic Review of 174 Cases","type":"article-journal"},"uris":["http://www.mendeley.com/documents/?uuid=850e1a85-5105-316e-ad80-04b5093eccc7"]}],"mendeley":{"formattedCitation":"(20)","plainTextFormattedCitation":"(20)","previouslyFormattedCitation":"&lt;sup&gt;27&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(20)</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340D203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2013</w:t>
            </w:r>
          </w:p>
        </w:tc>
        <w:tc>
          <w:tcPr>
            <w:tcW w:w="1134" w:type="dxa"/>
            <w:tcBorders>
              <w:top w:val="nil"/>
              <w:left w:val="nil"/>
              <w:bottom w:val="nil"/>
              <w:right w:val="nil"/>
            </w:tcBorders>
            <w:shd w:val="clear" w:color="auto" w:fill="auto"/>
            <w:noWrap/>
            <w:hideMark/>
          </w:tcPr>
          <w:p w14:paraId="769A388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Turkey</w:t>
            </w:r>
          </w:p>
        </w:tc>
        <w:tc>
          <w:tcPr>
            <w:tcW w:w="2268" w:type="dxa"/>
            <w:tcBorders>
              <w:top w:val="nil"/>
              <w:left w:val="nil"/>
              <w:bottom w:val="nil"/>
              <w:right w:val="nil"/>
            </w:tcBorders>
            <w:shd w:val="clear" w:color="auto" w:fill="auto"/>
            <w:noWrap/>
            <w:hideMark/>
          </w:tcPr>
          <w:p w14:paraId="157826C8"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tcBorders>
              <w:top w:val="nil"/>
              <w:left w:val="nil"/>
              <w:bottom w:val="nil"/>
              <w:right w:val="nil"/>
            </w:tcBorders>
            <w:shd w:val="clear" w:color="auto" w:fill="auto"/>
            <w:noWrap/>
            <w:hideMark/>
          </w:tcPr>
          <w:p w14:paraId="3D748AE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determine the clinical and demographic features of acute amoebic appendicitis by reviewing the reported cases.</w:t>
            </w:r>
          </w:p>
        </w:tc>
      </w:tr>
      <w:tr w:rsidR="00894673" w:rsidRPr="003927A5" w14:paraId="06EBBEB7" w14:textId="77777777" w:rsidTr="00A432C6">
        <w:trPr>
          <w:trHeight w:val="290"/>
        </w:trPr>
        <w:tc>
          <w:tcPr>
            <w:tcW w:w="1560" w:type="dxa"/>
            <w:tcBorders>
              <w:top w:val="nil"/>
              <w:left w:val="nil"/>
              <w:bottom w:val="nil"/>
              <w:right w:val="nil"/>
            </w:tcBorders>
            <w:shd w:val="clear" w:color="auto" w:fill="auto"/>
            <w:noWrap/>
            <w:hideMark/>
          </w:tcPr>
          <w:p w14:paraId="5B6E331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Rentea</w:t>
            </w:r>
            <w:proofErr w:type="spellEnd"/>
            <w:r w:rsidRPr="002B60DA">
              <w:rPr>
                <w:rFonts w:eastAsia="Times New Roman" w:cstheme="minorHAnsi"/>
                <w:color w:val="000000" w:themeColor="text1"/>
                <w:lang w:val="en-US" w:eastAsia="en-GB"/>
              </w:rPr>
              <w:t xml:space="preserve">, RN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{"citationItems":[{"id":"ITEM-1","itemData":{"DOI":"10.1007/s00383-016-3990-2","ISSN":"14379813","abstract":"Appendicitis is a common cause of abdominal pain in children. The diagnosis and treatment of the disease have undergone major changes in the past two decades, primarily as a result of the application of an evidence-based approach. Data from several randomized controlled trials, large database studies, and meta-analyses have fundamentally affected patient care. The best diagnostic approach is a standardized clinical pathway with a scoring system and selective imaging. Non-operative management of simple appendicitis is a reasonable option in selected cases, with the caveat that data in children remain limited. A minimally invasive (laparoscopic) appendectomy is the current standard in US and European children’s hospitals. This article reviews the current ‘state of the art’ in the evaluation and management of pediatric appendicitis.","author":[{"dropping-particle":"","family":"Rentea","given":"Rebecca M.","non-dropping-particle":"","parse-names":false,"suffix":""},{"dropping-particle":"","family":"Peter","given":"Shawn D.St","non-dropping-particle":"","parse-names":false,"suffix":""},{"dropping-particle":"","family":"Snyder","given":"Charles L.","non-dropping-particle":"","parse-names":false,"suffix":""}],"container-title":"Pediatric Surgery International","id":"ITEM-1","issue":"3","issued":{"date-parts":[["2017","3","1"]]},"page":"269-283","publisher":"Springer Verlag","title":"Pediatric appendicitis: state of the art review","type":"article","volume":"33"},"uris":["http://www.mendeley.com/documents/?uuid=f692d9fd-4e71-3663-87ab-b4252b6a3b08"]}],"mendeley":{"formattedCitation":"(21)","plainTextFormattedCitation":"(21)","previouslyFormattedCitation":"&lt;sup&gt;28&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(21)</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2DAA5BAF"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2017</w:t>
            </w:r>
          </w:p>
        </w:tc>
        <w:tc>
          <w:tcPr>
            <w:tcW w:w="1134" w:type="dxa"/>
            <w:tcBorders>
              <w:top w:val="nil"/>
              <w:left w:val="nil"/>
              <w:bottom w:val="nil"/>
              <w:right w:val="nil"/>
            </w:tcBorders>
            <w:shd w:val="clear" w:color="auto" w:fill="auto"/>
            <w:noWrap/>
            <w:hideMark/>
          </w:tcPr>
          <w:p w14:paraId="7B8C251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Germany</w:t>
            </w:r>
          </w:p>
        </w:tc>
        <w:tc>
          <w:tcPr>
            <w:tcW w:w="2268" w:type="dxa"/>
            <w:tcBorders>
              <w:top w:val="nil"/>
              <w:left w:val="nil"/>
              <w:bottom w:val="nil"/>
              <w:right w:val="nil"/>
            </w:tcBorders>
            <w:shd w:val="clear" w:color="auto" w:fill="auto"/>
            <w:noWrap/>
            <w:hideMark/>
          </w:tcPr>
          <w:p w14:paraId="4A788986"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tcBorders>
              <w:top w:val="nil"/>
              <w:left w:val="nil"/>
              <w:bottom w:val="nil"/>
              <w:right w:val="nil"/>
            </w:tcBorders>
            <w:shd w:val="clear" w:color="auto" w:fill="auto"/>
            <w:noWrap/>
            <w:hideMark/>
          </w:tcPr>
          <w:p w14:paraId="0D40B851"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To review the current “state of the art” in the evaluation and management of pediatric appendicitis.</w:t>
            </w:r>
          </w:p>
        </w:tc>
      </w:tr>
      <w:tr w:rsidR="00894673" w:rsidRPr="003927A5" w14:paraId="3B102D65" w14:textId="77777777" w:rsidTr="00A432C6">
        <w:trPr>
          <w:trHeight w:val="290"/>
        </w:trPr>
        <w:tc>
          <w:tcPr>
            <w:tcW w:w="1560" w:type="dxa"/>
            <w:tcBorders>
              <w:top w:val="nil"/>
              <w:left w:val="nil"/>
              <w:bottom w:val="nil"/>
              <w:right w:val="nil"/>
            </w:tcBorders>
            <w:shd w:val="clear" w:color="auto" w:fill="auto"/>
            <w:noWrap/>
            <w:hideMark/>
          </w:tcPr>
          <w:p w14:paraId="1D002A4E"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Sharwood</w:t>
            </w:r>
            <w:proofErr w:type="spellEnd"/>
            <w:r w:rsidRPr="002B60DA">
              <w:rPr>
                <w:rFonts w:eastAsia="Times New Roman" w:cstheme="minorHAnsi"/>
                <w:color w:val="000000" w:themeColor="text1"/>
                <w:lang w:val="en-US" w:eastAsia="en-GB"/>
              </w:rPr>
              <w:t xml:space="preserve">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{"citationItems":[{"id":"ITEM-1","itemData":{"DOI":"10.1111/j.1460-9592.2008.02807.x","ISSN":"11555645","abstract":"Introduction: The question of whether opioid analgesia should be given in patients with undifferentiated acute abdominal pain has been characterized by concerns about its efficacy and that signs used to determine accurate diagnosis may be masked by the drug. The objective of this review is to critically analyze pertinent pediatric randomized controlled studies considering this issue. Methods: A comprehensive literature search was conducted via Medline in October 2007, using the terms 'abdominal pain', 'physical examination', 'analgesics', 'opioid' and 'appendicitis'. Other articles were identified using the bibliographies of papers found through Medline; alternate databases were searched but did not reveal additional studies. Results: A total of four trials were identified, and their validity and applicability were reviewed. In all studies, randomization to the analgesia group was associated with significant reduction in pain; one study showing no greater effect with opioid than placebo. All studies used a 10 cm Visual Analogue Scale to assess pain. All studies were only sufficiently powered to consider the primary outcome of opioid efficacy in abdominal pain vs placebo rather than diagnostic accuracy, although they all reported on diagnostic accuracy. Meta-analysis of results for efficacy and accuracy was not possible due to the heterogeneity of study populations. Conclusions: A large, probably multi-centred trial is needed to answer with sufficient power the question of whether opioid analgesia impairs diagnostic accuracy in children with undifferentiated acute abdominal pain. © 2009 Blackwell Publishing Ltd.","author":[{"dropping-particle":"","family":"Sharwood","given":"Lisa N.","non-dropping-particle":"","parse-names":false,"suffix":""},{"dropping-particle":"","family":"Babl","given":"Franz E.","non-dropping-particle":"","parse-names":false,"suffix":""}],"container-title":"Paediatric Anaesthesia","id":"ITEM-1","issue":"5","issued":{"date-parts":[["2009","5","1"]]},"page":"445-451","publisher":"John Wiley &amp; Sons, Ltd","title":"The efficacy and effect of opioid analgesia in undifferentiated abdominal pain in children: A review of four studies","type":"article-journal","volume":"19"},"uris":["http://www.mendeley.com/documents/?uuid=a105f91b-ff6e-3dd4-a0e7-4ed3ae14b0e7"]}],"mendeley":{"formattedCitation":"(22)","plainTextFormattedCitation":"(22)","previouslyFormattedCitation":"&lt;sup&gt;29&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(22)</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2A63B22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2009</w:t>
            </w:r>
          </w:p>
        </w:tc>
        <w:tc>
          <w:tcPr>
            <w:tcW w:w="1134" w:type="dxa"/>
            <w:tcBorders>
              <w:top w:val="nil"/>
              <w:left w:val="nil"/>
              <w:bottom w:val="nil"/>
              <w:right w:val="nil"/>
            </w:tcBorders>
            <w:shd w:val="clear" w:color="auto" w:fill="auto"/>
            <w:noWrap/>
            <w:hideMark/>
          </w:tcPr>
          <w:p w14:paraId="4DB738E5"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Australia</w:t>
            </w:r>
          </w:p>
        </w:tc>
        <w:tc>
          <w:tcPr>
            <w:tcW w:w="2268" w:type="dxa"/>
            <w:tcBorders>
              <w:top w:val="nil"/>
              <w:left w:val="nil"/>
              <w:bottom w:val="nil"/>
              <w:right w:val="nil"/>
            </w:tcBorders>
            <w:shd w:val="clear" w:color="auto" w:fill="auto"/>
            <w:noWrap/>
            <w:hideMark/>
          </w:tcPr>
          <w:p w14:paraId="090E8D26"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tcBorders>
              <w:top w:val="nil"/>
              <w:left w:val="nil"/>
              <w:bottom w:val="nil"/>
              <w:right w:val="nil"/>
            </w:tcBorders>
            <w:shd w:val="clear" w:color="auto" w:fill="auto"/>
            <w:noWrap/>
            <w:hideMark/>
          </w:tcPr>
          <w:p w14:paraId="0E49AA1F"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The question of whether opioid analgesia should be given in patients with undifferentiated acute abdominal pain has been characterized by concerns about its efficacy and that signs used to determine accurate diagnosis may be masked by the drug. The objective of this review is to critically </w:t>
            </w:r>
            <w:proofErr w:type="spellStart"/>
            <w:r w:rsidRPr="002B60DA">
              <w:rPr>
                <w:rFonts w:eastAsia="Times New Roman" w:cstheme="minorHAnsi"/>
                <w:color w:val="000000" w:themeColor="text1"/>
                <w:lang w:val="en-US" w:eastAsia="en-GB"/>
              </w:rPr>
              <w:t>analyse</w:t>
            </w:r>
            <w:proofErr w:type="spellEnd"/>
            <w:r w:rsidRPr="002B60DA">
              <w:rPr>
                <w:rFonts w:eastAsia="Times New Roman" w:cstheme="minorHAnsi"/>
                <w:color w:val="000000" w:themeColor="text1"/>
                <w:lang w:val="en-US" w:eastAsia="en-GB"/>
              </w:rPr>
              <w:t xml:space="preserve"> pertinent pediatric randomized controlled studies considering this requirement.</w:t>
            </w:r>
          </w:p>
        </w:tc>
      </w:tr>
      <w:tr w:rsidR="00894673" w:rsidRPr="003927A5" w14:paraId="325E2576" w14:textId="77777777" w:rsidTr="00A432C6">
        <w:trPr>
          <w:trHeight w:val="290"/>
        </w:trPr>
        <w:tc>
          <w:tcPr>
            <w:tcW w:w="1560" w:type="dxa"/>
            <w:tcBorders>
              <w:top w:val="nil"/>
              <w:left w:val="nil"/>
              <w:bottom w:val="nil"/>
              <w:right w:val="nil"/>
            </w:tcBorders>
            <w:shd w:val="clear" w:color="auto" w:fill="auto"/>
            <w:noWrap/>
            <w:hideMark/>
          </w:tcPr>
          <w:p w14:paraId="76AA562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Toumi</w:t>
            </w:r>
            <w:proofErr w:type="spellEnd"/>
            <w:r w:rsidRPr="002B60DA">
              <w:rPr>
                <w:rFonts w:eastAsia="Times New Roman" w:cstheme="minorHAnsi"/>
                <w:color w:val="000000" w:themeColor="text1"/>
                <w:lang w:val="en-US" w:eastAsia="en-GB"/>
              </w:rPr>
              <w:t xml:space="preserve">, Z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{"citationItems":[{"id":"ITEM-1","itemData":{"DOI":"10.1308/003588410X12664192075936","ISSN":"00358843","abstract":"INTRODUCTION: Acute appendicitis commonly presents as an acute abdomen. Cases of acute appendicitis caused by blunt abdominal trauma are rare. We present a systematic review of appendicitis following blunt abdominal trauma. The aim of this review was to collate and report the clinical presentations and experience of such cases.: SUBJECTS AND METHODS: A literature review was performed using PubMed, Embase and Medline and the keywords 'appendicitis', 'abdominal' and 'trauma'. RESULTS: The initial search returned 381 papers, of which 17 articles were included. We found 28 cases of acute appendicitis secondary to blunt abdominal trauma reported in the literature between 1991 and 2009. Mechanisms of injury included roadtraffic accidents, falls, assaults and accidents. Presenting symptoms invariably included abdominal pain, but also nausea, vomiting and anorexia. Only 12 patients had computed tomography scans and 10 patients had ultrasonography. All reported treatment was surgical and positive for appendicitis. : CONCLUSIONS :Although rare, the diagnosis of acute appendicitis must be considered following direct abdominal trauma especially if the patient complains of abdominal right lower quadrant pain, nausea and anorexia. Haemodynamically stable patients who present shortly after blunt abdominal trauma with right lower quadrant pain and tenderness should undergo urgent imaging with a plan to proceed to appendicectomy if the imaging suggested an inflammatory process within the right iliac fossa.","author":[{"dropping-particle":"","family":"Toumi","given":"Zaher","non-dropping-particle":"","parse-names":false,"suffix":""},{"dropping-particle":"","family":"Chan","given":"Anthony","non-dropping-particle":"","parse-names":false,"suffix":""},{"dropping-particle":"","family":"Hadfield","given":"Matthew B.","non-dropping-particle":"","parse-names":false,"suffix":""},{"dropping-particle":"","family":"Hulton","given":"Neil R.","non-dropping-particle":"","parse-names":false,"suffix":""}],"container-title":"Annals of the Royal College of Surgeons of England","id":"ITEM-1","issue":"6","issued":{"date-parts":[["2010","9"]]},"page":"477-482","publisher":"Ann R Coll Surg Engl","title":"Systematic review of blunt abdominal trauma as a cause of acute appendicitis","type":"article-journal","volume":"92"},"uris":["http://www.mendeley.com/documents/?uuid=afb2a259-26dd-3fa8-9051-75182682caf0"]}],"mendeley":{"formattedCitation":"(23)","plainTextFormattedCitation":"(23)","previouslyFormattedCitation":"&lt;sup&gt;15&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(23)</w:t>
            </w:r>
            <w:r w:rsidRPr="002B60DA">
              <w:rPr>
                <w:rFonts w:eastAsia="Times New Roman" w:cstheme="minorHAnsi"/>
                <w:color w:val="000000" w:themeColor="text1"/>
                <w:lang w:val="en-US" w:eastAsia="en-GB"/>
              </w:rPr>
              <w:fldChar w:fldCharType="end"/>
            </w:r>
          </w:p>
        </w:tc>
        <w:tc>
          <w:tcPr>
            <w:tcW w:w="567" w:type="dxa"/>
            <w:tcBorders>
              <w:top w:val="nil"/>
              <w:left w:val="nil"/>
              <w:bottom w:val="nil"/>
              <w:right w:val="nil"/>
            </w:tcBorders>
            <w:shd w:val="clear" w:color="auto" w:fill="auto"/>
            <w:noWrap/>
            <w:hideMark/>
          </w:tcPr>
          <w:p w14:paraId="7FB7130A"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2010</w:t>
            </w:r>
          </w:p>
        </w:tc>
        <w:tc>
          <w:tcPr>
            <w:tcW w:w="1134" w:type="dxa"/>
            <w:tcBorders>
              <w:top w:val="nil"/>
              <w:left w:val="nil"/>
              <w:bottom w:val="nil"/>
              <w:right w:val="nil"/>
            </w:tcBorders>
            <w:shd w:val="clear" w:color="auto" w:fill="auto"/>
            <w:noWrap/>
            <w:hideMark/>
          </w:tcPr>
          <w:p w14:paraId="2D626BEF"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UK</w:t>
            </w:r>
          </w:p>
        </w:tc>
        <w:tc>
          <w:tcPr>
            <w:tcW w:w="2268" w:type="dxa"/>
            <w:tcBorders>
              <w:top w:val="nil"/>
              <w:left w:val="nil"/>
              <w:bottom w:val="nil"/>
              <w:right w:val="nil"/>
            </w:tcBorders>
            <w:shd w:val="clear" w:color="auto" w:fill="auto"/>
            <w:noWrap/>
            <w:hideMark/>
          </w:tcPr>
          <w:p w14:paraId="33D368B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 case reports</w:t>
            </w:r>
          </w:p>
        </w:tc>
        <w:tc>
          <w:tcPr>
            <w:tcW w:w="8646" w:type="dxa"/>
            <w:tcBorders>
              <w:top w:val="nil"/>
              <w:left w:val="nil"/>
              <w:bottom w:val="nil"/>
              <w:right w:val="nil"/>
            </w:tcBorders>
            <w:shd w:val="clear" w:color="auto" w:fill="auto"/>
            <w:noWrap/>
            <w:hideMark/>
          </w:tcPr>
          <w:p w14:paraId="50644955"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We present a systematic review of appendicitis following blunt abdominal trauma. The aim of this review was to collate and report the clinical presentations and experience of such cases.</w:t>
            </w:r>
          </w:p>
        </w:tc>
      </w:tr>
      <w:tr w:rsidR="00894673" w:rsidRPr="003927A5" w14:paraId="14ADB12B" w14:textId="77777777" w:rsidTr="00A432C6">
        <w:trPr>
          <w:trHeight w:val="290"/>
        </w:trPr>
        <w:tc>
          <w:tcPr>
            <w:tcW w:w="1560" w:type="dxa"/>
            <w:tcBorders>
              <w:top w:val="nil"/>
              <w:left w:val="nil"/>
              <w:right w:val="nil"/>
            </w:tcBorders>
            <w:shd w:val="clear" w:color="auto" w:fill="auto"/>
            <w:noWrap/>
            <w:hideMark/>
          </w:tcPr>
          <w:p w14:paraId="60CFE2B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Heurn</w:t>
            </w:r>
            <w:proofErr w:type="spellEnd"/>
            <w:r w:rsidRPr="002B60DA">
              <w:rPr>
                <w:rFonts w:eastAsia="Times New Roman" w:cstheme="minorHAnsi"/>
                <w:color w:val="000000" w:themeColor="text1"/>
                <w:lang w:val="en-US" w:eastAsia="en-GB"/>
              </w:rPr>
              <w:t xml:space="preserve"> van, </w:t>
            </w:r>
            <w:proofErr w:type="spellStart"/>
            <w:r w:rsidRPr="002B60DA">
              <w:rPr>
                <w:rFonts w:eastAsia="Times New Roman" w:cstheme="minorHAnsi"/>
                <w:color w:val="000000" w:themeColor="text1"/>
                <w:lang w:val="en-US" w:eastAsia="en-GB"/>
              </w:rPr>
              <w:t>LW</w:t>
            </w:r>
            <w:proofErr w:type="spellEnd"/>
            <w:r w:rsidRPr="002B60DA">
              <w:rPr>
                <w:rFonts w:eastAsia="Times New Roman" w:cstheme="minorHAnsi"/>
                <w:color w:val="000000" w:themeColor="text1"/>
                <w:lang w:val="en-US" w:eastAsia="en-GB"/>
              </w:rPr>
              <w:t xml:space="preserve">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{"citationItems":[{"id":"ITEM-1","itemData":{"DOI":"10.1002/bjs.9335","ISSN":"00071323","abstract":"Background: Acute abdominal complaints in children are common presentations in the emergency department. The aetiology, presentation, diagnosis and management often differ from those in adults. Methods: This review was based on expert paediatric surgical experience confirmed by evidence from the literature obtained by searching PubMed and the Cochrane Library. Keywords used were the combinations of 'abdominal emergencies', 'acute abdomen' and the disorders 'acute appendicitis', 'intussusception', 'volvulus', 'Meckel's diverticulum', 'incarcerated inguinal hernia', 'testicular torsion' and 'ovarian torsion' with 'children'. Information was included from reviews, randomized clinical trials, meta-analyses, and prospective and retrospective cohort studies. Results: Presentation and symptoms of abdominal emergencies, especially in young children, vary widely, which renders recognition of the underlying disorder and treatment challenging. Critically targeted imaging techniques are becoming increasingly important in obtaining the correct diagnosis without unnecessary delay. Minimally invasive techniques have become the method of choice for the diagnosis and treatment of many abdominal emergencies in children. Conclusion: Knowledge of abdominal disorders in childhood, their specific presentation, diagnosis and treatment facilitates management of children with acute abdomen in emergency departments. Imaging and minimally invasive techniques are becoming increasingly important in the diagnosis of acute abdomen in children. Urgent operation remains the cornerstone of therapy for most acute abdominal disorders. © 2013 BJS Society Ltd.","author":[{"dropping-particle":"","family":"Heurn","given":"L. W. E.","non-dropping-particle":"van","parse-names":false,"suffix":""},{"dropping-particle":"","family":"Pakarinen","given":"M. P.","non-dropping-particle":"","parse-names":false,"suffix":""},{"dropping-particle":"","family":"Wester","given":"T.","non-dropping-particle":"","parse-names":false,"suffix":""}],"container-title":"British Journal of Surgery","id":"ITEM-1","issue":"1","issued":{"date-parts":[["2014","1","1"]]},"page":"e24-e33","publisher":"John Wiley &amp; Sons, Ltd","title":"Contemporary management of abdominal surgical emergencies in infants and children","type":"article-journal","volume":"101"},"uris":["http://www.mendeley.com/documents/?uuid=15b05e30-07d2-3f39-adb2-b226e9f94f3f"]}],"mendeley":{"formattedCitation":"(39)","plainTextFormattedCitation":"(39)","previouslyFormattedCitation":"&lt;sup&gt;39&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(39)</w:t>
            </w:r>
            <w:r w:rsidRPr="002B60DA">
              <w:rPr>
                <w:rFonts w:eastAsia="Times New Roman" w:cstheme="minorHAnsi"/>
                <w:color w:val="000000" w:themeColor="text1"/>
                <w:lang w:val="en-US" w:eastAsia="en-GB"/>
              </w:rPr>
              <w:fldChar w:fldCharType="end"/>
            </w:r>
          </w:p>
        </w:tc>
        <w:tc>
          <w:tcPr>
            <w:tcW w:w="567" w:type="dxa"/>
            <w:tcBorders>
              <w:top w:val="nil"/>
              <w:left w:val="nil"/>
              <w:right w:val="nil"/>
            </w:tcBorders>
            <w:shd w:val="clear" w:color="auto" w:fill="auto"/>
            <w:noWrap/>
            <w:hideMark/>
          </w:tcPr>
          <w:p w14:paraId="2238EE2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2014</w:t>
            </w:r>
          </w:p>
        </w:tc>
        <w:tc>
          <w:tcPr>
            <w:tcW w:w="1134" w:type="dxa"/>
            <w:tcBorders>
              <w:top w:val="nil"/>
              <w:left w:val="nil"/>
              <w:right w:val="nil"/>
            </w:tcBorders>
            <w:shd w:val="clear" w:color="auto" w:fill="auto"/>
            <w:noWrap/>
            <w:hideMark/>
          </w:tcPr>
          <w:p w14:paraId="7D14408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Netherlands, Sweden</w:t>
            </w:r>
          </w:p>
        </w:tc>
        <w:tc>
          <w:tcPr>
            <w:tcW w:w="2268" w:type="dxa"/>
            <w:tcBorders>
              <w:top w:val="nil"/>
              <w:left w:val="nil"/>
              <w:right w:val="nil"/>
            </w:tcBorders>
            <w:shd w:val="clear" w:color="auto" w:fill="auto"/>
            <w:noWrap/>
            <w:hideMark/>
          </w:tcPr>
          <w:p w14:paraId="0CFD55E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tcBorders>
              <w:top w:val="nil"/>
              <w:left w:val="nil"/>
              <w:right w:val="nil"/>
            </w:tcBorders>
            <w:shd w:val="clear" w:color="auto" w:fill="auto"/>
            <w:noWrap/>
            <w:hideMark/>
          </w:tcPr>
          <w:p w14:paraId="6DD4B84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The present review provides an overview of general symptoms of abdominal emergencies in children, and discusses the most common and the most devastating disorders that cause acute abdomen.</w:t>
            </w:r>
          </w:p>
        </w:tc>
      </w:tr>
      <w:tr w:rsidR="00894673" w:rsidRPr="0040251C" w14:paraId="18AB7209" w14:textId="77777777" w:rsidTr="00A432C6">
        <w:trPr>
          <w:trHeight w:val="290"/>
        </w:trPr>
        <w:tc>
          <w:tcPr>
            <w:tcW w:w="1560" w:type="dxa"/>
            <w:tcBorders>
              <w:top w:val="nil"/>
              <w:left w:val="nil"/>
              <w:right w:val="nil"/>
            </w:tcBorders>
            <w:shd w:val="clear" w:color="auto" w:fill="auto"/>
            <w:noWrap/>
            <w:hideMark/>
          </w:tcPr>
          <w:p w14:paraId="6672756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Dahabre</w:t>
            </w:r>
            <w:proofErr w:type="spellEnd"/>
            <w:r w:rsidRPr="002B60DA">
              <w:rPr>
                <w:rFonts w:eastAsia="Times New Roman" w:cstheme="minorHAnsi"/>
                <w:color w:val="000000" w:themeColor="text1"/>
                <w:lang w:val="en-US" w:eastAsia="en-GB"/>
              </w:rPr>
              <w:t xml:space="preserve">, </w:t>
            </w:r>
            <w:proofErr w:type="spellStart"/>
            <w:r w:rsidRPr="002B60DA">
              <w:rPr>
                <w:rFonts w:eastAsia="Times New Roman" w:cstheme="minorHAnsi"/>
                <w:color w:val="000000" w:themeColor="text1"/>
                <w:lang w:val="en-US" w:eastAsia="en-GB"/>
              </w:rPr>
              <w:t>IJ</w:t>
            </w:r>
            <w:proofErr w:type="spellEnd"/>
            <w:r w:rsidRPr="002B60DA">
              <w:rPr>
                <w:rFonts w:eastAsia="Times New Roman" w:cstheme="minorHAnsi"/>
                <w:color w:val="000000" w:themeColor="text1"/>
                <w:lang w:val="en-US" w:eastAsia="en-GB"/>
              </w:rPr>
              <w:t xml:space="preserve">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{"citationItems":[{"id":"ITEM-1","itemData":{"PMID":"27054223","abstract":"BACKGROUND The reliable identification of patients with abdominal pain who need surgical intervention for acute appendicitis can improve clinical outcomes and reduce resource use. The test performance and impact on outcomes of alternative diagnostic strategies are unclear. STUDY ELIGIBILITY CRITERIA We searched PubMed(®), Embase(®), the Cochrane Central Register of Controlled Trials, and the Cumulative Index to Nursing and Allied Health Literature(®) to identify primary research studies meeting our criteria for cohort studies that reported information on test accuracy for the diagnosis of acute appendicitis or harms, and for comparative studies (randomized or nonrandomized) that reported information on patient-relevant outcomes and resource use (last search, August 6, 2014, for PubMed; August 12, 2014, for all other databases). STUDY APPRAISAL AND SYNTHESIS METHODS A single investigator extracted data from each study and a second investigator verified extracted data from comparative studies; we also extracted data in duplicate for a sample of noncomparative studies. We performed Bayesian meta-analyses to estimate summary test performance using random-effects models; data on other outcomes were synthesized qualitatively. We also assessed the strength and applicability of the evidence. RESULTS Information on the test performance of diagnostic tests was available from 903 studies: clinical symptoms and signs (137 studies), laboratory tests (217 studies), imaging tests (519 studies), multivariable diagnostic scores (127 studies), and diagnostic laparoscopy (55 studies). Trials directly comparing diagnostic tests were too heterogeneous to support definitive conclusions; therefore, most of our results pertain to the test performance of individual tests. Clinical symptoms and signs, and laboratory tests had relatively low sensitivity and specificity when used in isolation. Their combination in multivariable scores performed somewhat better; however, the most studied scores were developed before the widespread use of imaging, thus lessening the applicability of their results to current practice. Computed tomography (CT) had high sensitivity (summary estimates ranging from 0.96 to 1) and specificity (0.91 to 1) in all populations of interest to this report; magnetic resonance imaging (MRI) had high sensitivity (0.94 to 1) but appeared to have variable specificity (0.86 to 1), mainly because of the smaller number of studies, which focused on its use for pregnant …","author":[{"dropping-particle":"","family":"Dahabreh","given":"IJ","non-dropping-particle":"","parse-names":false,"suffix":""},{"dropping-particle":"","family":"Adam","given":"GP","non-dropping-particle":"","parse-names":false,"suffix":""},{"dropping-particle":"","family":"Halladay","given":"CW","non-dropping-particle":"","parse-names":false,"suffix":""},{"dropping-particle":"","family":"Steele","given":"DW","non-dropping-particle":"","parse-names":false,"suffix":""},{"dropping-particle":"","family":"Daiello","given":"LA","non-dropping-particle":"","parse-names":false,"suffix":""},{"dropping-particle":"","family":"Weiland","given":"LS","non-dropping-particle":"","parse-names":false,"suffix":""},{"dropping-particle":"","family":"Zgodic","given":"Anja","non-dropping-particle":"","parse-names":false,"suffix":""},{"dropping-particle":"","family":"Smith","given":"BT","non-dropping-particle":"","parse-names":false,"suffix":""},{"dropping-particle":"","family":"Herliczek","given":"TW","non-dropping-particle":"","parse-names":false,"suffix":""},{"dropping-particle":"","family":"Shah","given":"N","non-dropping-particle":"","parse-names":false,"suffix":""},{"dropping-particle":"","family":"Trikalinos","given":"TA","non-dropping-particle":"","parse-names":false,"suffix":""}],"container-title":"Agency for Healthcare Research and Quality","id":"ITEM-1","issue":"157","issued":{"date-parts":[["2015"]]},"title":"Diagnosis of Right Lower Quadrant Pain and Suspected Acute Appendicitis","type":"book"},"uris":["http://www.mendeley.com/documents/?uuid=e1feef4c-60af-30b3-bab7-b08aaef04ee0"]}],"mendeley":{"formattedCitation":"(24)","plainTextFormattedCitation":"(24)","previouslyFormattedCitation":"&lt;sup&gt;16&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(24)</w:t>
            </w:r>
            <w:r w:rsidRPr="002B60DA">
              <w:rPr>
                <w:rFonts w:eastAsia="Times New Roman" w:cstheme="minorHAnsi"/>
                <w:color w:val="000000" w:themeColor="text1"/>
                <w:lang w:val="en-US" w:eastAsia="en-GB"/>
              </w:rPr>
              <w:fldChar w:fldCharType="end"/>
            </w:r>
          </w:p>
        </w:tc>
        <w:tc>
          <w:tcPr>
            <w:tcW w:w="567" w:type="dxa"/>
            <w:tcBorders>
              <w:top w:val="nil"/>
              <w:left w:val="nil"/>
              <w:right w:val="nil"/>
            </w:tcBorders>
            <w:shd w:val="clear" w:color="auto" w:fill="auto"/>
            <w:noWrap/>
            <w:hideMark/>
          </w:tcPr>
          <w:p w14:paraId="500E751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2015</w:t>
            </w:r>
          </w:p>
        </w:tc>
        <w:tc>
          <w:tcPr>
            <w:tcW w:w="1134" w:type="dxa"/>
            <w:tcBorders>
              <w:top w:val="nil"/>
              <w:left w:val="nil"/>
              <w:right w:val="nil"/>
            </w:tcBorders>
            <w:shd w:val="clear" w:color="auto" w:fill="auto"/>
            <w:noWrap/>
            <w:hideMark/>
          </w:tcPr>
          <w:p w14:paraId="55ADCAB1"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USA</w:t>
            </w:r>
          </w:p>
        </w:tc>
        <w:tc>
          <w:tcPr>
            <w:tcW w:w="2268" w:type="dxa"/>
            <w:tcBorders>
              <w:top w:val="nil"/>
              <w:left w:val="nil"/>
              <w:right w:val="nil"/>
            </w:tcBorders>
            <w:shd w:val="clear" w:color="auto" w:fill="auto"/>
            <w:noWrap/>
            <w:hideMark/>
          </w:tcPr>
          <w:p w14:paraId="0745C70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tcBorders>
              <w:top w:val="nil"/>
              <w:left w:val="nil"/>
              <w:right w:val="nil"/>
            </w:tcBorders>
            <w:shd w:val="clear" w:color="auto" w:fill="auto"/>
            <w:noWrap/>
            <w:hideMark/>
          </w:tcPr>
          <w:p w14:paraId="1AF08859"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To identify primary research studies meeting our criteria for cohort studies that reported </w:t>
            </w:r>
            <w:r w:rsidRPr="002B60DA">
              <w:rPr>
                <w:rFonts w:eastAsia="Times New Roman" w:cstheme="minorHAnsi"/>
                <w:color w:val="000000" w:themeColor="text1"/>
                <w:lang w:val="en-US" w:eastAsia="en-GB"/>
              </w:rPr>
              <w:lastRenderedPageBreak/>
              <w:t>information on test accuracy for the diagnosis of acute appendicitis or harms, and for comparative studies (randomized or nonrandomized) that reported information on patient-relevant outcomes and resource use.</w:t>
            </w:r>
          </w:p>
        </w:tc>
      </w:tr>
      <w:tr w:rsidR="00894673" w:rsidRPr="002B60DA" w14:paraId="66D295EC" w14:textId="77777777" w:rsidTr="00A432C6">
        <w:trPr>
          <w:trHeight w:val="290"/>
        </w:trPr>
        <w:tc>
          <w:tcPr>
            <w:tcW w:w="1560" w:type="dxa"/>
            <w:shd w:val="clear" w:color="auto" w:fill="auto"/>
            <w:noWrap/>
            <w:hideMark/>
          </w:tcPr>
          <w:p w14:paraId="0442837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lastRenderedPageBreak/>
              <w:t>Eizenga</w:t>
            </w:r>
            <w:proofErr w:type="spellEnd"/>
            <w:r w:rsidRPr="002B60DA">
              <w:rPr>
                <w:rFonts w:eastAsia="Times New Roman" w:cstheme="minorHAnsi"/>
                <w:color w:val="000000" w:themeColor="text1"/>
                <w:lang w:val="en-US" w:eastAsia="en-GB"/>
              </w:rPr>
              <w:t xml:space="preserve">, </w:t>
            </w:r>
            <w:proofErr w:type="spellStart"/>
            <w:r w:rsidRPr="002B60DA">
              <w:rPr>
                <w:rFonts w:eastAsia="Times New Roman" w:cstheme="minorHAnsi"/>
                <w:color w:val="000000" w:themeColor="text1"/>
                <w:lang w:val="en-US" w:eastAsia="en-GB"/>
              </w:rPr>
              <w:t>WH</w:t>
            </w:r>
            <w:proofErr w:type="spellEnd"/>
            <w:r w:rsidRPr="002B60DA">
              <w:rPr>
                <w:rFonts w:eastAsia="Times New Roman" w:cstheme="minorHAnsi"/>
                <w:color w:val="000000" w:themeColor="text1"/>
                <w:lang w:val="en-US" w:eastAsia="en-GB"/>
              </w:rPr>
              <w:t xml:space="preserve">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{"citationItems":[{"id":"ITEM-1","itemData":{"ISSN":"1876-8784","PMID":"23575296","abstract":"The Dutch College of General Practitioners (NHG) guideline 'Abdominal pain in children' was published in September 2012. The guideline distinguishes between children with acute abdominal pain (≤ 1 week) and chronic abdominal pain (&gt; 1 week). Abdominal pain can be caused by an underlying somatic condition or can have a functional nature. The chance of finding a somatic cause is far higher in children with acute abdominal pain than in children with chronic abdominal pain. In children with acute pain the emphasis is on diagnosis, whereas in children with chronic pain it is on treatment. Additional investigations in children without indications for a somatic cause can be limited to urinary investigation. Most children with functional abdominal pain can be treated by their GP. This treatment consists of explanation and advice to the patient and his or her parents, with the aim of providing reassurance. In children with continued severe functional abdominal pain, consultation with or possible referral to the paediatrician is advised.","author":[{"dropping-particle":"","family":"Eizenga","given":"Wietze H","non-dropping-particle":"","parse-names":false,"suffix":""},{"dropping-particle":"","family":"Gieteling","given":"Marieke J","non-dropping-particle":"","parse-names":false,"suffix":""},{"dropping-particle":"","family":"Berger","given":"Marjolein Y","non-dropping-particle":"","parse-names":false,"suffix":""},{"dropping-particle":"","family":"Geijer","given":"Roeland M M","non-dropping-particle":"","parse-names":false,"suffix":""}],"container-title":"Nederlands tijdschrift voor geneeskunde","id":"ITEM-1","issue":"15","issued":{"date-parts":[["2013"]]},"page":"A6191","title":"[Summary of the NHG guideline 'Abdominal pain in children', the 100th NHG guideline].","type":"article-journal","volume":"157"},"uris":["http://www.mendeley.com/documents/?uuid=b80241d8-14ce-36e1-95b5-54b9e96b62d5"]}],"mendeley":{"formattedCitation":"(10)","plainTextFormattedCitation":"(10)","previouslyFormattedCitation":"&lt;sup&gt;10&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(10)</w:t>
            </w:r>
            <w:r w:rsidRPr="002B60DA">
              <w:rPr>
                <w:rFonts w:eastAsia="Times New Roman" w:cstheme="minorHAnsi"/>
                <w:color w:val="000000" w:themeColor="text1"/>
                <w:lang w:val="en-US" w:eastAsia="en-GB"/>
              </w:rPr>
              <w:fldChar w:fldCharType="end"/>
            </w:r>
          </w:p>
        </w:tc>
        <w:tc>
          <w:tcPr>
            <w:tcW w:w="567" w:type="dxa"/>
            <w:shd w:val="clear" w:color="auto" w:fill="auto"/>
            <w:noWrap/>
            <w:hideMark/>
          </w:tcPr>
          <w:p w14:paraId="06BAF91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2012</w:t>
            </w:r>
          </w:p>
        </w:tc>
        <w:tc>
          <w:tcPr>
            <w:tcW w:w="1134" w:type="dxa"/>
            <w:shd w:val="clear" w:color="auto" w:fill="auto"/>
            <w:noWrap/>
            <w:hideMark/>
          </w:tcPr>
          <w:p w14:paraId="4DF21D4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Netherlands</w:t>
            </w:r>
          </w:p>
        </w:tc>
        <w:tc>
          <w:tcPr>
            <w:tcW w:w="2268" w:type="dxa"/>
            <w:shd w:val="clear" w:color="auto" w:fill="auto"/>
            <w:noWrap/>
            <w:hideMark/>
          </w:tcPr>
          <w:p w14:paraId="5C5907C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Guideline</w:t>
            </w:r>
          </w:p>
        </w:tc>
        <w:tc>
          <w:tcPr>
            <w:tcW w:w="8646" w:type="dxa"/>
            <w:shd w:val="clear" w:color="auto" w:fill="auto"/>
            <w:noWrap/>
            <w:hideMark/>
          </w:tcPr>
          <w:p w14:paraId="5E8D1E5C"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N/a</w:t>
            </w:r>
          </w:p>
        </w:tc>
      </w:tr>
      <w:tr w:rsidR="00894673" w:rsidRPr="0040251C" w14:paraId="3A6AB9E4" w14:textId="77777777" w:rsidTr="00A432C6">
        <w:trPr>
          <w:trHeight w:val="290"/>
        </w:trPr>
        <w:tc>
          <w:tcPr>
            <w:tcW w:w="1560" w:type="dxa"/>
            <w:shd w:val="clear" w:color="auto" w:fill="auto"/>
            <w:noWrap/>
          </w:tcPr>
          <w:p w14:paraId="37CE6B28"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proofErr w:type="spellStart"/>
            <w:r w:rsidRPr="002B60DA">
              <w:rPr>
                <w:rFonts w:eastAsia="Times New Roman" w:cstheme="minorHAnsi"/>
                <w:color w:val="000000" w:themeColor="text1"/>
                <w:lang w:val="en-US" w:eastAsia="en-GB"/>
              </w:rPr>
              <w:t>Alam</w:t>
            </w:r>
            <w:proofErr w:type="spellEnd"/>
            <w:r w:rsidRPr="002B60DA">
              <w:rPr>
                <w:rFonts w:eastAsia="Times New Roman" w:cstheme="minorHAnsi"/>
                <w:color w:val="000000" w:themeColor="text1"/>
                <w:lang w:val="en-US" w:eastAsia="en-GB"/>
              </w:rPr>
              <w:t xml:space="preserve">, R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{"citationItems":[{"id":"ITEM-1","itemData":{"DOI":"10.1186/s12875-017-0650-0","abstract":"Background: Diagnostic uncertainty is one of the largest contributory factors to the occurrence of diagnostic errors across most specialties in medicine and arguably uncertainty is greatest in primary care due to the undifferentiated symptoms primary care physicians are often presented with. Physicians can respond to diagnostic uncertainty in various ways through the interplay of a series of cognitive, emotional and ethical reactions. The consequences of such uncertainty however can impact negatively upon the primary care practitioner, their patients and the wider healthcare system. Understanding the nature of the existing empirical literature in relation to managing diagnostic uncertainty in primary medical care is a logical and necessary first step in order to understand what solutions are already available and/or to aid the development of any training or feedback aimed at better managing this uncertainty. This review is the first to characterize the existing empirical literature on managing diagnostic uncertainty in primary care. Methods: Sixteen databases were systematically searched from inception to present with no restrictions. Hand searches of relevant websites and reference lists of included studies were also conducted. Two authors conducted abstract/article screening and data extraction. PRISMA guidelines were adhered to.","author":[{"dropping-particle":"","family":"Alam","given":"Rahul","non-dropping-particle":"","parse-names":false,"suffix":""},{"dropping-particle":"","family":"Cheraghi-Sohi","given":"Sudeh","non-dropping-particle":"","parse-names":false,"suffix":""},{"dropping-particle":"","family":"Panagioti","given":"Maria","non-dropping-particle":"","parse-names":false,"suffix":""},{"dropping-particle":"","family":"Esmail","given":"Aneez","non-dropping-particle":"","parse-names":false,"suffix":""},{"dropping-particle":"","family":"Campbell","given":"Stephen","non-dropping-particle":"","parse-names":false,"suffix":""},{"dropping-particle":"","family":"Panagopoulou","given":"Efharis","non-dropping-particle":"","parse-names":false,"suffix":""}],"id":"ITEM-1","issued":{"date-parts":[["0"]]},"note":"onzekerheid: tolerantie van onzekerheid belangrijk; deel het met de paitënt\nslechtere tolerantie onzekerheid leidt tot meer testen en meer stress\nmeer medisch model: meer stress; meer psychosociaal model: minder stress (bij dokter)\ndomeinen: cognitief, emotioneel, ethisch\nhelpt een diagnostische tool wel om de onzekerheid te reduceren?","title":"Managing diagnostic uncertainty in primary care: a systematic critical review","type":"article-journal"},"uris":["http://www.mendeley.com/documents/?uuid=a96110b5-b398-3199-a51e-dfcc724cfbcd"]}],"mendeley":{"formattedCitation":"(25)","plainTextFormattedCitation":"(25)","previouslyFormattedCitation":"&lt;sup&gt;17&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(25)</w:t>
            </w:r>
            <w:r w:rsidRPr="002B60DA">
              <w:rPr>
                <w:rFonts w:eastAsia="Times New Roman" w:cstheme="minorHAnsi"/>
                <w:color w:val="000000" w:themeColor="text1"/>
                <w:lang w:val="en-US" w:eastAsia="en-GB"/>
              </w:rPr>
              <w:fldChar w:fldCharType="end"/>
            </w:r>
          </w:p>
        </w:tc>
        <w:tc>
          <w:tcPr>
            <w:tcW w:w="567" w:type="dxa"/>
            <w:shd w:val="clear" w:color="auto" w:fill="auto"/>
            <w:noWrap/>
          </w:tcPr>
          <w:p w14:paraId="04F1B101"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2017</w:t>
            </w:r>
          </w:p>
        </w:tc>
        <w:tc>
          <w:tcPr>
            <w:tcW w:w="1134" w:type="dxa"/>
            <w:shd w:val="clear" w:color="auto" w:fill="auto"/>
            <w:noWrap/>
          </w:tcPr>
          <w:p w14:paraId="4720342D"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UK</w:t>
            </w:r>
          </w:p>
        </w:tc>
        <w:tc>
          <w:tcPr>
            <w:tcW w:w="2268" w:type="dxa"/>
            <w:shd w:val="clear" w:color="auto" w:fill="auto"/>
            <w:noWrap/>
          </w:tcPr>
          <w:p w14:paraId="397E80C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shd w:val="clear" w:color="auto" w:fill="auto"/>
            <w:noWrap/>
          </w:tcPr>
          <w:p w14:paraId="451E6738"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cstheme="minorHAnsi"/>
                <w:color w:val="000000" w:themeColor="text1"/>
                <w:lang w:val="en-US"/>
              </w:rPr>
              <w:t>To synthesize the strategies, skills or traits associated with or used by clinicians working in general medical practice to manage diagnostic uncertainty and identify any existing training programs that aim to support clinicians to manage diagnostic uncertainty.</w:t>
            </w:r>
          </w:p>
        </w:tc>
      </w:tr>
      <w:tr w:rsidR="00894673" w:rsidRPr="003927A5" w14:paraId="1A322048" w14:textId="77777777" w:rsidTr="00A432C6">
        <w:trPr>
          <w:trHeight w:val="290"/>
        </w:trPr>
        <w:tc>
          <w:tcPr>
            <w:tcW w:w="1560" w:type="dxa"/>
            <w:shd w:val="clear" w:color="auto" w:fill="auto"/>
            <w:noWrap/>
          </w:tcPr>
          <w:p w14:paraId="2B6A44E8"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Almond, S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10.3399/bjgp09X472971","ISSN":"1478-5242","PMID":"19861036","author":[{"dropping-particle":"","family":"Almond","given":"Susanna","non-dropping-particle":"","parse-names":false,"suffix":""},{"dropping-particle":"","family":"Mant","given":"David","non-dropping-particle":"","parse-names":false,"suffix":""},{"dropping-particle":"","family":"Thompson","given":"Matthew","non-dropping-particle":"","parse-names":false,"suffix":""}],"container-title":"The British journal of general practice : the journal of the Royal College of General Practitioners","id":"ITEM-1","issue":"568","issued":{"date-parts":[["2009","11"]]},"page":"872-4; discussion 874","publisher":"Royal College of General Practitioners","title":"Diagnostic safety-netting.","type":"article-journal","volume":"59"},"uris":["http://www.mendeley.com/documents/?uuid=9619fecf-f6b5-32af-a44d-944c44632484"]}],"mendeley":{"formattedCitation":"(26)","plainTextFormattedCitation":"(26)","previouslyFormattedCitation":"&lt;sup&gt;18&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(26)</w:t>
            </w:r>
            <w:r w:rsidRPr="002B60DA">
              <w:rPr>
                <w:rFonts w:eastAsia="Times New Roman" w:cstheme="minorHAnsi"/>
                <w:color w:val="000000" w:themeColor="text1"/>
                <w:lang w:val="en-US" w:eastAsia="en-GB"/>
              </w:rPr>
              <w:fldChar w:fldCharType="end"/>
            </w:r>
          </w:p>
        </w:tc>
        <w:tc>
          <w:tcPr>
            <w:tcW w:w="567" w:type="dxa"/>
            <w:shd w:val="clear" w:color="auto" w:fill="auto"/>
            <w:noWrap/>
          </w:tcPr>
          <w:p w14:paraId="26E25365"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2009</w:t>
            </w:r>
          </w:p>
        </w:tc>
        <w:tc>
          <w:tcPr>
            <w:tcW w:w="1134" w:type="dxa"/>
            <w:shd w:val="clear" w:color="auto" w:fill="auto"/>
            <w:noWrap/>
          </w:tcPr>
          <w:p w14:paraId="53A61EBC"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UK</w:t>
            </w:r>
          </w:p>
        </w:tc>
        <w:tc>
          <w:tcPr>
            <w:tcW w:w="2268" w:type="dxa"/>
            <w:shd w:val="clear" w:color="auto" w:fill="auto"/>
            <w:noWrap/>
          </w:tcPr>
          <w:p w14:paraId="26F5F25B"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Modified Delphi</w:t>
            </w:r>
          </w:p>
        </w:tc>
        <w:tc>
          <w:tcPr>
            <w:tcW w:w="8646" w:type="dxa"/>
            <w:shd w:val="clear" w:color="auto" w:fill="auto"/>
            <w:noWrap/>
          </w:tcPr>
          <w:p w14:paraId="445F61A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In the absence of published evidence, we sought clinical consensus about safety-netting in children with acute illness.</w:t>
            </w:r>
          </w:p>
        </w:tc>
      </w:tr>
      <w:tr w:rsidR="00894673" w:rsidRPr="003927A5" w14:paraId="293B4FA8" w14:textId="77777777" w:rsidTr="00A432C6">
        <w:trPr>
          <w:trHeight w:val="290"/>
        </w:trPr>
        <w:tc>
          <w:tcPr>
            <w:tcW w:w="1560" w:type="dxa"/>
            <w:shd w:val="clear" w:color="auto" w:fill="auto"/>
            <w:noWrap/>
          </w:tcPr>
          <w:p w14:paraId="100D311E"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Vos – Kerkhof, de E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{"citationItems":[{"id":"ITEM-1","itemData":{"DOI":"10.1136/archdischild-2014-306953 [doi]","ISSN":"1468-2044; 0003-9888","PMID":"26163122","abstract":"CONTEXT: Follow-up strategies after emergency department (ED) discharge, alias safety netting, is often based on the gut feeling of the attending physician. OBJECTIVE: To systematically identify evaluated safety-netting strategies after ED discharge and to describe determinants of paediatric ED revisits. DATA SOURCES: MEDLINE, Embase, CINAHL, Cochrane central, OvidSP, Web of Science, Google Scholar, PubMed. STUDY SELECTION: Studies of any design reporting on safety netting/follow-up after ED discharge and/or determinants of ED revisits for the total paediatric population or specifically for children with fever, dyspnoea and/or gastroenteritis. Outcomes included complicated course of disease after initial ED visit (eg, revisits, hospitalisation). DATA EXTRACTION: Two reviewers independently assessed studies for eligibility and study quality. As meta-analysis was not possible due to heterogeneity of studies, we performed a narrative synthesis of study results. A best-evidence synthesis was used to identify the level of evidence. RESULTS: We summarised 58 studies, 36% (21/58) were assessed as having low risk of bias. Limited evidence was observed for different strategies of safety netting, with educational interventions being mostly studied. Young children, a relevant medical history, infectious/respiratory symptoms or seizures and progression/persistence of symptoms were strongly associated with ED revisits. Gender, emergency crowding, physicians' characteristics and diagnostic tests and/or therapeutic interventions at the index visit were not associated with revisits. CONCLUSIONS: Within the heterogeneous available evidence, we identified a set of strong determinants of revisits that identify high-risk groups in need for safety netting in paediatric emergency care being related to age and clinical symptoms. Gaps remain on intervention studies concerning specific application of a uniform safety-netting strategy and its included time frame.","author":[{"dropping-particle":"","family":"Vos-Kerkhof","given":"Evelien","non-dropping-particle":"de","parse-names":false,"suffix":""},{"dropping-particle":"","family":"Geurts","given":"Dorien H.F.","non-dropping-particle":"","parse-names":false,"suffix":""},{"dropping-particle":"","family":"Wiggers","given":"Mariska","non-dropping-particle":"","parse-names":false,"suffix":""},{"dropping-particle":"","family":"Moll","given":"Henriette A.","non-dropping-particle":"","parse-names":false,"suffix":""},{"dropping-particle":"","family":"Oostenbrink","given":"Rianne","non-dropping-particle":"","parse-names":false,"suffix":""}],"container-title":"Archives of Disease in Childhood","id":"ITEM-1","issue":"2","issued":{"date-parts":[["2016","2","1"]]},"note":"From Duplicate 1 (Tools for 'safety netting' in common paediatric illnesses: a systematic review in emergency care - de Vos-Kerkhof, Evelien; Geurts, Dorien H.F.; Wiggers, Mariska; Moll, Henriette A.; Oostenbrink, Rianne)\n\nFrom Duplicate 1 (Tools for 'safety netting' in common paediatric illnesses: a systematic review in emergency care - de Vos-Kerkhof, Evelien; Geurts, Dorien H.F.; Wiggers, Mariska; Moll, Henriette A.; Oostenbrink, Rianne)\n\nFrom Duplicate 1 (Tools for 'safety netting' in common paediatric illnesses: a systematic review in emergency care - de Vos-Kerkhof, Evelien; Geurts, Dorien H.F.; Wiggers, Mariska; Moll, Henriette A.; Oostenbrink, Rianne)\n\nFrom Duplicate 2 (Tools for 'safety netting' in common paediatric illnesses: a systematic review in emergency care - de Vos-Kerkhof, E; Geurts, D H; Wiggers, M; Moll, H A; Oostenbrink, R)\n\nLR: 20181202; CI: Published by the BMJ Publishing Group Limited. For permission to use (where not already granted under a licence) please go to http://www.bmj.com/company/products-services/rights-and-licensing/; JID: 0372434; OTO: NOTNLM; 2014/06/11 00:00 [received]; 2015/06/17 00:00 [accepted]; 2015/07/12 06:00 [entrez]; 2015/07/15 06:00 [pubmed]; 2016/05/26 06:00 [medline]; ppublish\n\nFrom Duplicate 2 (Tools for 'safety netting' in common paediatric illnesses: a systematic review in emergency care - de Vos-Kerkhof, E; Geurts, D H; Wiggers, M; Moll, H A; Oostenbrink, R)\n\nLR: 20181202; CI: Published by the BMJ Publishing Group Limited. For permission to use (where not already granted under a licence) please go to http://www.bmj.com/company/products-services/rights-and-licensing/; JID: 0372434; OTO: NOTNLM; 2014/06/11 00:00 [received]; 2015/06/17 00:00 [accepted]; 2015/07/12 06:00 [entrez]; 2015/07/15 06:00 [pubmed]; 2016/05/26 06:00 [medline]; ppublish\n\nFrom Duplicate 2 (Tools for 'safety netting' in common paediatric illnesses: a systematic review in emergency care - de Vos-Kerkhof, E; Geurts, D H; Wiggers, M; Moll, H A; Oostenbrink, R)\n\nLR: 20181202; CI: Published by the BMJ Publishing Group Limited. For permission to use (where not already granted under a licence) please go to http://www.bmj.com/company/products-services/rights-and-licensing/; JID: 0372434; OTO: NOTNLM; 2014/06/11 00:00 [received]; 2015/06/17 00:00 [accepted]; 2015/07/12 06:00 [entrez]; 2015/07/15 06:00 [pubmed]; 2016/05/26 06:00 [medline]; ppublish\n\nFrom Duplicate 2 (Tools for 'safety netting' in common paediatric illnesses: a systematic review in emergency care - de Vos-Kerkhof, Evelien; Geurts, Dorien H.F.; Wiggers, Mariska; Moll, Henriette A.; Oostenbrink, Rianne)\n\nFrom Duplicate 2 (Tools for 'safety netting' in common paediatric illnesses: a systematic review in emergency care - de Vos-Kerkhof, E; Geurts, D H; Wiggers, M; Moll, H A; Oostenbrink, R)\n\nLR: 20181202; CI: Published by the BMJ Publishing Group Limited. For permission to use (where not already granted under a licence) please go to http://www.bmj.com/company/products-services/rights-and-licensing/; JID: 0372434; OTO: NOTNLM; 2014/06/11 00:00 [received]; 2015/06/17 00:00 [accepted]; 2015/07/12 06:00 [entrez]; 2015/07/15 06:00 [pubmed]; 2016/05/26 06:00 [medline]; ppublish","page":"131-139","publisher":"BMJ Publishing Group","publisher-place":"Department of General Paediatrics, ErasmusMC-Sophia Children's Hospital, Rotterdam, The Netherlands.; Department of General Paediatrics, ErasmusMC-Sophia Children's Hospital, Rotterdam, The Netherlands.; Erasmus University, Rotterdam, The Netherlands.; De","title":"Tools for 'safety netting' in common paediatric illnesses: a systematic review in emergency care","type":"article-journal","volume":"101"},"uris":["http://www.mendeley.com/documents/?uuid=f07a6ce3-bb01-4d3e-83b1-3161fcdb2739"]}],"mendeley":{"formattedCitation":"(40)","plainTextFormattedCitation":"(40)","previouslyFormattedCitation":"&lt;sup&gt;40&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(40)</w:t>
            </w:r>
            <w:r w:rsidRPr="002B60DA">
              <w:rPr>
                <w:rFonts w:eastAsia="Times New Roman" w:cstheme="minorHAnsi"/>
                <w:color w:val="000000" w:themeColor="text1"/>
                <w:lang w:val="en-US" w:eastAsia="en-GB"/>
              </w:rPr>
              <w:fldChar w:fldCharType="end"/>
            </w:r>
          </w:p>
        </w:tc>
        <w:tc>
          <w:tcPr>
            <w:tcW w:w="567" w:type="dxa"/>
            <w:shd w:val="clear" w:color="auto" w:fill="auto"/>
            <w:noWrap/>
          </w:tcPr>
          <w:p w14:paraId="6521FFE6"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2016</w:t>
            </w:r>
          </w:p>
        </w:tc>
        <w:tc>
          <w:tcPr>
            <w:tcW w:w="1134" w:type="dxa"/>
            <w:shd w:val="clear" w:color="auto" w:fill="auto"/>
            <w:noWrap/>
          </w:tcPr>
          <w:p w14:paraId="6462F6A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Netherlands</w:t>
            </w:r>
          </w:p>
        </w:tc>
        <w:tc>
          <w:tcPr>
            <w:tcW w:w="2268" w:type="dxa"/>
            <w:shd w:val="clear" w:color="auto" w:fill="auto"/>
            <w:noWrap/>
          </w:tcPr>
          <w:p w14:paraId="439CD47C"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Systematic review</w:t>
            </w:r>
          </w:p>
        </w:tc>
        <w:tc>
          <w:tcPr>
            <w:tcW w:w="8646" w:type="dxa"/>
            <w:shd w:val="clear" w:color="auto" w:fill="auto"/>
            <w:noWrap/>
          </w:tcPr>
          <w:p w14:paraId="729069E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cstheme="minorHAnsi"/>
                <w:color w:val="000000" w:themeColor="text1"/>
                <w:lang w:val="en-US"/>
              </w:rPr>
              <w:t>To systematically identify evaluated safety-netting strategies after ED discharge and to describe determinants of pediatric ED revisits.</w:t>
            </w:r>
          </w:p>
        </w:tc>
      </w:tr>
      <w:tr w:rsidR="00894673" w:rsidRPr="003927A5" w14:paraId="01311E12" w14:textId="77777777" w:rsidTr="00A432C6">
        <w:trPr>
          <w:trHeight w:val="290"/>
        </w:trPr>
        <w:tc>
          <w:tcPr>
            <w:tcW w:w="1560" w:type="dxa"/>
            <w:shd w:val="clear" w:color="auto" w:fill="auto"/>
            <w:noWrap/>
          </w:tcPr>
          <w:p w14:paraId="636BB55F"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Jones, CH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{"citationItems":[{"id":"ITEM-1","itemData":{"DOI":"10.1186/1471-2296-14-140 [doi]","ISSN":"1471-2296; 1471-2296","abstract":"BACKGROUND: Acute illness is common in childhood, and it is difficult for healthcare professionals to distinguish seriously ill children from the vast majority with minor or self-limiting illnesses. Safety netting provides parents with advice on when and where to return if their child deteriorates, and it is widely recommended that parents of acutely sick young children should be given safety netting advice. Yet little is known about how and when this is given. We aimed to understand what safety netting advice first contact clinicians give parents of acutely sick young children, how, when, and why. METHODS: This was a qualitative study. Interviews and focus groups were held with doctors and nurses in a general practice surgery, a District General Hospital emergency department, a paediatric emergency department, and an out-of-hours service. Data were analysed using the method of constant comparison. RESULTS: Sixteen clinicians participated. They described that safety netting advice includes advising parents what to look for, when and where to seek help. How safety netting was delivered and whether it was verbal or written was inconsistent, and no participants described being trained in this area. Safety netting appeared to be rarely documented, and was left to individual preference. Limitations of written materials, and structural barriers to the provision of safety netting, were perceived. Participants described that safety netting was influenced by clinicians' experience, confidence, time and knowledge; and perceived parental anxiety, experience, and competence. Participants noted several limitations to safety netting including not knowing if it has been understood by parents or been effective; parental difficulty interpreting information and desire for face-to-face reassurance; and potential over-reassurance. CONCLUSION: First contact clinicians employ a range of safety netting techniques, with inconsistencies within and between organisations. Structural changes, clinician training, and documentation in patient notes may improve safety netting provision. Research is needed into the optimal components of safety netting advice so that clinicians can consistently deliver the most effective advice for parents.","author":[{"dropping-particle":"","family":"Jones","given":"C H","non-dropping-particle":"","parse-names":false,"suffix":""},{"dropping-particle":"","family":"Neill","given":"S","non-dropping-particle":"","parse-names":false,"suffix":""},{"dropping-particle":"","family":"Lakhanpaul","given":"M","non-dropping-particle":"","parse-names":false,"suffix":""},{"dropping-particle":"","family":"Roland","given":"D","non-dropping-particle":"","parse-names":false,"suffix":""},{"dropping-particle":"","family":"Singlehurst-Mooney","given":"H","non-dropping-particle":"","parse-names":false,"suffix":""},{"dropping-particle":"","family":"Thompson","given":"M","non-dropping-particle":"","parse-names":false,"suffix":""}],"container-title":"BMC family practice","id":"ITEM-1","issued":{"date-parts":[["2013","9","25"]]},"note":"LR: 20181113; GR: CDF-2011-04-052/Department of Health/United Kingdom; JID: 100967792; 2013/07/05 00:00 [received]; 2013/09/24 00:00 [accepted]; 2013/09/27 06:00 [entrez]; 2013/09/27 06:00 [pubmed]; 2014/07/10 06:00 [medline]; epublish","page":"140","publisher-place":"Department of Primary Care Health Sciences, University of Oxford, Radcliffe Observatory Quarter, Woodstock Road, OX2 6GG Oxford, England. caroline.jones@phc.ox.ac.uk.","title":"The safety netting behaviour of first contact clinicians: a qualitative study","type":"article-journal","volume":"14"},"uris":["http://www.mendeley.com/documents/?uuid=a986b2f6-1204-4d30-bf67-1f13e0cb7020"]}],"mendeley":{"formattedCitation":"(28)","plainTextFormattedCitation":"(28)","previouslyFormattedCitation":"&lt;sup&gt;20&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(28)</w:t>
            </w:r>
            <w:r w:rsidRPr="002B60DA">
              <w:rPr>
                <w:rFonts w:eastAsia="Times New Roman" w:cstheme="minorHAnsi"/>
                <w:color w:val="000000" w:themeColor="text1"/>
                <w:lang w:val="en-US" w:eastAsia="en-GB"/>
              </w:rPr>
              <w:fldChar w:fldCharType="end"/>
            </w:r>
          </w:p>
        </w:tc>
        <w:tc>
          <w:tcPr>
            <w:tcW w:w="567" w:type="dxa"/>
            <w:shd w:val="clear" w:color="auto" w:fill="auto"/>
            <w:noWrap/>
          </w:tcPr>
          <w:p w14:paraId="3619F972"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2013</w:t>
            </w:r>
          </w:p>
        </w:tc>
        <w:tc>
          <w:tcPr>
            <w:tcW w:w="1134" w:type="dxa"/>
            <w:shd w:val="clear" w:color="auto" w:fill="auto"/>
            <w:noWrap/>
          </w:tcPr>
          <w:p w14:paraId="1D834E87"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UK</w:t>
            </w:r>
          </w:p>
        </w:tc>
        <w:tc>
          <w:tcPr>
            <w:tcW w:w="2268" w:type="dxa"/>
            <w:shd w:val="clear" w:color="auto" w:fill="auto"/>
            <w:noWrap/>
          </w:tcPr>
          <w:p w14:paraId="516848CA"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Qualitative study</w:t>
            </w:r>
          </w:p>
        </w:tc>
        <w:tc>
          <w:tcPr>
            <w:tcW w:w="8646" w:type="dxa"/>
            <w:shd w:val="clear" w:color="auto" w:fill="auto"/>
            <w:noWrap/>
          </w:tcPr>
          <w:p w14:paraId="28BD4C9E"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cstheme="minorHAnsi"/>
                <w:color w:val="000000" w:themeColor="text1"/>
                <w:lang w:val="en-US"/>
              </w:rPr>
              <w:t>We aimed to understand what safety-netting advice first contact clinicians give parents of acutely sick young children, how, when, and why.</w:t>
            </w:r>
          </w:p>
        </w:tc>
      </w:tr>
      <w:tr w:rsidR="00894673" w:rsidRPr="003927A5" w14:paraId="6CF62D91" w14:textId="77777777" w:rsidTr="00A432C6">
        <w:trPr>
          <w:trHeight w:val="290"/>
        </w:trPr>
        <w:tc>
          <w:tcPr>
            <w:tcW w:w="1560" w:type="dxa"/>
            <w:tcBorders>
              <w:bottom w:val="single" w:sz="4" w:space="0" w:color="auto"/>
            </w:tcBorders>
            <w:shd w:val="clear" w:color="auto" w:fill="auto"/>
            <w:noWrap/>
          </w:tcPr>
          <w:p w14:paraId="545B55C1"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 xml:space="preserve">Jones, D </w:t>
            </w:r>
            <w:r w:rsidRPr="002B60DA">
              <w:rPr>
                <w:rFonts w:eastAsia="Times New Roman" w:cstheme="minorHAnsi"/>
                <w:color w:val="000000" w:themeColor="text1"/>
                <w:lang w:val="en-US" w:eastAsia="en-GB"/>
              </w:rPr>
              <w:fldChar w:fldCharType="begin" w:fldLock="1"/>
            </w:r>
            <w:r>
              <w:rPr>
                <w:rFonts w:eastAsia="Times New Roman" w:cstheme="minorHAnsi"/>
                <w:color w:val="000000" w:themeColor="text1"/>
                <w:lang w:val="en-US" w:eastAsia="en-GB"/>
              </w:rPr>
              <w:instrText>ADDIN CSL_CITATION {"citationItems":[{"id":"ITEM-1","itemData":{"DOI":"10.3399/bjgp18X700193","ISSN":"14785242","PMID":"30510099","abstract":"Background Ensuring patient safety is vital in primary care. One mechanism to increase patient safety is through a practice known as safety netting. Safety netting is widely recommended in national guidelines; however, a variety of definitions exist with no consensus on when safety netting should be used and what advice or actions it should contain. Aim This study aimed to identify different definitions of safety netting to provide conceptual clarity and propose a common approach to safety netting in primary care. Design and setting Literature review and evidence synthesis of international articles relating to safety netting in primary care. Method An electronic database and grey-literature search was conducted using terms around the theme of safety netting with broad inclusion criteria. Results A total of 47 studies were included in the review. Safety netting was defined as a consultation technique to communicate uncertainty, provide patient information on red-flag symptoms, and plan for future appointments to ensure timely re-assessment of a patient's condition. Safety-netting advice may include information on the natural history of the illness, advice on worrying symptoms to look out for, and specific information on how and when to seek help. In addition to advice within the consultation, safety netting includes follow-up of investigations and hospital referrals. Safety netting was considered to be particularly important when consulting with children, the acutely unwell, patients with multimorbidity, and those with mental health problems. Conclusion Safety netting is more than solely the communication of uncertainty within a consultation. It should include plans for followup as well as important administrative aspects, such as the communication of test results and management of hospital letters.","author":[{"dropping-particle":"","family":"Jones","given":"Daniel","non-dropping-particle":"","parse-names":false,"suffix":""},{"dropping-particle":"","family":"Dunn","given":"Laurie","non-dropping-particle":"","parse-names":false,"suffix":""},{"dropping-particle":"","family":"Watt","given":"Ian","non-dropping-particle":"","parse-names":false,"suffix":""},{"dropping-particle":"","family":"Macleod","given":"Una","non-dropping-particle":"","parse-names":false,"suffix":""},{"dropping-particle":"","family":"Watt","given":"Ian","non-dropping-particle":"","parse-names":false,"suffix":""},{"dropping-particle":"","family":"Macleod","given":"Una","non-dropping-particle":"","parse-names":false,"suffix":""}],"container-title":"British Journal of General Practice","id":"ITEM-1","issue":"678","issued":{"date-parts":[["2019","1","1"]]},"note":"From Duplicate 1 (Safety netting for primary care: Evidence from a literature review - Jones, Daniel; Dunn, Laurie; Macleod, Una; Watt, Ian; Macleod, Una)\n\nFrom Duplicate 1 (Safety netting for primary care: evidence from a literature review - Jones, D; Dunn, L; Watt, I; Macleod, U)\n\nLR: 20190620; CI: (c) British Journal of General Practice 2019; JID: 9005323; OTO: NOTNLM; PMCR: 2020/01/01 00:00; 2018/01/16 00:00 [received]; 2018/08/09 00:00 [accepted]; 2020/01/01 00:00 [pmc-release]; 2018/12/05 06:00 [pubmed]; 2018/12/05 06:00 [medline]; 2018/12/05 06:00 [entrez]; ppublish\n\nFrom Duplicate 2 (Safety netting for primary care: Evidence from a literature review - Jones, Daniel; Dunn, Laurie; Watt, Ian; Macleod, Una; Watt, Ian; Macleod, Una)\n\nFrom Duplicate 1 (Safety netting for primary care: Evidence from a literature review - Jones, Daniel; Dunn, Laurie; Watt, Ian; Macleod, Una; Watt, Ian; Macleod, Una)\n\nFrom Duplicate 1 (Safety netting for primary care: Evidence from a literature review - Jones, Daniel; Dunn, Laurie; Macleod, Una; Watt, Ian; Macleod, Una)\n\nFrom Duplicate 1 (Safety netting for primary care: evidence from a literature review - Jones, D; Dunn, L; Watt, I; Macleod, U)\n\nLR: 20190620; CI: (c) British Journal of General Practice 2019; JID: 9005323; OTO: NOTNLM; PMCR: 2020/01/01 00:00; 2018/01/16 00:00 [received]; 2018/08/09 00:00 [accepted]; 2020/01/01 00:00 [pmc-release]; 2018/12/05 06:00 [pubmed]; 2018/12/05 06:00 [medline]; 2018/12/05 06:00 [entrez]; ppublish\n\nFrom Duplicate 2 (Safety netting for primary care: evidence from a literature review - Jones, D; Dunn, L; Watt, I; Macleod, U)\n\nLR: 20190620; CI: (c) British Journal of General Practice 2019; JID: 9005323; OTO: NOTNLM; PMCR: 2020/01/01 00:00; 2018/01/16 00:00 [received]; 2018/08/09 00:00 [accepted]; 2020/01/01 00:00 [pmc-release]; 2018/12/05 06:00 [pubmed]; 2018/12/05 06:00 [medline]; 2018/12/05 06:00 [entrez]; ppublish\n\nFrom Duplicate 2 (Safety netting for primary care: evidence from a literature review - Jones, D; Dunn, L; Watt, I; Macleod, U)\n\nLR: 20190620; CI: (c) British Journal of General Practice 2019; JID: 9005323; OTO: NOTNLM; PMCR: 2020/01/01 00:00; 2018/01/16 00:00 [received]; 2018/08/09 00:00 [accepted]; 2020/01/01 00:00 [pmc-release]; 2018/12/05 06:00 [pubmed]; 2018/12/05 06:00 [medline]; 2018/12/05 06:00 [entrez]; ppublish","page":"E70-E79","publisher":"Royal College of General Practitioners","publisher-place":"Academy of Primary Care, Hull York Medical School, University of Hull, Hull.; Academy of Primary Care, Hull York Medical School, University of Hull, Hull.; Academy of Primary Care, Department of Health Sciences, Hull York Medical School, University of Yor","title":"Safety netting for primary care: Evidence from a literature review","type":"article-journal","volume":"69"},"uris":["http://www.mendeley.com/documents/?uuid=6db42c42-0ee7-4f06-8d4c-4ba53a3c1224"]}],"mendeley":{"formattedCitation":"(29)","plainTextFormattedCitation":"(29)","previouslyFormattedCitation":"&lt;sup&gt;21&lt;/sup&gt;"},"properties":{"noteIndex":0},"schema":"https://github.com/citation-style-language/schema/raw/master/csl-citation.json"}</w:instrText>
            </w:r>
            <w:r w:rsidRPr="002B60DA">
              <w:rPr>
                <w:rFonts w:eastAsia="Times New Roman" w:cstheme="minorHAnsi"/>
                <w:color w:val="000000" w:themeColor="text1"/>
                <w:lang w:val="en-US" w:eastAsia="en-GB"/>
              </w:rPr>
              <w:fldChar w:fldCharType="separate"/>
            </w:r>
            <w:r w:rsidRPr="00A77CA1">
              <w:rPr>
                <w:rFonts w:eastAsia="Times New Roman" w:cstheme="minorHAnsi"/>
                <w:noProof/>
                <w:color w:val="000000" w:themeColor="text1"/>
                <w:lang w:val="en-US" w:eastAsia="en-GB"/>
              </w:rPr>
              <w:t>(29)</w:t>
            </w:r>
            <w:r w:rsidRPr="002B60DA">
              <w:rPr>
                <w:rFonts w:eastAsia="Times New Roman" w:cstheme="minorHAnsi"/>
                <w:color w:val="000000" w:themeColor="text1"/>
                <w:lang w:val="en-US" w:eastAsia="en-GB"/>
              </w:rPr>
              <w:fldChar w:fldCharType="end"/>
            </w:r>
          </w:p>
        </w:tc>
        <w:tc>
          <w:tcPr>
            <w:tcW w:w="567" w:type="dxa"/>
            <w:tcBorders>
              <w:bottom w:val="single" w:sz="4" w:space="0" w:color="auto"/>
            </w:tcBorders>
            <w:shd w:val="clear" w:color="auto" w:fill="auto"/>
            <w:noWrap/>
          </w:tcPr>
          <w:p w14:paraId="4EF5B65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2019</w:t>
            </w:r>
          </w:p>
        </w:tc>
        <w:tc>
          <w:tcPr>
            <w:tcW w:w="1134" w:type="dxa"/>
            <w:tcBorders>
              <w:bottom w:val="single" w:sz="4" w:space="0" w:color="auto"/>
            </w:tcBorders>
            <w:shd w:val="clear" w:color="auto" w:fill="auto"/>
            <w:noWrap/>
          </w:tcPr>
          <w:p w14:paraId="4360014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UK</w:t>
            </w:r>
          </w:p>
        </w:tc>
        <w:tc>
          <w:tcPr>
            <w:tcW w:w="2268" w:type="dxa"/>
            <w:tcBorders>
              <w:bottom w:val="single" w:sz="4" w:space="0" w:color="auto"/>
            </w:tcBorders>
            <w:shd w:val="clear" w:color="auto" w:fill="auto"/>
            <w:noWrap/>
          </w:tcPr>
          <w:p w14:paraId="551D5E40"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eastAsia="Times New Roman" w:cstheme="minorHAnsi"/>
                <w:color w:val="000000" w:themeColor="text1"/>
                <w:lang w:val="en-US" w:eastAsia="en-GB"/>
              </w:rPr>
              <w:t>Review</w:t>
            </w:r>
          </w:p>
        </w:tc>
        <w:tc>
          <w:tcPr>
            <w:tcW w:w="8646" w:type="dxa"/>
            <w:tcBorders>
              <w:bottom w:val="single" w:sz="4" w:space="0" w:color="auto"/>
            </w:tcBorders>
            <w:shd w:val="clear" w:color="auto" w:fill="auto"/>
            <w:noWrap/>
          </w:tcPr>
          <w:p w14:paraId="62B5A134" w14:textId="77777777" w:rsidR="00894673" w:rsidRPr="002B60DA" w:rsidRDefault="00894673" w:rsidP="00A432C6">
            <w:pPr>
              <w:widowControl w:val="0"/>
              <w:suppressAutoHyphens/>
              <w:spacing w:after="0" w:line="276" w:lineRule="auto"/>
              <w:rPr>
                <w:rFonts w:eastAsia="Times New Roman" w:cstheme="minorHAnsi"/>
                <w:color w:val="000000" w:themeColor="text1"/>
                <w:lang w:val="en-US" w:eastAsia="en-GB"/>
              </w:rPr>
            </w:pPr>
            <w:r w:rsidRPr="002B60DA">
              <w:rPr>
                <w:rFonts w:cstheme="minorHAnsi"/>
                <w:color w:val="000000" w:themeColor="text1"/>
                <w:lang w:val="en-US"/>
              </w:rPr>
              <w:t>To collate and summarize the evidence on safety-netting for all patients.</w:t>
            </w:r>
          </w:p>
        </w:tc>
      </w:tr>
    </w:tbl>
    <w:p w14:paraId="6F733718" w14:textId="28C6AFB2" w:rsidR="00334FC3" w:rsidRPr="00894673" w:rsidRDefault="00894673" w:rsidP="00894673">
      <w:pPr>
        <w:widowControl w:val="0"/>
        <w:suppressAutoHyphens/>
        <w:spacing w:after="0" w:line="276" w:lineRule="auto"/>
        <w:rPr>
          <w:lang w:val="en-US"/>
        </w:rPr>
      </w:pPr>
      <w:r w:rsidRPr="002B60DA">
        <w:rPr>
          <w:rFonts w:cstheme="minorHAnsi"/>
          <w:color w:val="000000" w:themeColor="text1"/>
          <w:lang w:val="en-US"/>
        </w:rPr>
        <w:t>Abbreviations: AA, acute appendicitis; ED, emergence department; PAS, pediatric appendicitis score; POCUS, Point-of-care ultrasound; UK, United Kingdom; USA, United States of America.</w:t>
      </w:r>
    </w:p>
    <w:sectPr w:rsidR="00334FC3" w:rsidRPr="00894673" w:rsidSect="0089467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73"/>
    <w:rsid w:val="001D73B9"/>
    <w:rsid w:val="00334FC3"/>
    <w:rsid w:val="00657B8B"/>
    <w:rsid w:val="00894673"/>
    <w:rsid w:val="00CB59D2"/>
    <w:rsid w:val="00F1220A"/>
    <w:rsid w:val="00F135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26AE9"/>
  <w15:chartTrackingRefBased/>
  <w15:docId w15:val="{C9B77799-5027-469F-A404-5D793A5C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673"/>
    <w:rPr>
      <w:kern w:val="0"/>
      <w:lang w:val="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B59D2"/>
    <w:rPr>
      <w:i/>
      <w:iCs/>
    </w:rPr>
  </w:style>
  <w:style w:type="paragraph" w:styleId="NoSpacing">
    <w:name w:val="No Spacing"/>
    <w:uiPriority w:val="1"/>
    <w:qFormat/>
    <w:rsid w:val="00CB59D2"/>
    <w:pPr>
      <w:spacing w:after="0" w:line="240" w:lineRule="auto"/>
    </w:pPr>
    <w:rPr>
      <w:sz w:val="24"/>
      <w:szCs w:val="24"/>
    </w:rPr>
  </w:style>
  <w:style w:type="paragraph" w:styleId="ListParagraph">
    <w:name w:val="List Paragraph"/>
    <w:basedOn w:val="Normal"/>
    <w:uiPriority w:val="34"/>
    <w:qFormat/>
    <w:rsid w:val="00CB59D2"/>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9440</Words>
  <Characters>53808</Characters>
  <Application>Microsoft Office Word</Application>
  <DocSecurity>0</DocSecurity>
  <Lines>448</Lines>
  <Paragraphs>126</Paragraphs>
  <ScaleCrop>false</ScaleCrop>
  <Company/>
  <LinksUpToDate>false</LinksUpToDate>
  <CharactersWithSpaces>63122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Guus Blok</dc:creator>
  <cp:keywords/>
  <dc:description/>
  <cp:lastModifiedBy>Guus Blok</cp:lastModifiedBy>
  <cp:revision>1</cp:revision>
  <dcterms:created xsi:type="dcterms:W3CDTF">2023-05-30T09:27:00Z</dcterms:created>
  <dcterms:modified xsi:type="dcterms:W3CDTF">2023-05-30T09:28:00Z</dcterms:modified>
</cp:coreProperties>
</file>