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AF7A4" w14:textId="77777777" w:rsidR="00106946" w:rsidRPr="00D9265D" w:rsidRDefault="00106946" w:rsidP="00106946">
      <w:pPr>
        <w:rPr>
          <w:rFonts w:ascii="Times New Roman" w:hAnsi="Times New Roman" w:cs="Times New Roman"/>
          <w:b/>
          <w:sz w:val="20"/>
          <w:szCs w:val="20"/>
        </w:rPr>
      </w:pPr>
      <w:r w:rsidRPr="00D9265D">
        <w:rPr>
          <w:rFonts w:ascii="Times New Roman" w:hAnsi="Times New Roman" w:cs="Times New Roman"/>
          <w:b/>
          <w:sz w:val="20"/>
          <w:szCs w:val="20"/>
        </w:rPr>
        <w:t>Supplementary Material</w:t>
      </w:r>
    </w:p>
    <w:p w14:paraId="24BB2B6B" w14:textId="77777777" w:rsidR="00106946" w:rsidRPr="00D9265D" w:rsidRDefault="00106946" w:rsidP="00106946">
      <w:pPr>
        <w:spacing w:after="0" w:line="240" w:lineRule="auto"/>
        <w:ind w:left="720" w:firstLine="720"/>
        <w:rPr>
          <w:rFonts w:ascii="Times New Roman" w:hAnsi="Times New Roman" w:cs="Times New Roman"/>
          <w:sz w:val="18"/>
          <w:szCs w:val="20"/>
        </w:rPr>
      </w:pPr>
      <w:bookmarkStart w:id="0" w:name="OLE_LINK2"/>
      <w:r w:rsidRPr="00D9265D">
        <w:rPr>
          <w:rFonts w:ascii="Times New Roman" w:hAnsi="Times New Roman" w:cs="Times New Roman"/>
          <w:sz w:val="18"/>
          <w:szCs w:val="20"/>
        </w:rPr>
        <w:t xml:space="preserve">Supplementary figure 1. Example of gating strategy used (rectangle – A) to sort top ~1% fluorescing cells of </w:t>
      </w:r>
      <w:r w:rsidRPr="00D9265D">
        <w:rPr>
          <w:rFonts w:ascii="Times New Roman" w:hAnsi="Times New Roman" w:cs="Times New Roman"/>
          <w:i/>
          <w:sz w:val="18"/>
          <w:szCs w:val="20"/>
        </w:rPr>
        <w:t>P. tricornutum</w:t>
      </w:r>
      <w:r w:rsidRPr="00D9265D">
        <w:rPr>
          <w:rFonts w:ascii="Times New Roman" w:hAnsi="Times New Roman" w:cs="Times New Roman"/>
          <w:sz w:val="18"/>
          <w:szCs w:val="20"/>
        </w:rPr>
        <w:t xml:space="preserve"> with FACS.</w:t>
      </w:r>
    </w:p>
    <w:bookmarkEnd w:id="0"/>
    <w:p w14:paraId="3B7D5D5F" w14:textId="77777777" w:rsidR="00106946" w:rsidRPr="00D9265D" w:rsidRDefault="00106946" w:rsidP="00106946">
      <w:pPr>
        <w:rPr>
          <w:rFonts w:ascii="Times New Roman" w:hAnsi="Times New Roman" w:cs="Times New Roman"/>
          <w:sz w:val="20"/>
          <w:szCs w:val="20"/>
        </w:rPr>
      </w:pPr>
      <w:r w:rsidRPr="00D9265D">
        <w:rPr>
          <w:rFonts w:ascii="Times New Roman" w:hAnsi="Times New Roman" w:cs="Times New Roman"/>
          <w:noProof/>
          <w:sz w:val="20"/>
          <w:szCs w:val="20"/>
          <w:lang w:eastAsia="en-AU"/>
        </w:rPr>
        <w:drawing>
          <wp:anchor distT="0" distB="0" distL="114300" distR="114300" simplePos="0" relativeHeight="251659264" behindDoc="0" locked="0" layoutInCell="1" allowOverlap="1" wp14:anchorId="401D4192" wp14:editId="3D695D46">
            <wp:simplePos x="0" y="0"/>
            <wp:positionH relativeFrom="margin">
              <wp:align>center</wp:align>
            </wp:positionH>
            <wp:positionV relativeFrom="paragraph">
              <wp:posOffset>384810</wp:posOffset>
            </wp:positionV>
            <wp:extent cx="5019040" cy="3968115"/>
            <wp:effectExtent l="0" t="0" r="0" b="0"/>
            <wp:wrapTopAndBottom/>
            <wp:docPr id="4" name="Picture 4" descr="C:\Users\11698685\Downloads\clustergram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698685\Downloads\clustergramm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7" r="31742" b="2603"/>
                    <a:stretch/>
                  </pic:blipFill>
                  <pic:spPr bwMode="auto">
                    <a:xfrm>
                      <a:off x="0" y="0"/>
                      <a:ext cx="5019040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3D383" w14:textId="77777777" w:rsidR="00106946" w:rsidRPr="00D9265D" w:rsidRDefault="00106946" w:rsidP="00106946">
      <w:pPr>
        <w:spacing w:after="0" w:line="24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r w:rsidRPr="00D9265D">
        <w:rPr>
          <w:rFonts w:ascii="Times New Roman" w:hAnsi="Times New Roman" w:cs="Times New Roman"/>
          <w:sz w:val="18"/>
          <w:szCs w:val="20"/>
        </w:rPr>
        <w:t xml:space="preserve">Supplementary figure 2. Heatmap showing relative gene expression between WT and </w:t>
      </w:r>
      <w:r>
        <w:rPr>
          <w:rFonts w:ascii="Times New Roman" w:hAnsi="Times New Roman" w:cs="Times New Roman"/>
          <w:sz w:val="18"/>
          <w:szCs w:val="20"/>
        </w:rPr>
        <w:t>F</w:t>
      </w:r>
      <w:r w:rsidRPr="00D9265D">
        <w:rPr>
          <w:rFonts w:ascii="Times New Roman" w:hAnsi="Times New Roman" w:cs="Times New Roman"/>
          <w:sz w:val="18"/>
          <w:szCs w:val="20"/>
        </w:rPr>
        <w:t xml:space="preserve"> cultures of </w:t>
      </w:r>
      <w:r w:rsidRPr="00D9265D">
        <w:rPr>
          <w:rFonts w:ascii="Times New Roman" w:hAnsi="Times New Roman" w:cs="Times New Roman"/>
          <w:i/>
          <w:sz w:val="18"/>
          <w:szCs w:val="20"/>
        </w:rPr>
        <w:t xml:space="preserve">P. tricornutum </w:t>
      </w:r>
      <w:r w:rsidRPr="00D9265D">
        <w:rPr>
          <w:rFonts w:ascii="Times New Roman" w:hAnsi="Times New Roman" w:cs="Times New Roman"/>
          <w:sz w:val="18"/>
          <w:szCs w:val="20"/>
        </w:rPr>
        <w:t xml:space="preserve">expressed as z-scores. Genes are grouped by GO aspect term with minimum gene pool of 4. Made using Clustergrammer </w:t>
      </w:r>
      <w:hyperlink r:id="rId5" w:history="1">
        <w:r w:rsidRPr="00D9265D">
          <w:rPr>
            <w:rStyle w:val="Hyperlink"/>
            <w:rFonts w:ascii="Times New Roman" w:hAnsi="Times New Roman" w:cs="Times New Roman"/>
            <w:sz w:val="18"/>
            <w:szCs w:val="20"/>
          </w:rPr>
          <w:t>https://maayanlab.cloud/clustergrammer/</w:t>
        </w:r>
      </w:hyperlink>
      <w:r w:rsidRPr="00D9265D">
        <w:rPr>
          <w:rFonts w:ascii="Times New Roman" w:hAnsi="Times New Roman" w:cs="Times New Roman"/>
          <w:sz w:val="18"/>
          <w:szCs w:val="20"/>
        </w:rPr>
        <w:t xml:space="preserve">. </w:t>
      </w:r>
    </w:p>
    <w:p w14:paraId="1D8625CE" w14:textId="77777777" w:rsidR="00106946" w:rsidRPr="00D9265D" w:rsidRDefault="00106946" w:rsidP="00106946">
      <w:pPr>
        <w:rPr>
          <w:rFonts w:ascii="Times New Roman" w:hAnsi="Times New Roman" w:cs="Times New Roman"/>
          <w:sz w:val="20"/>
          <w:szCs w:val="20"/>
        </w:rPr>
      </w:pPr>
    </w:p>
    <w:p w14:paraId="3E6501D0" w14:textId="77777777" w:rsidR="00106946" w:rsidRPr="00D9265D" w:rsidRDefault="00106946" w:rsidP="00106946">
      <w:pPr>
        <w:rPr>
          <w:rFonts w:ascii="Times New Roman" w:hAnsi="Times New Roman" w:cs="Times New Roman"/>
          <w:sz w:val="20"/>
          <w:szCs w:val="20"/>
        </w:rPr>
      </w:pPr>
      <w:r w:rsidRPr="00D9265D">
        <w:rPr>
          <w:rFonts w:ascii="Times New Roman" w:hAnsi="Times New Roman" w:cs="Times New Roman"/>
          <w:noProof/>
          <w:sz w:val="20"/>
          <w:szCs w:val="20"/>
          <w:lang w:eastAsia="en-AU"/>
        </w:rPr>
        <w:lastRenderedPageBreak/>
        <w:drawing>
          <wp:anchor distT="0" distB="0" distL="114300" distR="114300" simplePos="0" relativeHeight="251660288" behindDoc="0" locked="0" layoutInCell="1" allowOverlap="1" wp14:anchorId="0E2C1B1A" wp14:editId="4D1871A9">
            <wp:simplePos x="0" y="0"/>
            <wp:positionH relativeFrom="margin">
              <wp:align>center</wp:align>
            </wp:positionH>
            <wp:positionV relativeFrom="paragraph">
              <wp:posOffset>261620</wp:posOffset>
            </wp:positionV>
            <wp:extent cx="3810000" cy="2702560"/>
            <wp:effectExtent l="0" t="0" r="0" b="0"/>
            <wp:wrapTopAndBottom/>
            <wp:docPr id="20" name="Picture 20" descr="C:\Users\11698685\OneDrive - UTS\Desktop\Experimental Data\Thesis images\GeomeanSSC FACS-W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698685\OneDrive - UTS\Desktop\Experimental Data\Thesis images\GeomeanSSC FACS-WT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036852" w14:textId="77777777" w:rsidR="00106946" w:rsidRPr="00D9265D" w:rsidRDefault="00106946" w:rsidP="00106946">
      <w:pPr>
        <w:spacing w:after="0" w:line="240" w:lineRule="auto"/>
        <w:ind w:left="720" w:firstLine="720"/>
        <w:rPr>
          <w:rFonts w:ascii="Times New Roman" w:hAnsi="Times New Roman" w:cs="Times New Roman"/>
          <w:sz w:val="18"/>
          <w:szCs w:val="20"/>
        </w:rPr>
      </w:pPr>
      <w:r w:rsidRPr="00D9265D">
        <w:rPr>
          <w:rFonts w:ascii="Times New Roman" w:hAnsi="Times New Roman" w:cs="Times New Roman"/>
          <w:sz w:val="18"/>
          <w:szCs w:val="20"/>
        </w:rPr>
        <w:t xml:space="preserve">Supplementary figure 3. Cell volume measured using the geometric mean of FSC (Forward Scatter) and SSC (Side Scatter) over the experimental period. Values are FACS replicates divided by </w:t>
      </w:r>
      <w:r>
        <w:rPr>
          <w:rFonts w:ascii="Times New Roman" w:hAnsi="Times New Roman" w:cs="Times New Roman"/>
          <w:sz w:val="18"/>
          <w:szCs w:val="20"/>
        </w:rPr>
        <w:t>WT</w:t>
      </w:r>
      <w:r w:rsidRPr="00D9265D">
        <w:rPr>
          <w:rFonts w:ascii="Times New Roman" w:hAnsi="Times New Roman" w:cs="Times New Roman"/>
          <w:sz w:val="18"/>
          <w:szCs w:val="20"/>
        </w:rPr>
        <w:t xml:space="preserve"> mean with floating bars from minimum to maximum, </w:t>
      </w:r>
      <w:r w:rsidRPr="00D9265D">
        <w:rPr>
          <w:rFonts w:ascii="Times New Roman" w:hAnsi="Times New Roman" w:cs="Times New Roman"/>
          <w:i/>
          <w:sz w:val="18"/>
          <w:szCs w:val="20"/>
        </w:rPr>
        <w:t>n</w:t>
      </w:r>
      <w:r w:rsidRPr="00D9265D">
        <w:rPr>
          <w:rFonts w:ascii="Times New Roman" w:hAnsi="Times New Roman" w:cs="Times New Roman"/>
          <w:sz w:val="18"/>
          <w:szCs w:val="20"/>
        </w:rPr>
        <w:t xml:space="preserve"> = 5.</w:t>
      </w:r>
    </w:p>
    <w:p w14:paraId="51C5F0DF" w14:textId="77777777" w:rsidR="00106946" w:rsidRPr="00D9265D" w:rsidRDefault="00106946" w:rsidP="00106946">
      <w:pPr>
        <w:spacing w:after="0" w:line="240" w:lineRule="auto"/>
        <w:ind w:left="720" w:firstLine="720"/>
        <w:rPr>
          <w:rFonts w:ascii="Times New Roman" w:hAnsi="Times New Roman" w:cs="Times New Roman"/>
          <w:sz w:val="18"/>
          <w:szCs w:val="20"/>
        </w:rPr>
      </w:pPr>
    </w:p>
    <w:p w14:paraId="31B6881C" w14:textId="77777777" w:rsidR="00106946" w:rsidRPr="00D9265D" w:rsidRDefault="00106946" w:rsidP="00106946">
      <w:pPr>
        <w:spacing w:after="0" w:line="240" w:lineRule="auto"/>
        <w:ind w:left="720" w:firstLine="720"/>
        <w:rPr>
          <w:rFonts w:ascii="Times New Roman" w:hAnsi="Times New Roman" w:cs="Times New Roman"/>
          <w:sz w:val="18"/>
          <w:szCs w:val="20"/>
        </w:rPr>
      </w:pPr>
    </w:p>
    <w:p w14:paraId="42905FA1" w14:textId="77777777" w:rsidR="00106946" w:rsidRPr="00D9265D" w:rsidRDefault="00106946" w:rsidP="00106946">
      <w:pPr>
        <w:spacing w:after="0" w:line="240" w:lineRule="auto"/>
        <w:ind w:left="720" w:firstLine="720"/>
        <w:rPr>
          <w:rFonts w:ascii="Times New Roman" w:hAnsi="Times New Roman" w:cs="Times New Roman"/>
          <w:sz w:val="18"/>
          <w:szCs w:val="20"/>
        </w:rPr>
      </w:pPr>
    </w:p>
    <w:p w14:paraId="37B18BF0" w14:textId="77777777" w:rsidR="00106946" w:rsidRPr="00D9265D" w:rsidRDefault="00106946" w:rsidP="00106946">
      <w:pPr>
        <w:rPr>
          <w:rFonts w:ascii="Times New Roman" w:hAnsi="Times New Roman" w:cs="Times New Roman"/>
          <w:sz w:val="20"/>
          <w:szCs w:val="20"/>
        </w:rPr>
      </w:pPr>
    </w:p>
    <w:p w14:paraId="315257F8" w14:textId="77777777" w:rsidR="00106946" w:rsidRPr="00D9265D" w:rsidRDefault="00106946" w:rsidP="00106946">
      <w:pPr>
        <w:spacing w:after="0" w:line="24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r w:rsidRPr="00D9265D">
        <w:rPr>
          <w:rFonts w:ascii="Times New Roman" w:hAnsi="Times New Roman" w:cs="Times New Roman"/>
          <w:sz w:val="20"/>
          <w:szCs w:val="20"/>
        </w:rPr>
        <w:t>Supplementary table 1. Enrichment analysis results depicting fold enrichment and FDR for GO aspect Biological Processes, sorted by fold enrichment.</w:t>
      </w:r>
    </w:p>
    <w:tbl>
      <w:tblPr>
        <w:tblW w:w="10000" w:type="dxa"/>
        <w:tblLook w:val="04A0" w:firstRow="1" w:lastRow="0" w:firstColumn="1" w:lastColumn="0" w:noHBand="0" w:noVBand="1"/>
      </w:tblPr>
      <w:tblGrid>
        <w:gridCol w:w="1220"/>
        <w:gridCol w:w="6146"/>
        <w:gridCol w:w="1674"/>
        <w:gridCol w:w="960"/>
      </w:tblGrid>
      <w:tr w:rsidR="00106946" w:rsidRPr="00D9265D" w14:paraId="1F6EE392" w14:textId="77777777" w:rsidTr="00C11691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A08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GO aspect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65C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Pathway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793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Fold Enrichment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A28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FDR</w:t>
            </w:r>
          </w:p>
        </w:tc>
      </w:tr>
      <w:tr w:rsidR="00106946" w:rsidRPr="00D9265D" w14:paraId="56547124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194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80D5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Protoporphyrinogen IX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278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FA3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63DF08A4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456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41AF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Protoporphyrinogen IX biosynthetic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9211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840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586BD034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699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F8C2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Porphyrin-containing compound biosynthetic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E18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A51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234D1ABC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3B19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109D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Porphyrin-containing compound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2B6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C7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6EEE0064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512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EBA4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Pigment biosynthetic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A03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02D9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3132ED01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FA10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FA6C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Tetrapyrrole biosynthetic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ED6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79E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2A9E8120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1CA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EB9C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Heme biosynthetic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C1A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C2F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5F6C45D6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7FD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5311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Pigment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8599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10E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06CEFB4C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189A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C16E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Photosynthesis, light harvesting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91F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BE6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2293DE4C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3FB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36A7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Tetrapyrrole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A971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28C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4E3698E1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C85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F343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Heme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4CB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1B8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434747E2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C83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46C5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Protein-chromophore linkage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A40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27D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1FDF4163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8EB5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74EB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Photosynthesis, light reaction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39E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422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1CADC2FE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326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7A07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Photosynthesis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571A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643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6F0BD549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58B9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91DE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Ribosome biogenesis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B14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3959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697CA6FA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361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47C0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RRNA processing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6A3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952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106946" w:rsidRPr="00D9265D" w14:paraId="4FEDF7F5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B78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E022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RRNA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386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1FF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106946" w:rsidRPr="00D9265D" w14:paraId="17BC16C5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58C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B8C5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Ribonucleoprotein complex biogenesis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20A1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89C5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2F427851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52F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lastRenderedPageBreak/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A26E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Generation of precursor metabolites and energy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2CBA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C27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469BAA60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7A4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51EE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Cellular component biogenesis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0AA1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7CF0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7A3639FA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FEA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BB49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NcRNA processing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B3F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D969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0.012</w:t>
            </w:r>
          </w:p>
        </w:tc>
      </w:tr>
      <w:tr w:rsidR="00106946" w:rsidRPr="00D9265D" w14:paraId="365CE33B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2BC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143C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Purine-containing compound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4DEA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D74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0.048</w:t>
            </w:r>
          </w:p>
        </w:tc>
      </w:tr>
      <w:tr w:rsidR="00106946" w:rsidRPr="00D9265D" w14:paraId="1F1E7E7E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29A0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94C6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Cellular component organization or biogenesis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4BD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589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106946" w:rsidRPr="00D9265D" w14:paraId="24C6594E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5A1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59DD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NcRNA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3DD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30A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0.018</w:t>
            </w:r>
          </w:p>
        </w:tc>
      </w:tr>
      <w:tr w:rsidR="00106946" w:rsidRPr="00D9265D" w14:paraId="7D3294B7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D3D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868C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Nucleobase-containing small molecule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8AB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70D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0.047</w:t>
            </w:r>
          </w:p>
        </w:tc>
      </w:tr>
      <w:tr w:rsidR="00106946" w:rsidRPr="00D9265D" w14:paraId="224FBA11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26C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0C65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Aromatic compound biosynthetic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3F95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F62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0.003</w:t>
            </w:r>
          </w:p>
        </w:tc>
      </w:tr>
      <w:tr w:rsidR="00106946" w:rsidRPr="00D9265D" w14:paraId="6E6A792B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E2B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27DA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Heterocycle biosynthetic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C31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3A1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0.005</w:t>
            </w:r>
          </w:p>
        </w:tc>
      </w:tr>
      <w:tr w:rsidR="00106946" w:rsidRPr="00D9265D" w14:paraId="41649805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474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54EB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Organic cyclic compound biosynthetic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AB51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042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0.008</w:t>
            </w:r>
          </w:p>
        </w:tc>
      </w:tr>
      <w:tr w:rsidR="00106946" w:rsidRPr="00D9265D" w14:paraId="1A4F3906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C17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07A2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Organonitrogen compound biosynthetic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D96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E829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0.018</w:t>
            </w:r>
          </w:p>
        </w:tc>
      </w:tr>
      <w:tr w:rsidR="00106946" w:rsidRPr="00D9265D" w14:paraId="5BED80F4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63A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307E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Heterocycle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285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7D6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5B567BAB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F4B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10A3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Cellular aromatic compound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217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D3C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748B5EDE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2B0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B36C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Organic cyclic compound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E8F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FE1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1B964E96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526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E91A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Small molecule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6B8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E9A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0.032</w:t>
            </w:r>
          </w:p>
        </w:tc>
      </w:tr>
      <w:tr w:rsidR="00106946" w:rsidRPr="00D9265D" w14:paraId="654F73EF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9CB1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2818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Organonitrogen compound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C28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F25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106946" w:rsidRPr="00D9265D" w14:paraId="034499A9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80BA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1E70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Organic substance biosynthetic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7160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3CA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0.014</w:t>
            </w:r>
          </w:p>
        </w:tc>
      </w:tr>
      <w:tr w:rsidR="00106946" w:rsidRPr="00D9265D" w14:paraId="1D119670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8F9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20E4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Cellular nitrogen compound metabolic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D2F9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75F1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0.007</w:t>
            </w:r>
          </w:p>
        </w:tc>
      </w:tr>
      <w:tr w:rsidR="00106946" w:rsidRPr="00D9265D" w14:paraId="3B18A711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122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C58C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Biosynthetic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56D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2F4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0.024</w:t>
            </w:r>
          </w:p>
        </w:tc>
      </w:tr>
      <w:tr w:rsidR="00106946" w:rsidRPr="00D9265D" w14:paraId="3CE30351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07F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BP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C7C5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Cellular biosynthetic process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D03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C825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0.038</w:t>
            </w:r>
          </w:p>
        </w:tc>
      </w:tr>
    </w:tbl>
    <w:p w14:paraId="6C030607" w14:textId="77777777" w:rsidR="00106946" w:rsidRPr="00D9265D" w:rsidRDefault="00106946" w:rsidP="00106946">
      <w:pPr>
        <w:ind w:left="720" w:firstLine="720"/>
        <w:rPr>
          <w:rFonts w:ascii="Times New Roman" w:hAnsi="Times New Roman" w:cs="Times New Roman"/>
          <w:sz w:val="20"/>
          <w:szCs w:val="20"/>
        </w:rPr>
      </w:pPr>
    </w:p>
    <w:p w14:paraId="4B0B1EF2" w14:textId="77777777" w:rsidR="00106946" w:rsidRPr="00D9265D" w:rsidRDefault="00106946" w:rsidP="00106946">
      <w:pPr>
        <w:ind w:left="720" w:firstLine="720"/>
        <w:rPr>
          <w:rFonts w:ascii="Times New Roman" w:hAnsi="Times New Roman" w:cs="Times New Roman"/>
          <w:sz w:val="20"/>
          <w:szCs w:val="20"/>
        </w:rPr>
      </w:pPr>
    </w:p>
    <w:p w14:paraId="04AF130B" w14:textId="77777777" w:rsidR="00106946" w:rsidRPr="00D9265D" w:rsidRDefault="00106946" w:rsidP="00106946">
      <w:pPr>
        <w:spacing w:after="0" w:line="24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r w:rsidRPr="00D9265D">
        <w:rPr>
          <w:rFonts w:ascii="Times New Roman" w:hAnsi="Times New Roman" w:cs="Times New Roman"/>
          <w:sz w:val="20"/>
          <w:szCs w:val="20"/>
        </w:rPr>
        <w:t>Supplementary table 2. Enrichment analysis results depicting fold enrichment and FDR for GO aspect Cellular Component, sorted by fold enrichment.</w:t>
      </w:r>
    </w:p>
    <w:tbl>
      <w:tblPr>
        <w:tblW w:w="10000" w:type="dxa"/>
        <w:tblLook w:val="04A0" w:firstRow="1" w:lastRow="0" w:firstColumn="1" w:lastColumn="0" w:noHBand="0" w:noVBand="1"/>
      </w:tblPr>
      <w:tblGrid>
        <w:gridCol w:w="1220"/>
        <w:gridCol w:w="6060"/>
        <w:gridCol w:w="1760"/>
        <w:gridCol w:w="960"/>
      </w:tblGrid>
      <w:tr w:rsidR="00106946" w:rsidRPr="00D9265D" w14:paraId="79CF7BAB" w14:textId="77777777" w:rsidTr="00C11691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3A6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GO aspect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5E1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Pathway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FFB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Fold Enrichment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A58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FDR</w:t>
            </w:r>
          </w:p>
        </w:tc>
      </w:tr>
      <w:tr w:rsidR="00106946" w:rsidRPr="00D9265D" w14:paraId="267DD890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357A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4197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Light-harvesting complex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278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5E0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495A93C8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DCD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C7E0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Photosystem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C20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593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0670D2C6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42B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1EE6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Photosystem II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552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1C0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23020E2A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991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28A5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Photosynthetic membrane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2B5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7E6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4C5CACD1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30A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71BB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Thylakoid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E9B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5EE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671B01CC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B32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C838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Nucleolus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D925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4140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38E007A4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EF3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C1DE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Plastid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18C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17F5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06DEE244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FF2A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A6E7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Chloroplast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D20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DFF0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7D030BB5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09A5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C898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Nuclear lumen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5E4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1185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0.003</w:t>
            </w:r>
          </w:p>
        </w:tc>
      </w:tr>
      <w:tr w:rsidR="00106946" w:rsidRPr="00D9265D" w14:paraId="2021AFF8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0A4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1273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Membrane protein complex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725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1030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0.003</w:t>
            </w:r>
          </w:p>
        </w:tc>
      </w:tr>
      <w:tr w:rsidR="00106946" w:rsidRPr="00D9265D" w14:paraId="141B09D1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8F3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0DD2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Membrane-enclosed lumen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E6C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A16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0.011</w:t>
            </w:r>
          </w:p>
        </w:tc>
      </w:tr>
      <w:tr w:rsidR="00106946" w:rsidRPr="00D9265D" w14:paraId="7B735E0E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48E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A5AC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Organelle lumen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BD1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A360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0.011</w:t>
            </w:r>
          </w:p>
        </w:tc>
      </w:tr>
      <w:tr w:rsidR="00106946" w:rsidRPr="00D9265D" w14:paraId="557541AA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4A8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F83A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Intracellular organelle lumen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CB7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B05A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0.011</w:t>
            </w:r>
          </w:p>
        </w:tc>
      </w:tr>
      <w:tr w:rsidR="00106946" w:rsidRPr="00D9265D" w14:paraId="72E1E0EA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EFDA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308C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Intracellular membrane-bounded organelle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471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548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0.002</w:t>
            </w:r>
          </w:p>
        </w:tc>
      </w:tr>
      <w:tr w:rsidR="00106946" w:rsidRPr="00D9265D" w14:paraId="17FFAAA2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7195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55A5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Membrane-bounded organelle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5FB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32A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0.002</w:t>
            </w:r>
          </w:p>
        </w:tc>
      </w:tr>
      <w:tr w:rsidR="00106946" w:rsidRPr="00D9265D" w14:paraId="6430AA6B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BA8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B74A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Nucleus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817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045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0.044</w:t>
            </w:r>
          </w:p>
        </w:tc>
      </w:tr>
      <w:tr w:rsidR="00106946" w:rsidRPr="00D9265D" w14:paraId="3209FE5C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B90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lastRenderedPageBreak/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A8BE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Intracellular organelle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562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8A1A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0.005</w:t>
            </w:r>
          </w:p>
        </w:tc>
      </w:tr>
      <w:tr w:rsidR="00106946" w:rsidRPr="00D9265D" w14:paraId="5C2F60A7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CD1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B1A4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Organelle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A29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55A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0.005</w:t>
            </w:r>
          </w:p>
        </w:tc>
      </w:tr>
      <w:tr w:rsidR="00106946" w:rsidRPr="00D9265D" w14:paraId="438FAFA3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D73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CC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05B7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Intracellular anatomical structure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01D1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7B9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0.005</w:t>
            </w:r>
          </w:p>
        </w:tc>
      </w:tr>
    </w:tbl>
    <w:p w14:paraId="7A51D601" w14:textId="77777777" w:rsidR="00106946" w:rsidRPr="00D9265D" w:rsidRDefault="00106946" w:rsidP="00106946">
      <w:pPr>
        <w:ind w:left="720" w:firstLine="720"/>
        <w:rPr>
          <w:rFonts w:ascii="Times New Roman" w:hAnsi="Times New Roman" w:cs="Times New Roman"/>
          <w:sz w:val="20"/>
          <w:szCs w:val="20"/>
        </w:rPr>
      </w:pPr>
    </w:p>
    <w:p w14:paraId="308BE3BE" w14:textId="77777777" w:rsidR="00106946" w:rsidRPr="00D9265D" w:rsidRDefault="00106946" w:rsidP="00106946">
      <w:pPr>
        <w:ind w:left="720" w:firstLine="720"/>
        <w:rPr>
          <w:rFonts w:ascii="Times New Roman" w:hAnsi="Times New Roman" w:cs="Times New Roman"/>
          <w:sz w:val="20"/>
          <w:szCs w:val="20"/>
        </w:rPr>
      </w:pPr>
    </w:p>
    <w:p w14:paraId="01ACC1C6" w14:textId="77777777" w:rsidR="00106946" w:rsidRPr="00D9265D" w:rsidRDefault="00106946" w:rsidP="00106946">
      <w:pPr>
        <w:ind w:left="720" w:firstLine="720"/>
        <w:rPr>
          <w:rFonts w:ascii="Times New Roman" w:hAnsi="Times New Roman" w:cs="Times New Roman"/>
          <w:sz w:val="20"/>
          <w:szCs w:val="20"/>
        </w:rPr>
      </w:pPr>
    </w:p>
    <w:p w14:paraId="5B9282EC" w14:textId="77777777" w:rsidR="00106946" w:rsidRPr="00D9265D" w:rsidRDefault="00106946" w:rsidP="00106946">
      <w:pPr>
        <w:spacing w:after="0" w:line="24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r w:rsidRPr="00D9265D">
        <w:rPr>
          <w:rFonts w:ascii="Times New Roman" w:hAnsi="Times New Roman" w:cs="Times New Roman"/>
          <w:sz w:val="20"/>
          <w:szCs w:val="20"/>
        </w:rPr>
        <w:t>Supplementary table 3. Enrichment analysis results depicting fold enrichment and FDR for GO aspect Molecular Function, sorted by fold enrichment.</w:t>
      </w:r>
    </w:p>
    <w:tbl>
      <w:tblPr>
        <w:tblW w:w="10000" w:type="dxa"/>
        <w:tblLook w:val="04A0" w:firstRow="1" w:lastRow="0" w:firstColumn="1" w:lastColumn="0" w:noHBand="0" w:noVBand="1"/>
      </w:tblPr>
      <w:tblGrid>
        <w:gridCol w:w="1220"/>
        <w:gridCol w:w="6060"/>
        <w:gridCol w:w="1760"/>
        <w:gridCol w:w="960"/>
      </w:tblGrid>
      <w:tr w:rsidR="00106946" w:rsidRPr="00D9265D" w14:paraId="3D4A6C65" w14:textId="77777777" w:rsidTr="00C11691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8835" w14:textId="77777777" w:rsidR="00106946" w:rsidRPr="00D9265D" w:rsidRDefault="00106946" w:rsidP="00C116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GO aspect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160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Pathway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A39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Fold Enrichment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E52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FDR</w:t>
            </w:r>
          </w:p>
        </w:tc>
      </w:tr>
      <w:tr w:rsidR="00106946" w:rsidRPr="00D9265D" w14:paraId="13F6B0BF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421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7A86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Chlorophyll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49C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6FF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6AE7AFAB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3F5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D009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Pentosyltransferase activity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C49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584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106946" w:rsidRPr="00D9265D" w14:paraId="73B15529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2F3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AFF0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Tetrapyrrole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600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D91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657D5805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0CF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32EE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Magnesium ion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B96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FE95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0.034</w:t>
            </w:r>
          </w:p>
        </w:tc>
      </w:tr>
      <w:tr w:rsidR="00106946" w:rsidRPr="00D9265D" w14:paraId="413AF57F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9302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6960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Helicase activity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63D0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F789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0.017</w:t>
            </w:r>
          </w:p>
        </w:tc>
      </w:tr>
      <w:tr w:rsidR="00106946" w:rsidRPr="00D9265D" w14:paraId="179B9458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E1D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446F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ATP-dependent activity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20C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4771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0.013</w:t>
            </w:r>
          </w:p>
        </w:tc>
      </w:tr>
      <w:tr w:rsidR="00106946" w:rsidRPr="00D9265D" w14:paraId="145CE087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A2B9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7A3C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Purine ribonucleoside triphosphate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204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D40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6C2A045D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45FA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64BC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Purine ribonucleotide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3CC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F51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60D942CE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469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E55A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Purine nucleotide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923F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71F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5A362AA6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B64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6250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Carbohydrate derivative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6A75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EAB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288C0BDC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F6A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128E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ATP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A4F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116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19DEC8F7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CB4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C3F4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Ribonucleotide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3AF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C89C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46DEBD30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595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1003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Adenyl ribonucleotide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2B03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0FD1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7C13EAD7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A271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B840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Adenyl nucleotide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11A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A8BB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443FF6AD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434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AAED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Anion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2AA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195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2CF47419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284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3F68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Nucleotide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25D0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7CC4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382AECCE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B78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84B8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Nucleoside phosphate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560A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BD9D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53B731AE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5A39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302C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Small molecule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DE4E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1366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106946" w:rsidRPr="00D9265D" w14:paraId="6118C011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C35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C65C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Hydrolase activity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8487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DF00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106946" w:rsidRPr="00D9265D" w14:paraId="1B4BEFFA" w14:textId="77777777" w:rsidTr="00C1169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2771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MF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D6AA" w14:textId="77777777" w:rsidR="00106946" w:rsidRPr="00D9265D" w:rsidRDefault="00106946" w:rsidP="00C1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Ion binding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35F0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0D88" w14:textId="77777777" w:rsidR="00106946" w:rsidRPr="00D9265D" w:rsidRDefault="00106946" w:rsidP="00C1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92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0.030</w:t>
            </w:r>
          </w:p>
        </w:tc>
      </w:tr>
    </w:tbl>
    <w:p w14:paraId="4B420DEE" w14:textId="77777777" w:rsidR="00106946" w:rsidRPr="00D9265D" w:rsidRDefault="00106946" w:rsidP="00106946">
      <w:pPr>
        <w:ind w:left="720" w:firstLine="720"/>
        <w:rPr>
          <w:rFonts w:ascii="Times New Roman" w:hAnsi="Times New Roman" w:cs="Times New Roman"/>
          <w:sz w:val="20"/>
          <w:szCs w:val="20"/>
        </w:rPr>
      </w:pPr>
    </w:p>
    <w:p w14:paraId="640CE9AB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46"/>
    <w:rsid w:val="00106946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E6047"/>
  <w15:chartTrackingRefBased/>
  <w15:docId w15:val="{55B8015D-40D7-4C83-A422-5A5B7489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946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069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hyperlink" Target="https://maayanlab.cloud/clustergramme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707</Words>
  <Characters>4032</Characters>
  <Application>Microsoft Office Word</Application>
  <DocSecurity>0</DocSecurity>
  <Lines>33</Lines>
  <Paragraphs>9</Paragraphs>
  <ScaleCrop>false</ScaleCrop>
  <Company>Springer Nature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2023-06-07T10:38:00Z</dcterms:created>
  <dcterms:modified xsi:type="dcterms:W3CDTF">2023-06-07T10:38:00Z</dcterms:modified>
</cp:coreProperties>
</file>