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C96" w:rsidRDefault="00B13C96"/>
    <w:p w:rsidR="00B13C96" w:rsidRDefault="00B13C96"/>
    <w:p w:rsidR="009912FE" w:rsidRDefault="00462D27">
      <w:bookmarkStart w:id="0" w:name="_GoBack"/>
      <w:bookmarkEnd w:id="0"/>
      <w:proofErr w:type="spellStart"/>
      <w:r>
        <w:t>Supplemental</w:t>
      </w:r>
      <w:proofErr w:type="spellEnd"/>
      <w:r>
        <w:t xml:space="preserve"> figure 2.</w:t>
      </w:r>
    </w:p>
    <w:p w:rsidR="00462D27" w:rsidRDefault="00462D27"/>
    <w:p w:rsidR="00462D27" w:rsidRDefault="00462D27">
      <w:r>
        <w:rPr>
          <w:noProof/>
        </w:rPr>
        <w:drawing>
          <wp:inline distT="0" distB="0" distL="0" distR="0" wp14:anchorId="35498446" wp14:editId="76456F83">
            <wp:extent cx="9082585" cy="4922952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7552" cy="500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D27" w:rsidRDefault="00462D27">
      <w:r>
        <w:rPr>
          <w:lang w:val="en-US"/>
        </w:rPr>
        <w:t>Supplemental figure 2. Prevalence of individual predictors across quintiles of the risk score. SBP, systolic blood pressure; eGFR, estimated glomerular filtration rate; SFI, severe functional impairment; 6MWD, six-minute walking test; 6MWT, six-minute walking distance.</w:t>
      </w:r>
    </w:p>
    <w:sectPr w:rsidR="00462D27" w:rsidSect="00B13C96">
      <w:pgSz w:w="16838" w:h="11906" w:orient="landscape"/>
      <w:pgMar w:top="426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27"/>
    <w:rsid w:val="00462D27"/>
    <w:rsid w:val="009912FE"/>
    <w:rsid w:val="00B1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F3B4"/>
  <w15:chartTrackingRefBased/>
  <w15:docId w15:val="{93EFC39E-483B-4418-AFEC-F2F42144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Istituti Clinici Scientifici Maugeri IRCCS Spa SB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Scrutinio Domenico</dc:creator>
  <cp:keywords/>
  <dc:description/>
  <cp:lastModifiedBy>Scrutinio Domenico</cp:lastModifiedBy>
  <cp:revision>3</cp:revision>
  <dcterms:created xsi:type="dcterms:W3CDTF">2023-06-06T07:45:00Z</dcterms:created>
  <dcterms:modified xsi:type="dcterms:W3CDTF">2023-06-06T08:07:00Z</dcterms:modified>
</cp:coreProperties>
</file>