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E3304" w14:textId="77777777" w:rsidR="000E3F26" w:rsidRPr="006B0D1E" w:rsidRDefault="000E3F26" w:rsidP="000E3F26">
      <w:pPr>
        <w:pStyle w:val="Title"/>
        <w:spacing w:line="480" w:lineRule="auto"/>
        <w:rPr>
          <w:rFonts w:cs="Times New Roman"/>
          <w:sz w:val="24"/>
          <w:szCs w:val="24"/>
        </w:rPr>
      </w:pPr>
      <w:bookmarkStart w:id="0" w:name="_Hlk127872769"/>
      <w:bookmarkStart w:id="1" w:name="_GoBack"/>
      <w:r w:rsidRPr="006B0D1E">
        <w:rPr>
          <w:rFonts w:cs="Times New Roman"/>
          <w:sz w:val="24"/>
          <w:szCs w:val="24"/>
        </w:rPr>
        <w:t xml:space="preserve">Effect of engineered stone particle chemistry on lung cell response: understanding the pathogenesis of </w:t>
      </w:r>
      <w:bookmarkEnd w:id="1"/>
      <w:r w:rsidRPr="006B0D1E">
        <w:rPr>
          <w:rFonts w:cs="Times New Roman"/>
          <w:sz w:val="24"/>
          <w:szCs w:val="24"/>
        </w:rPr>
        <w:t xml:space="preserve">accelerated silicosis </w:t>
      </w:r>
    </w:p>
    <w:p w14:paraId="32A7F606" w14:textId="77777777" w:rsidR="000E3F26" w:rsidRPr="001D6BF4" w:rsidRDefault="000E3F26" w:rsidP="000E3F26">
      <w:pPr>
        <w:spacing w:after="0" w:line="480" w:lineRule="auto"/>
        <w:jc w:val="center"/>
        <w:rPr>
          <w:rFonts w:cs="Times New Roman"/>
          <w:sz w:val="24"/>
          <w:szCs w:val="24"/>
        </w:rPr>
      </w:pPr>
      <w:r w:rsidRPr="006B0D1E">
        <w:rPr>
          <w:rFonts w:cs="Times New Roman"/>
          <w:sz w:val="24"/>
          <w:szCs w:val="24"/>
        </w:rPr>
        <w:t>Chandnee Ramkissoon</w:t>
      </w:r>
      <w:r w:rsidRPr="006B0D1E">
        <w:rPr>
          <w:rFonts w:cs="Times New Roman"/>
          <w:sz w:val="24"/>
          <w:szCs w:val="24"/>
          <w:vertAlign w:val="superscript"/>
        </w:rPr>
        <w:t>1</w:t>
      </w:r>
      <w:r w:rsidRPr="006B0D1E">
        <w:rPr>
          <w:rFonts w:cs="Times New Roman"/>
          <w:sz w:val="24"/>
          <w:szCs w:val="24"/>
        </w:rPr>
        <w:t>*, Yong Song</w:t>
      </w:r>
      <w:r w:rsidRPr="006B0D1E">
        <w:rPr>
          <w:rFonts w:cs="Times New Roman"/>
          <w:sz w:val="24"/>
          <w:szCs w:val="24"/>
          <w:vertAlign w:val="superscript"/>
        </w:rPr>
        <w:t>2</w:t>
      </w:r>
      <w:r w:rsidRPr="006B0D1E">
        <w:rPr>
          <w:rFonts w:cs="Times New Roman"/>
          <w:sz w:val="24"/>
          <w:szCs w:val="24"/>
        </w:rPr>
        <w:t xml:space="preserve">, </w:t>
      </w:r>
      <w:proofErr w:type="spellStart"/>
      <w:r w:rsidRPr="008D29CF">
        <w:rPr>
          <w:rFonts w:cs="Times New Roman"/>
          <w:sz w:val="24"/>
          <w:szCs w:val="24"/>
        </w:rPr>
        <w:t>Seiha</w:t>
      </w:r>
      <w:proofErr w:type="spellEnd"/>
      <w:r w:rsidRPr="008D29CF">
        <w:rPr>
          <w:rFonts w:cs="Times New Roman"/>
          <w:sz w:val="24"/>
          <w:szCs w:val="24"/>
        </w:rPr>
        <w:t xml:space="preserve"> Yen</w:t>
      </w:r>
      <w:r w:rsidRPr="006B0D1E">
        <w:rPr>
          <w:rFonts w:cs="Times New Roman"/>
          <w:sz w:val="24"/>
          <w:szCs w:val="24"/>
          <w:vertAlign w:val="superscript"/>
        </w:rPr>
        <w:t>2</w:t>
      </w:r>
      <w:r w:rsidRPr="00920E6E">
        <w:rPr>
          <w:rFonts w:cs="Times New Roman"/>
          <w:sz w:val="24"/>
          <w:szCs w:val="24"/>
        </w:rPr>
        <w:t xml:space="preserve">, </w:t>
      </w:r>
      <w:r w:rsidRPr="00F8597B">
        <w:rPr>
          <w:rFonts w:cs="Times New Roman"/>
          <w:sz w:val="24"/>
          <w:szCs w:val="24"/>
        </w:rPr>
        <w:t>Katherine</w:t>
      </w:r>
      <w:r>
        <w:rPr>
          <w:rFonts w:cs="Times New Roman"/>
          <w:sz w:val="24"/>
          <w:szCs w:val="24"/>
        </w:rPr>
        <w:t xml:space="preserve"> Southam</w:t>
      </w:r>
      <w:r w:rsidRPr="0081185F">
        <w:rPr>
          <w:rFonts w:cs="Times New Roman"/>
          <w:sz w:val="24"/>
          <w:szCs w:val="24"/>
          <w:vertAlign w:val="superscript"/>
        </w:rPr>
        <w:t>2</w:t>
      </w:r>
      <w:r w:rsidRPr="006B0D1E">
        <w:rPr>
          <w:rFonts w:cs="Times New Roman"/>
          <w:sz w:val="24"/>
          <w:szCs w:val="24"/>
        </w:rPr>
        <w:t>, Dino Pisaniello</w:t>
      </w:r>
      <w:r w:rsidRPr="006B0D1E">
        <w:rPr>
          <w:rFonts w:cs="Times New Roman"/>
          <w:sz w:val="24"/>
          <w:szCs w:val="24"/>
          <w:vertAlign w:val="superscript"/>
        </w:rPr>
        <w:t>1</w:t>
      </w:r>
      <w:r w:rsidRPr="006B0D1E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Sharyn Gaskin</w:t>
      </w:r>
      <w:r w:rsidRPr="00112C71"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>,</w:t>
      </w:r>
      <w:r w:rsidRPr="006B0D1E">
        <w:rPr>
          <w:rFonts w:cs="Times New Roman"/>
          <w:sz w:val="24"/>
          <w:szCs w:val="24"/>
        </w:rPr>
        <w:t xml:space="preserve"> Graeme Zosky</w:t>
      </w:r>
      <w:r w:rsidRPr="006B0D1E">
        <w:rPr>
          <w:rFonts w:cs="Times New Roman"/>
          <w:sz w:val="24"/>
          <w:szCs w:val="24"/>
          <w:vertAlign w:val="superscript"/>
        </w:rPr>
        <w:t xml:space="preserve">2 </w:t>
      </w:r>
    </w:p>
    <w:p w14:paraId="70960849" w14:textId="77777777" w:rsidR="000E3F26" w:rsidRPr="006B0D1E" w:rsidRDefault="000E3F26" w:rsidP="000E3F26">
      <w:pPr>
        <w:spacing w:after="0" w:line="480" w:lineRule="auto"/>
        <w:rPr>
          <w:rFonts w:cs="Times New Roman"/>
          <w:sz w:val="24"/>
          <w:szCs w:val="24"/>
        </w:rPr>
      </w:pPr>
      <w:r w:rsidRPr="006B0D1E">
        <w:rPr>
          <w:rFonts w:cs="Times New Roman"/>
          <w:sz w:val="24"/>
          <w:szCs w:val="24"/>
          <w:vertAlign w:val="superscript"/>
        </w:rPr>
        <w:t>1</w:t>
      </w:r>
      <w:r w:rsidRPr="006B0D1E">
        <w:rPr>
          <w:rFonts w:cs="Times New Roman"/>
          <w:sz w:val="24"/>
          <w:szCs w:val="24"/>
        </w:rPr>
        <w:t xml:space="preserve">Adelaide Exposure Science and Health, School of Public Health, University of Adelaide, Adelaide, SA, Australia; </w:t>
      </w:r>
      <w:r w:rsidRPr="006B0D1E">
        <w:rPr>
          <w:rFonts w:cs="Times New Roman"/>
          <w:sz w:val="24"/>
          <w:szCs w:val="24"/>
          <w:vertAlign w:val="superscript"/>
        </w:rPr>
        <w:t>2</w:t>
      </w:r>
      <w:r w:rsidRPr="006B0D1E">
        <w:rPr>
          <w:rFonts w:cs="Times New Roman"/>
          <w:sz w:val="24"/>
          <w:szCs w:val="24"/>
        </w:rPr>
        <w:t>Menzies Institute for Medical Research, College of Health and Medicine, University of Tasmania, Hobart, TAS, Australia</w:t>
      </w:r>
    </w:p>
    <w:p w14:paraId="46C8DCFE" w14:textId="77777777" w:rsidR="000E3F26" w:rsidRPr="006B0D1E" w:rsidRDefault="000E3F26" w:rsidP="000E3F26">
      <w:pPr>
        <w:spacing w:after="0" w:line="480" w:lineRule="auto"/>
        <w:rPr>
          <w:rFonts w:cs="Times New Roman"/>
          <w:sz w:val="24"/>
          <w:szCs w:val="24"/>
        </w:rPr>
      </w:pPr>
      <w:r w:rsidRPr="006B0D1E">
        <w:rPr>
          <w:rFonts w:cs="Times New Roman"/>
          <w:sz w:val="24"/>
          <w:szCs w:val="24"/>
        </w:rPr>
        <w:t>Corresponding author: chandnee.ramkissoon@adelaide.edu.au</w:t>
      </w:r>
    </w:p>
    <w:bookmarkEnd w:id="0"/>
    <w:p w14:paraId="79C0AD73" w14:textId="5DA0F9AF" w:rsidR="00244D2B" w:rsidRDefault="00244D2B" w:rsidP="00244D2B">
      <w:pPr>
        <w:jc w:val="center"/>
      </w:pPr>
      <w:r>
        <w:rPr>
          <w:noProof/>
        </w:rPr>
        <w:lastRenderedPageBreak/>
        <w:drawing>
          <wp:inline distT="0" distB="0" distL="0" distR="0" wp14:anchorId="57E79C1E" wp14:editId="5F8E5BDA">
            <wp:extent cx="5402580" cy="8063337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190" cy="807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D8344" w14:textId="1106D846" w:rsidR="00244D2B" w:rsidRDefault="00192F8E" w:rsidP="00192F8E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7FD8">
        <w:rPr>
          <w:rFonts w:ascii="Times New Roman" w:hAnsi="Times New Roman" w:cs="Times New Roman"/>
          <w:sz w:val="24"/>
          <w:szCs w:val="24"/>
        </w:rPr>
        <w:t xml:space="preserve">upplementary </w:t>
      </w:r>
      <w:r w:rsidR="00721882" w:rsidRPr="00E87FD8">
        <w:rPr>
          <w:rFonts w:ascii="Times New Roman" w:hAnsi="Times New Roman" w:cs="Times New Roman"/>
          <w:sz w:val="24"/>
          <w:szCs w:val="24"/>
        </w:rPr>
        <w:t>Figure 1</w:t>
      </w:r>
      <w:r w:rsidR="00E87FD8">
        <w:rPr>
          <w:rFonts w:ascii="Times New Roman" w:hAnsi="Times New Roman" w:cs="Times New Roman"/>
          <w:sz w:val="24"/>
          <w:szCs w:val="24"/>
        </w:rPr>
        <w:t>:</w:t>
      </w:r>
      <w:r w:rsidR="00721882" w:rsidRPr="00E87FD8">
        <w:rPr>
          <w:rFonts w:ascii="Times New Roman" w:hAnsi="Times New Roman" w:cs="Times New Roman"/>
          <w:sz w:val="24"/>
          <w:szCs w:val="24"/>
        </w:rPr>
        <w:t xml:space="preserve"> Protein binding experiment in </w:t>
      </w:r>
      <w:r w:rsidR="00721882" w:rsidRPr="00E87FD8">
        <w:rPr>
          <w:rFonts w:ascii="Times New Roman" w:eastAsia="Times New Roman" w:hAnsi="Times New Roman" w:cs="Times New Roman"/>
          <w:sz w:val="24"/>
          <w:szCs w:val="24"/>
        </w:rPr>
        <w:t>A549 cell medium</w:t>
      </w:r>
      <w:r w:rsidR="00E87F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F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87FD8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721882" w:rsidRPr="00192F8E">
        <w:rPr>
          <w:rFonts w:ascii="Times New Roman" w:eastAsia="GeorgiaPro-CondRegular" w:hAnsi="Times New Roman" w:cs="Times New Roman"/>
          <w:sz w:val="24"/>
          <w:szCs w:val="24"/>
        </w:rPr>
        <w:t>actate dehydrogenase (LDH</w:t>
      </w:r>
      <w:r w:rsidR="002B160F">
        <w:rPr>
          <w:rFonts w:ascii="Times New Roman" w:eastAsia="GeorgiaPro-CondRegular" w:hAnsi="Times New Roman" w:cs="Times New Roman"/>
          <w:sz w:val="24"/>
          <w:szCs w:val="24"/>
        </w:rPr>
        <w:t>, 1.5% positive control</w:t>
      </w:r>
      <w:r w:rsidR="00721882" w:rsidRPr="00192F8E">
        <w:rPr>
          <w:rFonts w:ascii="Times New Roman" w:eastAsia="GeorgiaPro-CondRegular" w:hAnsi="Times New Roman" w:cs="Times New Roman"/>
          <w:sz w:val="24"/>
          <w:szCs w:val="24"/>
        </w:rPr>
        <w:t xml:space="preserve">), IL-8 </w:t>
      </w:r>
      <w:r w:rsidRPr="00192F8E">
        <w:rPr>
          <w:rFonts w:ascii="Times New Roman" w:eastAsia="GeorgiaPro-CondRegular" w:hAnsi="Times New Roman" w:cs="Times New Roman"/>
          <w:sz w:val="24"/>
          <w:szCs w:val="24"/>
        </w:rPr>
        <w:t>(</w:t>
      </w:r>
      <w:r w:rsidR="002B160F">
        <w:rPr>
          <w:rFonts w:ascii="Times New Roman" w:eastAsia="GeorgiaPro-CondRegular" w:hAnsi="Times New Roman" w:cs="Times New Roman"/>
          <w:sz w:val="24"/>
          <w:szCs w:val="24"/>
        </w:rPr>
        <w:t>35</w:t>
      </w:r>
      <w:r w:rsidR="003024A1">
        <w:rPr>
          <w:rFonts w:ascii="Times New Roman" w:eastAsia="GeorgiaPro-CondRegular" w:hAnsi="Times New Roman" w:cs="Times New Roman"/>
          <w:sz w:val="24"/>
          <w:szCs w:val="24"/>
        </w:rPr>
        <w:t>00 ng/mL</w:t>
      </w:r>
      <w:r w:rsidRPr="00192F8E">
        <w:rPr>
          <w:rFonts w:ascii="Times New Roman" w:eastAsia="GeorgiaPro-CondRegular" w:hAnsi="Times New Roman" w:cs="Times New Roman"/>
          <w:sz w:val="24"/>
          <w:szCs w:val="24"/>
        </w:rPr>
        <w:t xml:space="preserve">) </w:t>
      </w:r>
      <w:r w:rsidR="00721882" w:rsidRPr="00192F8E">
        <w:rPr>
          <w:rFonts w:ascii="Times New Roman" w:eastAsia="GeorgiaPro-CondRegular" w:hAnsi="Times New Roman" w:cs="Times New Roman"/>
          <w:sz w:val="24"/>
          <w:szCs w:val="24"/>
        </w:rPr>
        <w:t>and IL-6</w:t>
      </w:r>
      <w:r w:rsidRPr="00192F8E">
        <w:rPr>
          <w:rFonts w:ascii="Times New Roman" w:eastAsia="GeorgiaPro-CondRegular" w:hAnsi="Times New Roman" w:cs="Times New Roman"/>
          <w:sz w:val="24"/>
          <w:szCs w:val="24"/>
        </w:rPr>
        <w:t xml:space="preserve"> (</w:t>
      </w:r>
      <w:r w:rsidR="003024A1">
        <w:rPr>
          <w:rFonts w:ascii="Times New Roman" w:eastAsia="GeorgiaPro-CondRegular" w:hAnsi="Times New Roman" w:cs="Times New Roman"/>
          <w:sz w:val="24"/>
          <w:szCs w:val="24"/>
        </w:rPr>
        <w:t>1</w:t>
      </w:r>
      <w:r w:rsidR="002B160F">
        <w:rPr>
          <w:rFonts w:ascii="Times New Roman" w:eastAsia="GeorgiaPro-CondRegular" w:hAnsi="Times New Roman" w:cs="Times New Roman"/>
          <w:sz w:val="24"/>
          <w:szCs w:val="24"/>
        </w:rPr>
        <w:t>5</w:t>
      </w:r>
      <w:r w:rsidR="003024A1">
        <w:rPr>
          <w:rFonts w:ascii="Times New Roman" w:eastAsia="GeorgiaPro-CondRegular" w:hAnsi="Times New Roman" w:cs="Times New Roman"/>
          <w:sz w:val="24"/>
          <w:szCs w:val="24"/>
        </w:rPr>
        <w:t>0 ng/mL</w:t>
      </w:r>
      <w:r w:rsidRPr="00192F8E">
        <w:rPr>
          <w:rFonts w:ascii="Times New Roman" w:eastAsia="GeorgiaPro-CondRegular" w:hAnsi="Times New Roman" w:cs="Times New Roman"/>
          <w:sz w:val="24"/>
          <w:szCs w:val="24"/>
        </w:rPr>
        <w:t>)</w:t>
      </w:r>
      <w:r w:rsidR="00721882" w:rsidRPr="00192F8E">
        <w:rPr>
          <w:rFonts w:ascii="Times New Roman" w:eastAsia="GeorgiaPro-CondRegular" w:hAnsi="Times New Roman" w:cs="Times New Roman"/>
          <w:sz w:val="24"/>
          <w:szCs w:val="24"/>
        </w:rPr>
        <w:t xml:space="preserve"> </w:t>
      </w:r>
      <w:r w:rsidR="00721882" w:rsidRPr="00192F8E">
        <w:rPr>
          <w:rFonts w:ascii="Times New Roman" w:eastAsia="Times New Roman" w:hAnsi="Times New Roman" w:cs="Times New Roman"/>
          <w:sz w:val="24"/>
          <w:szCs w:val="24"/>
        </w:rPr>
        <w:t xml:space="preserve">were co-incubated with stone particles as well as the vehicle control (Blank) in </w:t>
      </w:r>
      <w:r w:rsidRPr="00192F8E">
        <w:rPr>
          <w:rFonts w:ascii="Times New Roman" w:hAnsi="Times New Roman" w:cs="Times New Roman"/>
          <w:sz w:val="24"/>
          <w:szCs w:val="24"/>
        </w:rPr>
        <w:t xml:space="preserve">F12k. </w:t>
      </w:r>
      <w:r w:rsidRPr="00192F8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92F8E">
        <w:rPr>
          <w:rFonts w:ascii="Times New Roman" w:hAnsi="Times New Roman" w:cs="Times New Roman"/>
          <w:bCs/>
          <w:sz w:val="24"/>
          <w:szCs w:val="24"/>
        </w:rPr>
        <w:t xml:space="preserve">experiments were performed in triplicate. </w:t>
      </w:r>
      <w:r w:rsidRPr="00192F8E">
        <w:rPr>
          <w:rFonts w:ascii="Times New Roman" w:hAnsi="Times New Roman" w:cs="Times New Roman"/>
          <w:sz w:val="24"/>
          <w:szCs w:val="24"/>
        </w:rPr>
        <w:t xml:space="preserve">Values are mean (SD). </w:t>
      </w:r>
      <w:r w:rsidRPr="00192F8E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="00E87FD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E87FD8" w:rsidRPr="00E87FD8">
        <w:rPr>
          <w:rFonts w:ascii="Times New Roman" w:hAnsi="Times New Roman" w:cs="Times New Roman"/>
          <w:bCs/>
          <w:sz w:val="24"/>
          <w:szCs w:val="24"/>
        </w:rPr>
        <w:t>indicate</w:t>
      </w:r>
      <w:r w:rsidR="00E87FD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E87FD8">
        <w:rPr>
          <w:rFonts w:ascii="Times New Roman" w:hAnsi="Times New Roman" w:cs="Times New Roman"/>
          <w:bCs/>
          <w:sz w:val="24"/>
          <w:szCs w:val="24"/>
        </w:rPr>
        <w:t>significant differences</w:t>
      </w:r>
      <w:r w:rsidRPr="00192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7FD8">
        <w:rPr>
          <w:rFonts w:ascii="Times New Roman" w:hAnsi="Times New Roman" w:cs="Times New Roman"/>
          <w:bCs/>
          <w:sz w:val="24"/>
          <w:szCs w:val="24"/>
        </w:rPr>
        <w:t>(</w:t>
      </w:r>
      <w:r w:rsidRPr="00192F8E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192F8E">
        <w:rPr>
          <w:rFonts w:ascii="Times New Roman" w:hAnsi="Times New Roman" w:cs="Times New Roman"/>
          <w:bCs/>
          <w:sz w:val="24"/>
          <w:szCs w:val="24"/>
        </w:rPr>
        <w:t xml:space="preserve"> &lt; 0.05</w:t>
      </w:r>
      <w:r w:rsidR="00E87FD8">
        <w:rPr>
          <w:rFonts w:ascii="Times New Roman" w:hAnsi="Times New Roman" w:cs="Times New Roman"/>
          <w:bCs/>
          <w:sz w:val="24"/>
          <w:szCs w:val="24"/>
        </w:rPr>
        <w:t>)</w:t>
      </w:r>
      <w:r w:rsidRPr="00192F8E">
        <w:rPr>
          <w:rFonts w:ascii="Times New Roman" w:hAnsi="Times New Roman" w:cs="Times New Roman"/>
          <w:bCs/>
          <w:sz w:val="24"/>
          <w:szCs w:val="24"/>
        </w:rPr>
        <w:t xml:space="preserve"> compared to the control group. </w:t>
      </w:r>
      <w:r w:rsidRPr="00192F8E">
        <w:rPr>
          <w:rFonts w:ascii="Times New Roman" w:hAnsi="Times New Roman" w:cs="Times New Roman"/>
          <w:sz w:val="24"/>
          <w:szCs w:val="24"/>
        </w:rPr>
        <w:t>The overall ANOVA 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F8E">
        <w:rPr>
          <w:rFonts w:ascii="Times New Roman" w:hAnsi="Times New Roman" w:cs="Times New Roman"/>
          <w:sz w:val="24"/>
          <w:szCs w:val="24"/>
        </w:rPr>
        <w:t>values are shown in the graph.</w:t>
      </w:r>
    </w:p>
    <w:p w14:paraId="5642A3FD" w14:textId="77777777" w:rsidR="00244D2B" w:rsidRDefault="00244D2B" w:rsidP="00244D2B">
      <w:pPr>
        <w:jc w:val="center"/>
        <w:sectPr w:rsidR="00244D2B" w:rsidSect="00244D2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985C42A" w14:textId="35075513" w:rsidR="00244D2B" w:rsidRDefault="00244D2B" w:rsidP="00244D2B">
      <w:pPr>
        <w:jc w:val="center"/>
      </w:pPr>
      <w:r>
        <w:rPr>
          <w:noProof/>
        </w:rPr>
        <w:lastRenderedPageBreak/>
        <w:drawing>
          <wp:inline distT="0" distB="0" distL="0" distR="0" wp14:anchorId="118794D0" wp14:editId="7A87CE6C">
            <wp:extent cx="9489086" cy="496803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0535" cy="498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4779" w14:textId="7DA6857B" w:rsidR="00192F8E" w:rsidRPr="00E87FD8" w:rsidRDefault="00192F8E" w:rsidP="00192F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7FD8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275C8" w:rsidRPr="00E87FD8">
        <w:rPr>
          <w:rFonts w:ascii="Times New Roman" w:hAnsi="Times New Roman" w:cs="Times New Roman"/>
          <w:sz w:val="24"/>
          <w:szCs w:val="24"/>
        </w:rPr>
        <w:t>2</w:t>
      </w:r>
      <w:r w:rsidR="00E87FD8">
        <w:rPr>
          <w:rFonts w:ascii="Times New Roman" w:hAnsi="Times New Roman" w:cs="Times New Roman"/>
          <w:sz w:val="24"/>
          <w:szCs w:val="24"/>
        </w:rPr>
        <w:t xml:space="preserve">: </w:t>
      </w:r>
      <w:r w:rsidRPr="00E87FD8">
        <w:rPr>
          <w:rFonts w:ascii="Times New Roman" w:hAnsi="Times New Roman" w:cs="Times New Roman"/>
          <w:sz w:val="24"/>
          <w:szCs w:val="24"/>
        </w:rPr>
        <w:t xml:space="preserve">Protein binding experiment in </w:t>
      </w:r>
      <w:r w:rsidRPr="00E87FD8">
        <w:rPr>
          <w:rFonts w:ascii="Times New Roman" w:eastAsia="Times New Roman" w:hAnsi="Times New Roman" w:cs="Times New Roman"/>
          <w:bCs/>
          <w:sz w:val="24"/>
          <w:szCs w:val="24"/>
        </w:rPr>
        <w:t>THP-1 cell growth medium</w:t>
      </w:r>
      <w:r w:rsidR="00E87FD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87F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87FD8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Pr="00E87FD8">
        <w:rPr>
          <w:rFonts w:ascii="Times New Roman" w:eastAsia="GeorgiaPro-CondRegular" w:hAnsi="Times New Roman" w:cs="Times New Roman"/>
          <w:sz w:val="24"/>
          <w:szCs w:val="24"/>
        </w:rPr>
        <w:t>actate dehydrogenase (LDH</w:t>
      </w:r>
      <w:r w:rsidR="00254278" w:rsidRPr="00E87FD8">
        <w:rPr>
          <w:rFonts w:ascii="Times New Roman" w:eastAsia="GeorgiaPro-CondRegular" w:hAnsi="Times New Roman" w:cs="Times New Roman"/>
          <w:sz w:val="24"/>
          <w:szCs w:val="24"/>
        </w:rPr>
        <w:t>, 1.5% positive control</w:t>
      </w:r>
      <w:r w:rsidRPr="00E87FD8">
        <w:rPr>
          <w:rFonts w:ascii="Times New Roman" w:eastAsia="GeorgiaPro-CondRegular" w:hAnsi="Times New Roman" w:cs="Times New Roman"/>
          <w:sz w:val="24"/>
          <w:szCs w:val="24"/>
        </w:rPr>
        <w:t>), IL-8 (</w:t>
      </w:r>
      <w:r w:rsidR="002B160F" w:rsidRPr="00E87FD8">
        <w:rPr>
          <w:rFonts w:ascii="Times New Roman" w:eastAsia="GeorgiaPro-CondRegular" w:hAnsi="Times New Roman" w:cs="Times New Roman"/>
          <w:sz w:val="24"/>
          <w:szCs w:val="24"/>
        </w:rPr>
        <w:t>35</w:t>
      </w:r>
      <w:r w:rsidR="003024A1" w:rsidRPr="00E87FD8">
        <w:rPr>
          <w:rFonts w:ascii="Times New Roman" w:eastAsia="GeorgiaPro-CondRegular" w:hAnsi="Times New Roman" w:cs="Times New Roman"/>
          <w:sz w:val="24"/>
          <w:szCs w:val="24"/>
        </w:rPr>
        <w:t>00 ng/mL</w:t>
      </w:r>
      <w:r w:rsidRPr="00E87FD8">
        <w:rPr>
          <w:rFonts w:ascii="Times New Roman" w:eastAsia="GeorgiaPro-CondRegular" w:hAnsi="Times New Roman" w:cs="Times New Roman"/>
          <w:sz w:val="24"/>
          <w:szCs w:val="24"/>
        </w:rPr>
        <w:t>), TNF-α (</w:t>
      </w:r>
      <w:r w:rsidR="003024A1" w:rsidRPr="00E87FD8">
        <w:rPr>
          <w:rFonts w:ascii="Times New Roman" w:eastAsia="GeorgiaPro-CondRegular" w:hAnsi="Times New Roman" w:cs="Times New Roman"/>
          <w:sz w:val="24"/>
          <w:szCs w:val="24"/>
        </w:rPr>
        <w:t>2000 ng/mL</w:t>
      </w:r>
      <w:r w:rsidRPr="00E87FD8">
        <w:rPr>
          <w:rFonts w:ascii="Times New Roman" w:eastAsia="GeorgiaPro-CondRegular" w:hAnsi="Times New Roman" w:cs="Times New Roman"/>
          <w:sz w:val="24"/>
          <w:szCs w:val="24"/>
        </w:rPr>
        <w:t>) and IL-1β (</w:t>
      </w:r>
      <w:r w:rsidR="003024A1" w:rsidRPr="00E87FD8">
        <w:rPr>
          <w:rFonts w:ascii="Times New Roman" w:eastAsia="GeorgiaPro-CondRegular" w:hAnsi="Times New Roman" w:cs="Times New Roman"/>
          <w:sz w:val="24"/>
          <w:szCs w:val="24"/>
        </w:rPr>
        <w:t>1</w:t>
      </w:r>
      <w:r w:rsidR="002B160F" w:rsidRPr="00E87FD8">
        <w:rPr>
          <w:rFonts w:ascii="Times New Roman" w:eastAsia="GeorgiaPro-CondRegular" w:hAnsi="Times New Roman" w:cs="Times New Roman"/>
          <w:sz w:val="24"/>
          <w:szCs w:val="24"/>
        </w:rPr>
        <w:t>5</w:t>
      </w:r>
      <w:r w:rsidR="003024A1" w:rsidRPr="00E87FD8">
        <w:rPr>
          <w:rFonts w:ascii="Times New Roman" w:eastAsia="GeorgiaPro-CondRegular" w:hAnsi="Times New Roman" w:cs="Times New Roman"/>
          <w:sz w:val="24"/>
          <w:szCs w:val="24"/>
        </w:rPr>
        <w:t>0 ng/mL</w:t>
      </w:r>
      <w:r w:rsidRPr="00E87FD8">
        <w:rPr>
          <w:rFonts w:ascii="Times New Roman" w:eastAsia="GeorgiaPro-CondRegular" w:hAnsi="Times New Roman" w:cs="Times New Roman"/>
          <w:sz w:val="24"/>
          <w:szCs w:val="24"/>
        </w:rPr>
        <w:t xml:space="preserve">) </w:t>
      </w:r>
      <w:r w:rsidRPr="00E87FD8">
        <w:rPr>
          <w:rFonts w:ascii="Times New Roman" w:eastAsia="Times New Roman" w:hAnsi="Times New Roman" w:cs="Times New Roman"/>
          <w:sz w:val="24"/>
          <w:szCs w:val="24"/>
        </w:rPr>
        <w:t xml:space="preserve">were co-incubated with stone particles as well as the vehicle control (Blank) in </w:t>
      </w:r>
      <w:r w:rsidRPr="00E87FD8">
        <w:rPr>
          <w:rFonts w:ascii="Times New Roman" w:hAnsi="Times New Roman" w:cs="Times New Roman"/>
          <w:sz w:val="24"/>
          <w:szCs w:val="24"/>
        </w:rPr>
        <w:t xml:space="preserve">RPMI-1640. </w:t>
      </w:r>
      <w:r w:rsidRPr="00E87F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87FD8">
        <w:rPr>
          <w:rFonts w:ascii="Times New Roman" w:hAnsi="Times New Roman" w:cs="Times New Roman"/>
          <w:bCs/>
          <w:sz w:val="24"/>
          <w:szCs w:val="24"/>
        </w:rPr>
        <w:t xml:space="preserve">experiments were performed in triplicate. </w:t>
      </w:r>
      <w:r w:rsidRPr="00E87FD8">
        <w:rPr>
          <w:rFonts w:ascii="Times New Roman" w:hAnsi="Times New Roman" w:cs="Times New Roman"/>
          <w:sz w:val="24"/>
          <w:szCs w:val="24"/>
        </w:rPr>
        <w:t xml:space="preserve">Values are mean (SD). </w:t>
      </w:r>
      <w:r w:rsidRPr="00E87FD8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="00E87FD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E87FD8" w:rsidRPr="00E87FD8">
        <w:rPr>
          <w:rFonts w:ascii="Times New Roman" w:hAnsi="Times New Roman" w:cs="Times New Roman"/>
          <w:bCs/>
          <w:sz w:val="24"/>
          <w:szCs w:val="24"/>
        </w:rPr>
        <w:t>indicate significant differences</w:t>
      </w:r>
      <w:r w:rsidRPr="00E87F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7FD8">
        <w:rPr>
          <w:rFonts w:ascii="Times New Roman" w:hAnsi="Times New Roman" w:cs="Times New Roman"/>
          <w:bCs/>
          <w:sz w:val="24"/>
          <w:szCs w:val="24"/>
        </w:rPr>
        <w:t>(</w:t>
      </w:r>
      <w:r w:rsidRPr="00E87FD8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E87FD8">
        <w:rPr>
          <w:rFonts w:ascii="Times New Roman" w:hAnsi="Times New Roman" w:cs="Times New Roman"/>
          <w:bCs/>
          <w:sz w:val="24"/>
          <w:szCs w:val="24"/>
        </w:rPr>
        <w:t xml:space="preserve"> &lt; 0.05</w:t>
      </w:r>
      <w:r w:rsidR="00E87FD8">
        <w:rPr>
          <w:rFonts w:ascii="Times New Roman" w:hAnsi="Times New Roman" w:cs="Times New Roman"/>
          <w:bCs/>
          <w:sz w:val="24"/>
          <w:szCs w:val="24"/>
        </w:rPr>
        <w:t>)</w:t>
      </w:r>
      <w:r w:rsidRPr="00E87FD8">
        <w:rPr>
          <w:rFonts w:ascii="Times New Roman" w:hAnsi="Times New Roman" w:cs="Times New Roman"/>
          <w:bCs/>
          <w:sz w:val="24"/>
          <w:szCs w:val="24"/>
        </w:rPr>
        <w:t xml:space="preserve"> compared to the control group. </w:t>
      </w:r>
      <w:r w:rsidRPr="00E87FD8">
        <w:rPr>
          <w:rFonts w:ascii="Times New Roman" w:hAnsi="Times New Roman" w:cs="Times New Roman"/>
          <w:sz w:val="24"/>
          <w:szCs w:val="24"/>
        </w:rPr>
        <w:t>The overall ANOVA p values are shown in the graph.</w:t>
      </w:r>
    </w:p>
    <w:sectPr w:rsidR="00192F8E" w:rsidRPr="00E87FD8" w:rsidSect="00244D2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eorgiaPro-Cond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78"/>
    <w:rsid w:val="000E3F26"/>
    <w:rsid w:val="0019235D"/>
    <w:rsid w:val="00192F8E"/>
    <w:rsid w:val="00244D2B"/>
    <w:rsid w:val="00254278"/>
    <w:rsid w:val="002B160F"/>
    <w:rsid w:val="002C577B"/>
    <w:rsid w:val="003024A1"/>
    <w:rsid w:val="005D5004"/>
    <w:rsid w:val="00721882"/>
    <w:rsid w:val="00730F29"/>
    <w:rsid w:val="00BC1E78"/>
    <w:rsid w:val="00C275C8"/>
    <w:rsid w:val="00E87FD8"/>
    <w:rsid w:val="00F0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48B1D"/>
  <w15:chartTrackingRefBased/>
  <w15:docId w15:val="{F4B97B87-B811-47CC-9772-C78E5800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3F26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3F26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Song</dc:creator>
  <cp:keywords/>
  <dc:description/>
  <cp:lastModifiedBy>Chandnee Ramkissoon</cp:lastModifiedBy>
  <cp:revision>4</cp:revision>
  <dcterms:created xsi:type="dcterms:W3CDTF">2023-05-26T04:21:00Z</dcterms:created>
  <dcterms:modified xsi:type="dcterms:W3CDTF">2023-05-26T04:51:00Z</dcterms:modified>
</cp:coreProperties>
</file>