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7F8" w:rsidRPr="00E416DD" w:rsidRDefault="005C57F8" w:rsidP="005C57F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2"/>
          <w:sz w:val="28"/>
          <w:szCs w:val="32"/>
          <w:lang w:eastAsia="zh-CN"/>
        </w:rPr>
      </w:pPr>
      <w:r w:rsidRPr="00E416DD">
        <w:rPr>
          <w:rFonts w:ascii="Times New Roman" w:eastAsiaTheme="minorEastAsia" w:hAnsi="Times New Roman" w:cs="Times New Roman"/>
          <w:b/>
          <w:bCs/>
          <w:kern w:val="2"/>
          <w:sz w:val="28"/>
          <w:szCs w:val="32"/>
          <w:lang w:eastAsia="zh-CN"/>
        </w:rPr>
        <w:t xml:space="preserve">Supplementary </w:t>
      </w:r>
      <w:r w:rsidRPr="00E416DD">
        <w:rPr>
          <w:rFonts w:ascii="Times New Roman" w:eastAsiaTheme="minorEastAsia" w:hAnsi="Times New Roman" w:cs="Times New Roman" w:hint="eastAsia"/>
          <w:b/>
          <w:bCs/>
          <w:kern w:val="2"/>
          <w:sz w:val="28"/>
          <w:szCs w:val="32"/>
          <w:lang w:eastAsia="zh-CN"/>
        </w:rPr>
        <w:t>Result</w:t>
      </w:r>
      <w:r w:rsidRPr="00E416DD">
        <w:rPr>
          <w:rFonts w:ascii="Times New Roman" w:eastAsiaTheme="minorEastAsia" w:hAnsi="Times New Roman" w:cs="Times New Roman"/>
          <w:b/>
          <w:bCs/>
          <w:kern w:val="2"/>
          <w:sz w:val="28"/>
          <w:szCs w:val="32"/>
          <w:lang w:eastAsia="zh-CN"/>
        </w:rPr>
        <w:t>s</w:t>
      </w:r>
    </w:p>
    <w:p w:rsidR="005C57F8" w:rsidRPr="00E416DD" w:rsidRDefault="005C57F8" w:rsidP="005C57F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drawing>
          <wp:inline distT="0" distB="0" distL="0" distR="0" wp14:anchorId="5980A954" wp14:editId="37ECEF5B">
            <wp:extent cx="5274310" cy="59556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5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</w:pPr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t>Fig.1 Functional analysis of specific genes associated with m</w:t>
      </w:r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vertAlign w:val="superscript"/>
          <w:lang w:eastAsia="zh-CN"/>
        </w:rPr>
        <w:t>6</w:t>
      </w:r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t>A peaks in normal and GBM brain tissues. (</w:t>
      </w:r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 xml:space="preserve">A) </w:t>
      </w:r>
      <w:bookmarkStart w:id="0" w:name="OLE_LINK4"/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>Numbers of common and tissue-specific m</w:t>
      </w:r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vertAlign w:val="superscript"/>
          <w:lang w:eastAsia="zh-CN"/>
        </w:rPr>
        <w:t>6</w:t>
      </w:r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>A peaks in the normal and GBM brain tissues</w:t>
      </w:r>
      <w:bookmarkEnd w:id="0"/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 xml:space="preserve">. Bar graph of enriched terms across normal specific genes (B) and </w:t>
      </w:r>
      <w:proofErr w:type="spellStart"/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>tumour</w:t>
      </w:r>
      <w:proofErr w:type="spellEnd"/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 xml:space="preserve"> specific genes (C), colored by p-values, and corresponding network of enriched terms.</w:t>
      </w:r>
    </w:p>
    <w:p w:rsidR="005C57F8" w:rsidRPr="00E416DD" w:rsidRDefault="005C57F8" w:rsidP="005C57F8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lastRenderedPageBreak/>
        <w:drawing>
          <wp:inline distT="0" distB="0" distL="0" distR="0" wp14:anchorId="17A748DB" wp14:editId="07A2C863">
            <wp:extent cx="4943475" cy="7581900"/>
            <wp:effectExtent l="0" t="0" r="9525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</w:pPr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t>Fig.2 Functional analysis of diff-regulated genes associated with m</w:t>
      </w:r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vertAlign w:val="superscript"/>
          <w:lang w:eastAsia="zh-CN"/>
        </w:rPr>
        <w:t>6</w:t>
      </w:r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t xml:space="preserve">A peaks. </w:t>
      </w:r>
      <w:r w:rsidRPr="00E416DD">
        <w:rPr>
          <w:rFonts w:ascii="Times New Roman" w:eastAsiaTheme="minorEastAsia" w:hAnsi="Times New Roman" w:cs="Times New Roman" w:hint="eastAsia"/>
          <w:b/>
          <w:bCs/>
          <w:kern w:val="2"/>
          <w:sz w:val="21"/>
          <w:szCs w:val="21"/>
          <w:lang w:eastAsia="zh-CN"/>
        </w:rPr>
        <w:t>(</w:t>
      </w:r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>A) The top ten significantly enriched pathways for the hyper-methylated genes. (B) The top ten significantly enriched Gene ontology terms for the hypo-methylated genes. (C) The top ten significantly enriched pathways for the hypo-methylated genes.</w:t>
      </w:r>
    </w:p>
    <w:p w:rsidR="005C57F8" w:rsidRPr="00E416DD" w:rsidRDefault="005C57F8" w:rsidP="005C57F8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lastRenderedPageBreak/>
        <w:drawing>
          <wp:inline distT="0" distB="0" distL="0" distR="0" wp14:anchorId="0AEE34BE" wp14:editId="6F6A0808">
            <wp:extent cx="5274310" cy="6832600"/>
            <wp:effectExtent l="0" t="0" r="2540" b="635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</w:pPr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t xml:space="preserve">Fig.3 Differential and </w:t>
      </w:r>
      <w:proofErr w:type="spellStart"/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t>functiongal</w:t>
      </w:r>
      <w:proofErr w:type="spellEnd"/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t xml:space="preserve"> analysis of RNA-seq data of GBM and normal samples.</w:t>
      </w:r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 xml:space="preserve"> (A) Volcano plots and Scatter plot displaying the diff-regulated </w:t>
      </w:r>
      <w:proofErr w:type="gramStart"/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>genes(</w:t>
      </w:r>
      <w:proofErr w:type="gramEnd"/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 xml:space="preserve">fold change≥2 and FDR≤0.05). Bar graph of enriched terms across (B) </w:t>
      </w:r>
      <w:proofErr w:type="spellStart"/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>upreulated</w:t>
      </w:r>
      <w:proofErr w:type="spellEnd"/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 xml:space="preserve"> genes and (C) downregulated genes, colored by p-values, and corresponding network of enriched terms.</w:t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</w:p>
    <w:p w:rsidR="005C57F8" w:rsidRPr="00E416DD" w:rsidRDefault="005C57F8" w:rsidP="005C57F8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lastRenderedPageBreak/>
        <w:drawing>
          <wp:inline distT="0" distB="0" distL="0" distR="0" wp14:anchorId="51C2FEC9" wp14:editId="40B543CE">
            <wp:extent cx="5274310" cy="6069330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6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</w:pPr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t>Fig.4 Function analysis of hyper-up genes and hypo-down genes.</w:t>
      </w:r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 xml:space="preserve"> (A) The top ten significantly enriched pathways for the hyper-up genes. (B) Bar graph of enriched terms across hypo-down genes, colored by p-values, and corresponding network of enriched terms.</w:t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drawing>
          <wp:inline distT="0" distB="0" distL="0" distR="0" wp14:anchorId="04F70710" wp14:editId="13D6A065">
            <wp:extent cx="5274310" cy="1700530"/>
            <wp:effectExtent l="0" t="0" r="254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</w:pPr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lastRenderedPageBreak/>
        <w:t xml:space="preserve">Fig.5 The correlation of other three module membership with their gene </w:t>
      </w:r>
      <w:proofErr w:type="spellStart"/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t>signficance</w:t>
      </w:r>
      <w:proofErr w:type="spellEnd"/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t xml:space="preserve">. </w:t>
      </w:r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>Scatter plot of module eigengenes in brown (left), blue (middle) and yellow (right) module.</w:t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drawing>
          <wp:inline distT="0" distB="0" distL="0" distR="0" wp14:anchorId="2BD40348" wp14:editId="7F8EAAA8">
            <wp:extent cx="5274310" cy="39643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</w:pPr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szCs w:val="21"/>
          <w:lang w:eastAsia="zh-CN"/>
        </w:rPr>
        <w:t>Fig. 6 GO analysis on 44 genes in the turquoise module with module membership higher than 0.8</w:t>
      </w:r>
      <w:r w:rsidRPr="00E416DD">
        <w:rPr>
          <w:rFonts w:ascii="Times New Roman" w:eastAsiaTheme="minorEastAsia" w:hAnsi="Times New Roman" w:cs="Times New Roman" w:hint="eastAsia"/>
          <w:b/>
          <w:bCs/>
          <w:kern w:val="2"/>
          <w:sz w:val="21"/>
          <w:szCs w:val="21"/>
          <w:lang w:eastAsia="zh-CN"/>
        </w:rPr>
        <w:t>.</w:t>
      </w:r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 xml:space="preserve">  The 44 genes were visualized via </w:t>
      </w:r>
      <w:proofErr w:type="spellStart"/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>circos</w:t>
      </w:r>
      <w:proofErr w:type="spellEnd"/>
      <w:r w:rsidRPr="00E416DD">
        <w:rPr>
          <w:rFonts w:ascii="Times New Roman" w:eastAsiaTheme="minorEastAsia" w:hAnsi="Times New Roman" w:cs="Times New Roman"/>
          <w:kern w:val="2"/>
          <w:sz w:val="21"/>
          <w:szCs w:val="21"/>
          <w:lang w:eastAsia="zh-CN"/>
        </w:rPr>
        <w:t xml:space="preserve"> string graphics, ranked by Log FC in descending order.</w:t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lastRenderedPageBreak/>
        <w:drawing>
          <wp:inline distT="0" distB="0" distL="0" distR="0" wp14:anchorId="1F35F681" wp14:editId="743E75EC">
            <wp:extent cx="5274310" cy="605980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5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1"/>
          <w:lang w:eastAsia="zh-CN"/>
        </w:rPr>
      </w:pPr>
      <w:r w:rsidRPr="00E416DD">
        <w:rPr>
          <w:rFonts w:ascii="Times New Roman" w:eastAsiaTheme="minorEastAsia" w:hAnsi="Times New Roman" w:cs="Times New Roman" w:hint="eastAsia"/>
          <w:b/>
          <w:bCs/>
          <w:kern w:val="2"/>
          <w:sz w:val="21"/>
          <w:lang w:eastAsia="zh-CN"/>
        </w:rPr>
        <w:t>Fi</w:t>
      </w:r>
      <w:r w:rsidRPr="00E416DD">
        <w:rPr>
          <w:rFonts w:ascii="Times New Roman" w:eastAsiaTheme="minorEastAsia" w:hAnsi="Times New Roman" w:cs="Times New Roman"/>
          <w:b/>
          <w:bCs/>
          <w:kern w:val="2"/>
          <w:sz w:val="21"/>
          <w:lang w:eastAsia="zh-CN"/>
        </w:rPr>
        <w:t>g. 7 Associations between the signature risk scores with GBM clinical features.</w:t>
      </w:r>
      <w:r w:rsidRPr="00E416DD">
        <w:rPr>
          <w:rFonts w:ascii="Times New Roman" w:eastAsiaTheme="minorEastAsia" w:hAnsi="Times New Roman" w:cs="Times New Roman"/>
          <w:kern w:val="2"/>
          <w:sz w:val="21"/>
          <w:lang w:eastAsia="zh-CN"/>
        </w:rPr>
        <w:t xml:space="preserve"> </w:t>
      </w:r>
      <w:r w:rsidRPr="00E416DD">
        <w:rPr>
          <w:rFonts w:ascii="Times New Roman" w:eastAsiaTheme="minorEastAsia" w:hAnsi="Times New Roman" w:cs="Times New Roman" w:hint="eastAsia"/>
          <w:kern w:val="2"/>
          <w:sz w:val="21"/>
          <w:lang w:eastAsia="zh-CN"/>
        </w:rPr>
        <w:t>(</w:t>
      </w:r>
      <w:r w:rsidRPr="00E416DD">
        <w:rPr>
          <w:rFonts w:ascii="Times New Roman" w:eastAsiaTheme="minorEastAsia" w:hAnsi="Times New Roman" w:cs="Times New Roman"/>
          <w:kern w:val="2"/>
          <w:sz w:val="21"/>
          <w:lang w:eastAsia="zh-CN"/>
        </w:rPr>
        <w:t>A) Distribution of the risk scores in different cohorts stratified by IDH1 status (mutant, n = 29; wild-type, n = 370; P &lt; 0.0001), MGMT promoter status (methylated, n = 167; unmethylated, n = 177; P = 0.008), G-CIMP status (G-CIMP, n=45; non G-CIMP, n=477; P</w:t>
      </w:r>
      <w:r w:rsidRPr="00E416DD">
        <w:rPr>
          <w:rFonts w:ascii="Times New Roman" w:eastAsiaTheme="minorEastAsia" w:hAnsi="Times New Roman" w:cs="Times New Roman"/>
          <w:kern w:val="2"/>
          <w:sz w:val="21"/>
          <w:lang w:eastAsia="zh-CN"/>
        </w:rPr>
        <w:t>＜</w:t>
      </w:r>
      <w:r w:rsidRPr="00E416DD">
        <w:rPr>
          <w:rFonts w:ascii="Times New Roman" w:eastAsiaTheme="minorEastAsia" w:hAnsi="Times New Roman" w:cs="Times New Roman"/>
          <w:kern w:val="2"/>
          <w:sz w:val="21"/>
          <w:lang w:eastAsia="zh-CN"/>
        </w:rPr>
        <w:t>0.0001), the molecular subtype (CL, n = 197; MES, n = 163; PN, n = 161; PN vs MES, P &lt;0.0001; PN vs CL, P</w:t>
      </w:r>
      <w:r w:rsidRPr="00E416DD">
        <w:rPr>
          <w:rFonts w:ascii="Times New Roman" w:eastAsiaTheme="minorEastAsia" w:hAnsi="Times New Roman" w:cs="Times New Roman"/>
          <w:kern w:val="2"/>
          <w:sz w:val="21"/>
          <w:lang w:eastAsia="zh-CN"/>
        </w:rPr>
        <w:t>＜</w:t>
      </w:r>
      <w:r w:rsidRPr="00E416DD">
        <w:rPr>
          <w:rFonts w:ascii="Times New Roman" w:eastAsiaTheme="minorEastAsia" w:hAnsi="Times New Roman" w:cs="Times New Roman"/>
          <w:kern w:val="2"/>
          <w:sz w:val="21"/>
          <w:lang w:eastAsia="zh-CN"/>
        </w:rPr>
        <w:t>0.0001), Age (High, Age &gt; 55, n = 311; Low, Age ≤ 55, n = 211; P</w:t>
      </w:r>
      <w:r w:rsidRPr="00E416DD">
        <w:rPr>
          <w:rFonts w:ascii="Times New Roman" w:eastAsiaTheme="minorEastAsia" w:hAnsi="Times New Roman" w:cs="Times New Roman"/>
          <w:kern w:val="2"/>
          <w:sz w:val="21"/>
          <w:lang w:eastAsia="zh-CN"/>
        </w:rPr>
        <w:t>＜</w:t>
      </w:r>
      <w:r w:rsidRPr="00E416DD">
        <w:rPr>
          <w:rFonts w:ascii="Times New Roman" w:eastAsiaTheme="minorEastAsia" w:hAnsi="Times New Roman" w:cs="Times New Roman"/>
          <w:kern w:val="2"/>
          <w:sz w:val="21"/>
          <w:lang w:eastAsia="zh-CN"/>
        </w:rPr>
        <w:t xml:space="preserve">0.0001) and Sex (female, n = 203; male, n = 319; P = 0.9313). (B) The Kaplan-Meier survival curves showed the prognostic value of the risk signature in IDH Wildtype, </w:t>
      </w:r>
      <w:proofErr w:type="gramStart"/>
      <w:r w:rsidRPr="00E416DD">
        <w:rPr>
          <w:rFonts w:ascii="Times New Roman" w:eastAsiaTheme="minorEastAsia" w:hAnsi="Times New Roman" w:cs="Times New Roman"/>
          <w:kern w:val="2"/>
          <w:sz w:val="21"/>
          <w:lang w:eastAsia="zh-CN"/>
        </w:rPr>
        <w:t>NON G</w:t>
      </w:r>
      <w:proofErr w:type="gramEnd"/>
      <w:r w:rsidRPr="00E416DD">
        <w:rPr>
          <w:rFonts w:ascii="Times New Roman" w:eastAsiaTheme="minorEastAsia" w:hAnsi="Times New Roman" w:cs="Times New Roman"/>
          <w:kern w:val="2"/>
          <w:sz w:val="21"/>
          <w:lang w:eastAsia="zh-CN"/>
        </w:rPr>
        <w:t>-CIMP status, methylated MGMT promoter, unmethylated MGMT promoter, PN, CL and MES subtype group in median or quartile group cutoff.</w:t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lastRenderedPageBreak/>
        <w:drawing>
          <wp:inline distT="0" distB="0" distL="0" distR="0" wp14:anchorId="1B3ECE61" wp14:editId="53802B97">
            <wp:extent cx="5274310" cy="6950710"/>
            <wp:effectExtent l="0" t="0" r="2540" b="254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5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</w:pPr>
      <w:bookmarkStart w:id="1" w:name="_Hlk42537420"/>
      <w:r w:rsidRPr="00E416DD">
        <w:rPr>
          <w:rFonts w:ascii="Times New Roman" w:eastAsiaTheme="minorEastAsia" w:hAnsi="Times New Roman" w:cs="Times New Roman" w:hint="eastAsia"/>
          <w:b/>
          <w:bCs/>
          <w:kern w:val="2"/>
          <w:szCs w:val="28"/>
          <w:lang w:eastAsia="zh-CN"/>
        </w:rPr>
        <w:t>F</w:t>
      </w:r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>ig.8 The gene IGV plots of 8 m</w:t>
      </w:r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vertAlign w:val="superscript"/>
          <w:lang w:eastAsia="zh-CN"/>
        </w:rPr>
        <w:t>6</w:t>
      </w:r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>A-regulated genes in the m</w:t>
      </w:r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vertAlign w:val="superscript"/>
          <w:lang w:eastAsia="zh-CN"/>
        </w:rPr>
        <w:t>6</w:t>
      </w:r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>A -seq.</w:t>
      </w:r>
    </w:p>
    <w:p w:rsidR="005C57F8" w:rsidRPr="00E416DD" w:rsidRDefault="005C57F8" w:rsidP="005C57F8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lastRenderedPageBreak/>
        <w:drawing>
          <wp:inline distT="0" distB="0" distL="0" distR="0" wp14:anchorId="77151D37" wp14:editId="000EAD43">
            <wp:extent cx="5274310" cy="6590665"/>
            <wp:effectExtent l="0" t="0" r="0" b="635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bookmarkStart w:id="2" w:name="_Hlk42537387"/>
      <w:r w:rsidRPr="00E416DD">
        <w:rPr>
          <w:rFonts w:ascii="Times New Roman" w:eastAsiaTheme="minorEastAsia" w:hAnsi="Times New Roman" w:cs="Times New Roman" w:hint="eastAsia"/>
          <w:b/>
          <w:bCs/>
          <w:kern w:val="2"/>
          <w:szCs w:val="28"/>
          <w:lang w:eastAsia="zh-CN"/>
        </w:rPr>
        <w:t>F</w:t>
      </w:r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>ig. 9 Genes expression between the signature risk scores and clinical features.</w:t>
      </w:r>
      <w:bookmarkEnd w:id="2"/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 xml:space="preserve"> </w:t>
      </w:r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(A) The heatmap showed the associations between gene expression and the risk score in TCGA GBM microarray dataset and CGGA RNA-seq dataset. (B) and the clinical characteristics (age, gender, molecular subtypes and CIMP status) in the </w:t>
      </w:r>
      <w:proofErr w:type="spellStart"/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>LeeY</w:t>
      </w:r>
      <w:proofErr w:type="spellEnd"/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and </w:t>
      </w:r>
      <w:proofErr w:type="spellStart"/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>Gravendeel</w:t>
      </w:r>
      <w:proofErr w:type="spellEnd"/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microarray dataset.</w:t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</w:pPr>
    </w:p>
    <w:bookmarkEnd w:id="1"/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lastRenderedPageBreak/>
        <w:drawing>
          <wp:inline distT="0" distB="0" distL="0" distR="0" wp14:anchorId="4E199491" wp14:editId="4665657B">
            <wp:extent cx="5274310" cy="5923280"/>
            <wp:effectExtent l="0" t="0" r="254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bookmarkStart w:id="3" w:name="_Hlk42537435"/>
      <w:r w:rsidRPr="00E416DD">
        <w:rPr>
          <w:rFonts w:ascii="Times New Roman" w:eastAsiaTheme="minorEastAsia" w:hAnsi="Times New Roman" w:cs="Times New Roman" w:hint="eastAsia"/>
          <w:b/>
          <w:bCs/>
          <w:kern w:val="2"/>
          <w:szCs w:val="28"/>
          <w:lang w:eastAsia="zh-CN"/>
        </w:rPr>
        <w:t>F</w:t>
      </w:r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 xml:space="preserve">ig.10 The Kaplan–Meier analysis indicated that </w:t>
      </w:r>
      <w:proofErr w:type="gramStart"/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>all of</w:t>
      </w:r>
      <w:proofErr w:type="gramEnd"/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 xml:space="preserve"> the 8 genes can be an independent adverse prognostic factor in GBM.</w:t>
      </w:r>
      <w:bookmarkEnd w:id="3"/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 xml:space="preserve"> </w:t>
      </w:r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>A Kaplan–Meier survival curves for the 8 m</w:t>
      </w:r>
      <w:r w:rsidRPr="00E416DD">
        <w:rPr>
          <w:rFonts w:ascii="Times New Roman" w:eastAsiaTheme="minorEastAsia" w:hAnsi="Times New Roman" w:cs="Times New Roman"/>
          <w:kern w:val="2"/>
          <w:szCs w:val="28"/>
          <w:vertAlign w:val="superscript"/>
          <w:lang w:eastAsia="zh-CN"/>
        </w:rPr>
        <w:t>6</w:t>
      </w:r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A-related genes of GBM in (A) CGGA GBM samples and (B) </w:t>
      </w:r>
      <w:proofErr w:type="spellStart"/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>LeeY</w:t>
      </w:r>
      <w:proofErr w:type="spellEnd"/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GBM dataset.</w:t>
      </w:r>
    </w:p>
    <w:p w:rsidR="005C57F8" w:rsidRPr="00E416DD" w:rsidRDefault="005C57F8" w:rsidP="005C57F8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lastRenderedPageBreak/>
        <w:drawing>
          <wp:inline distT="0" distB="0" distL="0" distR="0" wp14:anchorId="3AF2E8E4" wp14:editId="13DD3811">
            <wp:extent cx="5274310" cy="5964555"/>
            <wp:effectExtent l="0" t="0" r="254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6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bookmarkStart w:id="4" w:name="_Hlk42537451"/>
      <w:r w:rsidRPr="00E416DD">
        <w:rPr>
          <w:rFonts w:ascii="Times New Roman" w:eastAsiaTheme="minorEastAsia" w:hAnsi="Times New Roman" w:cs="Times New Roman" w:hint="eastAsia"/>
          <w:b/>
          <w:bCs/>
          <w:kern w:val="2"/>
          <w:szCs w:val="28"/>
          <w:lang w:eastAsia="zh-CN"/>
        </w:rPr>
        <w:t>F</w:t>
      </w:r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 xml:space="preserve">ig.11 Functional analysis of the </w:t>
      </w:r>
      <w:proofErr w:type="spellStart"/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>the</w:t>
      </w:r>
      <w:proofErr w:type="spellEnd"/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 xml:space="preserve"> 8‑gene m</w:t>
      </w:r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vertAlign w:val="superscript"/>
          <w:lang w:eastAsia="zh-CN"/>
        </w:rPr>
        <w:t>6</w:t>
      </w:r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>A-related epigenetic risk signature.</w:t>
      </w:r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</w:t>
      </w:r>
      <w:bookmarkEnd w:id="4"/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(A, B) MA plots and Volcano plots displaying the diff-regulated genes in high risk group and low risk group (fold change≥1.2 and FDR≤0.05). The </w:t>
      </w:r>
      <w:proofErr w:type="spellStart"/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>MSigDb</w:t>
      </w:r>
      <w:proofErr w:type="spellEnd"/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Hallmark (C) and KEGG (D) pathway analysis of the up-regulated genes. (E) GSEA revealed that genes with high risk score group were enriched for pathways of malignant tumors.</w:t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br w:type="page"/>
      </w:r>
    </w:p>
    <w:p w:rsidR="005C57F8" w:rsidRPr="00E416DD" w:rsidRDefault="005C57F8" w:rsidP="005C57F8">
      <w:pPr>
        <w:spacing w:after="0" w:line="240" w:lineRule="auto"/>
        <w:jc w:val="center"/>
        <w:rPr>
          <w:rFonts w:ascii="TimesNewRomanPS-BoldMT" w:eastAsiaTheme="minorEastAsia" w:hAnsi="TimesNewRomanPS-BoldMT" w:hint="eastAsia"/>
          <w:b/>
          <w:bCs/>
          <w:color w:val="000000"/>
          <w:kern w:val="2"/>
          <w:sz w:val="32"/>
          <w:szCs w:val="32"/>
          <w:lang w:eastAsia="zh-CN"/>
        </w:rPr>
      </w:pPr>
      <w:r w:rsidRPr="00E416DD">
        <w:rPr>
          <w:rFonts w:ascii="TimesNewRomanPS-BoldMT" w:eastAsiaTheme="minorEastAsia" w:hAnsi="TimesNewRomanPS-BoldMT"/>
          <w:b/>
          <w:bCs/>
          <w:color w:val="000000"/>
          <w:kern w:val="2"/>
          <w:sz w:val="32"/>
          <w:szCs w:val="32"/>
          <w:lang w:eastAsia="zh-CN"/>
        </w:rPr>
        <w:lastRenderedPageBreak/>
        <w:t>Supplementary Tables</w:t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>Table1</w:t>
      </w:r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>. List of 8 genes that exhibit a signif</w:t>
      </w:r>
      <w:r w:rsidRPr="00E416DD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>i</w:t>
      </w:r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>cant change in both m</w:t>
      </w:r>
      <w:r w:rsidRPr="00E416DD">
        <w:rPr>
          <w:rFonts w:ascii="Times New Roman" w:eastAsiaTheme="minorEastAsia" w:hAnsi="Times New Roman" w:cs="Times New Roman"/>
          <w:kern w:val="2"/>
          <w:szCs w:val="28"/>
          <w:vertAlign w:val="superscript"/>
          <w:lang w:eastAsia="zh-CN"/>
        </w:rPr>
        <w:t>6</w:t>
      </w:r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>A level and mRNA transcript abundance in GBM carcinoma samples compared with normal brain controls.</w:t>
      </w:r>
    </w:p>
    <w:p w:rsidR="005C57F8" w:rsidRPr="00E416DD" w:rsidRDefault="005C57F8" w:rsidP="005C57F8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drawing>
          <wp:inline distT="0" distB="0" distL="0" distR="0" wp14:anchorId="28BC915C" wp14:editId="65213E34">
            <wp:extent cx="5274310" cy="2278380"/>
            <wp:effectExtent l="0" t="0" r="2540" b="762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NewRomanPS-BoldMT" w:eastAsiaTheme="minorEastAsia" w:hAnsi="TimesNewRomanPS-BoldMT" w:hint="eastAsia"/>
          <w:b/>
          <w:bCs/>
          <w:color w:val="000000"/>
          <w:kern w:val="2"/>
          <w:szCs w:val="24"/>
          <w:lang w:eastAsia="zh-CN"/>
        </w:rPr>
      </w:pPr>
    </w:p>
    <w:p w:rsidR="005C57F8" w:rsidRPr="00E416DD" w:rsidRDefault="005C57F8" w:rsidP="005C57F8">
      <w:pPr>
        <w:spacing w:after="0" w:line="240" w:lineRule="auto"/>
        <w:jc w:val="both"/>
        <w:rPr>
          <w:rFonts w:ascii="TimesNewRomanPS-BoldMT" w:eastAsiaTheme="minorEastAsia" w:hAnsi="TimesNewRomanPS-BoldMT" w:hint="eastAsia"/>
          <w:b/>
          <w:bCs/>
          <w:color w:val="000000"/>
          <w:kern w:val="2"/>
          <w:szCs w:val="24"/>
          <w:lang w:eastAsia="zh-CN"/>
        </w:rPr>
      </w:pPr>
      <w:r w:rsidRPr="00E416DD">
        <w:rPr>
          <w:rFonts w:ascii="TimesNewRomanPS-BoldMT" w:eastAsiaTheme="minorEastAsia" w:hAnsi="TimesNewRomanPS-BoldMT"/>
          <w:b/>
          <w:bCs/>
          <w:color w:val="000000"/>
          <w:kern w:val="2"/>
          <w:szCs w:val="24"/>
          <w:lang w:eastAsia="zh-CN"/>
        </w:rPr>
        <w:t xml:space="preserve">Table2. </w:t>
      </w:r>
      <w:proofErr w:type="spellStart"/>
      <w:r w:rsidRPr="00E416DD">
        <w:rPr>
          <w:rFonts w:ascii="TimesNewRomanPS-BoldMT" w:eastAsiaTheme="minorEastAsia" w:hAnsi="TimesNewRomanPS-BoldMT"/>
          <w:color w:val="000000"/>
          <w:kern w:val="2"/>
          <w:szCs w:val="24"/>
          <w:lang w:eastAsia="zh-CN"/>
        </w:rPr>
        <w:t>Clinico</w:t>
      </w:r>
      <w:r w:rsidRPr="00E416DD">
        <w:rPr>
          <w:rFonts w:ascii="TimesNewRomanPS-BoldMT" w:eastAsiaTheme="minorEastAsia" w:hAnsi="TimesNewRomanPS-BoldMT" w:hint="eastAsia"/>
          <w:color w:val="000000"/>
          <w:kern w:val="2"/>
          <w:szCs w:val="24"/>
          <w:lang w:eastAsia="zh-CN"/>
        </w:rPr>
        <w:t>-</w:t>
      </w:r>
      <w:r w:rsidRPr="00E416DD">
        <w:rPr>
          <w:rFonts w:ascii="TimesNewRomanPS-BoldMT" w:eastAsiaTheme="minorEastAsia" w:hAnsi="TimesNewRomanPS-BoldMT"/>
          <w:color w:val="000000"/>
          <w:kern w:val="2"/>
          <w:szCs w:val="24"/>
          <w:lang w:eastAsia="zh-CN"/>
        </w:rPr>
        <w:t>patholgical</w:t>
      </w:r>
      <w:proofErr w:type="spellEnd"/>
      <w:r w:rsidRPr="00E416DD">
        <w:rPr>
          <w:rFonts w:ascii="TimesNewRomanPS-BoldMT" w:eastAsiaTheme="minorEastAsia" w:hAnsi="TimesNewRomanPS-BoldMT"/>
          <w:color w:val="000000"/>
          <w:kern w:val="2"/>
          <w:szCs w:val="24"/>
          <w:lang w:eastAsia="zh-CN"/>
        </w:rPr>
        <w:t xml:space="preserve"> characteristics of the validation patient cohorts</w:t>
      </w:r>
    </w:p>
    <w:p w:rsidR="005C57F8" w:rsidRPr="00E416DD" w:rsidRDefault="005C57F8" w:rsidP="005C57F8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drawing>
          <wp:inline distT="0" distB="0" distL="0" distR="0" wp14:anchorId="475C2B2E" wp14:editId="35F158D5">
            <wp:extent cx="5274310" cy="37731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</w:p>
    <w:p w:rsidR="005C57F8" w:rsidRPr="00E416DD" w:rsidRDefault="005C57F8" w:rsidP="005C57F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bookmarkStart w:id="5" w:name="_Hlk63433936"/>
      <w:bookmarkStart w:id="6" w:name="_Hlk42537537"/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>Table3</w:t>
      </w:r>
      <w:bookmarkEnd w:id="5"/>
      <w:r w:rsidRPr="00E416DD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 xml:space="preserve">. </w:t>
      </w:r>
      <w:r w:rsidRPr="00E416DD">
        <w:rPr>
          <w:rFonts w:ascii="Times New Roman" w:eastAsiaTheme="minorEastAsia" w:hAnsi="Times New Roman" w:cs="Times New Roman"/>
          <w:kern w:val="2"/>
          <w:szCs w:val="28"/>
          <w:lang w:eastAsia="zh-CN"/>
        </w:rPr>
        <w:t>The 334 GBM patients in the TCGA HG-UG133A platform with detailed clinical information</w:t>
      </w:r>
    </w:p>
    <w:bookmarkEnd w:id="6"/>
    <w:p w:rsidR="005C57F8" w:rsidRPr="00E416DD" w:rsidRDefault="005C57F8" w:rsidP="005C57F8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E416DD">
        <w:rPr>
          <w:rFonts w:eastAsiaTheme="minorEastAsia"/>
          <w:noProof/>
          <w:kern w:val="2"/>
          <w:sz w:val="21"/>
          <w:lang w:eastAsia="zh-CN"/>
        </w:rPr>
        <w:lastRenderedPageBreak/>
        <w:drawing>
          <wp:inline distT="0" distB="0" distL="0" distR="0" wp14:anchorId="06E9A40C" wp14:editId="4C470A78">
            <wp:extent cx="5274310" cy="3084195"/>
            <wp:effectExtent l="0" t="0" r="254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3A0" w:rsidRDefault="005C57F8">
      <w:bookmarkStart w:id="7" w:name="_GoBack"/>
      <w:bookmarkEnd w:id="7"/>
    </w:p>
    <w:sectPr w:rsidR="002D5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F8"/>
    <w:rsid w:val="005C57F8"/>
    <w:rsid w:val="008211E6"/>
    <w:rsid w:val="00CA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820BDC-1F1E-48FF-8053-931C8A25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7F8"/>
    <w:pPr>
      <w:spacing w:after="160" w:line="259" w:lineRule="auto"/>
    </w:pPr>
    <w:rPr>
      <w:rFonts w:eastAsia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2021-02-09T05:23:00Z</dcterms:created>
  <dcterms:modified xsi:type="dcterms:W3CDTF">2021-02-09T05:24:00Z</dcterms:modified>
</cp:coreProperties>
</file>