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B7ED1D" w14:textId="77777777" w:rsidR="000B2FF0" w:rsidRDefault="000B2FF0" w:rsidP="000B2FF0">
      <w:pPr>
        <w:widowControl w:val="0"/>
        <w:autoSpaceDE w:val="0"/>
        <w:autoSpaceDN w:val="0"/>
        <w:adjustRightInd w:val="0"/>
        <w:spacing w:line="480" w:lineRule="auto"/>
        <w:rPr>
          <w:rFonts w:asciiTheme="majorBidi" w:hAnsiTheme="majorBidi" w:cstheme="majorBidi"/>
        </w:rPr>
      </w:pPr>
    </w:p>
    <w:p w14:paraId="5E1054D1" w14:textId="77777777" w:rsidR="000B2FF0" w:rsidRDefault="000B2FF0" w:rsidP="000B2FF0">
      <w:pPr>
        <w:pStyle w:val="Caption"/>
        <w:widowControl w:val="0"/>
        <w:suppressLineNumbers w:val="0"/>
        <w:spacing w:before="20" w:after="0" w:line="480" w:lineRule="auto"/>
        <w:rPr>
          <w:b/>
          <w:bCs/>
          <w:i w:val="0"/>
          <w:iCs w:val="0"/>
          <w:u w:val="single"/>
        </w:rPr>
      </w:pPr>
      <w:r>
        <w:rPr>
          <w:b/>
          <w:bCs/>
          <w:i w:val="0"/>
          <w:iCs w:val="0"/>
          <w:u w:val="single"/>
        </w:rPr>
        <w:t>Supplementary Tables and Supplementary Figure Captions</w:t>
      </w:r>
    </w:p>
    <w:p w14:paraId="3392AEB8" w14:textId="77777777" w:rsidR="000B2FF0" w:rsidRDefault="000B2FF0" w:rsidP="000B2FF0">
      <w:pPr>
        <w:widowControl w:val="0"/>
        <w:spacing w:before="20"/>
        <w:ind w:left="450" w:hanging="450"/>
        <w:rPr>
          <w:rFonts w:asciiTheme="majorBidi" w:hAnsiTheme="majorBidi" w:cstheme="majorBidi"/>
          <w:b/>
          <w:bCs/>
          <w:u w:val="single"/>
        </w:rPr>
      </w:pPr>
    </w:p>
    <w:tbl>
      <w:tblPr>
        <w:tblStyle w:val="TableGrid"/>
        <w:tblW w:w="0" w:type="auto"/>
        <w:tblInd w:w="450" w:type="dxa"/>
        <w:tblLook w:val="04A0" w:firstRow="1" w:lastRow="0" w:firstColumn="1" w:lastColumn="0" w:noHBand="0" w:noVBand="1"/>
      </w:tblPr>
      <w:tblGrid>
        <w:gridCol w:w="2971"/>
        <w:gridCol w:w="2981"/>
        <w:gridCol w:w="2948"/>
      </w:tblGrid>
      <w:tr w:rsidR="000B2FF0" w14:paraId="1D81E28D" w14:textId="77777777" w:rsidTr="002E340E">
        <w:tc>
          <w:tcPr>
            <w:tcW w:w="3116" w:type="dxa"/>
          </w:tcPr>
          <w:p w14:paraId="1D4585B0" w14:textId="77777777" w:rsidR="000B2FF0" w:rsidRPr="000C54CE" w:rsidRDefault="000B2FF0" w:rsidP="002E340E">
            <w:pPr>
              <w:widowControl w:val="0"/>
              <w:spacing w:before="20"/>
              <w:jc w:val="center"/>
              <w:rPr>
                <w:rFonts w:asciiTheme="majorBidi" w:hAnsiTheme="majorBidi" w:cstheme="majorBidi"/>
                <w:b/>
                <w:bCs/>
              </w:rPr>
            </w:pPr>
            <w:r w:rsidRPr="000C54CE">
              <w:rPr>
                <w:rFonts w:asciiTheme="majorBidi" w:hAnsiTheme="majorBidi" w:cstheme="majorBidi"/>
                <w:b/>
                <w:bCs/>
              </w:rPr>
              <w:t xml:space="preserve">Lettered </w:t>
            </w:r>
            <w:proofErr w:type="spellStart"/>
            <w:r>
              <w:rPr>
                <w:rFonts w:asciiTheme="majorBidi" w:hAnsiTheme="majorBidi" w:cstheme="majorBidi"/>
                <w:b/>
                <w:bCs/>
              </w:rPr>
              <w:t>PhageDB</w:t>
            </w:r>
            <w:proofErr w:type="spellEnd"/>
            <w:r>
              <w:rPr>
                <w:rFonts w:asciiTheme="majorBidi" w:hAnsiTheme="majorBidi" w:cstheme="majorBidi"/>
                <w:b/>
                <w:bCs/>
              </w:rPr>
              <w:t xml:space="preserve"> </w:t>
            </w:r>
            <w:r w:rsidRPr="000C54CE">
              <w:rPr>
                <w:rFonts w:asciiTheme="majorBidi" w:hAnsiTheme="majorBidi" w:cstheme="majorBidi"/>
                <w:b/>
                <w:bCs/>
              </w:rPr>
              <w:t>Cluster</w:t>
            </w:r>
          </w:p>
        </w:tc>
        <w:tc>
          <w:tcPr>
            <w:tcW w:w="3117" w:type="dxa"/>
          </w:tcPr>
          <w:p w14:paraId="0F26774C" w14:textId="77777777" w:rsidR="000B2FF0" w:rsidRPr="000C54CE" w:rsidRDefault="000B2FF0" w:rsidP="002E340E">
            <w:pPr>
              <w:widowControl w:val="0"/>
              <w:spacing w:before="20"/>
              <w:jc w:val="center"/>
              <w:rPr>
                <w:rFonts w:asciiTheme="majorBidi" w:hAnsiTheme="majorBidi" w:cstheme="majorBidi"/>
                <w:b/>
                <w:bCs/>
              </w:rPr>
            </w:pPr>
            <w:r w:rsidRPr="000C54CE">
              <w:rPr>
                <w:rFonts w:asciiTheme="majorBidi" w:hAnsiTheme="majorBidi" w:cstheme="majorBidi"/>
                <w:b/>
                <w:bCs/>
              </w:rPr>
              <w:t>Number of Prophages</w:t>
            </w:r>
          </w:p>
        </w:tc>
        <w:tc>
          <w:tcPr>
            <w:tcW w:w="3117" w:type="dxa"/>
          </w:tcPr>
          <w:p w14:paraId="51BB6797" w14:textId="77777777" w:rsidR="000B2FF0" w:rsidRPr="000C54CE" w:rsidRDefault="000B2FF0" w:rsidP="002E340E">
            <w:pPr>
              <w:widowControl w:val="0"/>
              <w:spacing w:before="20"/>
              <w:jc w:val="center"/>
              <w:rPr>
                <w:rFonts w:asciiTheme="majorBidi" w:hAnsiTheme="majorBidi" w:cstheme="majorBidi"/>
                <w:b/>
                <w:bCs/>
              </w:rPr>
            </w:pPr>
            <w:r w:rsidRPr="000C54CE">
              <w:rPr>
                <w:rFonts w:asciiTheme="majorBidi" w:hAnsiTheme="majorBidi" w:cstheme="majorBidi"/>
                <w:b/>
                <w:bCs/>
              </w:rPr>
              <w:t>Shell Gene Count</w:t>
            </w:r>
          </w:p>
        </w:tc>
      </w:tr>
      <w:tr w:rsidR="000B2FF0" w14:paraId="23A81D86" w14:textId="77777777" w:rsidTr="002E340E">
        <w:tc>
          <w:tcPr>
            <w:tcW w:w="3116" w:type="dxa"/>
          </w:tcPr>
          <w:p w14:paraId="1ADCF4C5"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A</w:t>
            </w:r>
          </w:p>
        </w:tc>
        <w:tc>
          <w:tcPr>
            <w:tcW w:w="3117" w:type="dxa"/>
          </w:tcPr>
          <w:p w14:paraId="29A6F03A"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10</w:t>
            </w:r>
          </w:p>
        </w:tc>
        <w:tc>
          <w:tcPr>
            <w:tcW w:w="3117" w:type="dxa"/>
          </w:tcPr>
          <w:p w14:paraId="045A9F91"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29</w:t>
            </w:r>
          </w:p>
        </w:tc>
      </w:tr>
      <w:tr w:rsidR="000B2FF0" w14:paraId="002EB5DD" w14:textId="77777777" w:rsidTr="002E340E">
        <w:tc>
          <w:tcPr>
            <w:tcW w:w="3116" w:type="dxa"/>
          </w:tcPr>
          <w:p w14:paraId="038158BA"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B</w:t>
            </w:r>
          </w:p>
        </w:tc>
        <w:tc>
          <w:tcPr>
            <w:tcW w:w="3117" w:type="dxa"/>
          </w:tcPr>
          <w:p w14:paraId="14359025"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6</w:t>
            </w:r>
          </w:p>
        </w:tc>
        <w:tc>
          <w:tcPr>
            <w:tcW w:w="3117" w:type="dxa"/>
          </w:tcPr>
          <w:p w14:paraId="65E7943C"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82</w:t>
            </w:r>
          </w:p>
        </w:tc>
      </w:tr>
      <w:tr w:rsidR="000B2FF0" w14:paraId="26EE4E3E" w14:textId="77777777" w:rsidTr="002E340E">
        <w:tc>
          <w:tcPr>
            <w:tcW w:w="3116" w:type="dxa"/>
          </w:tcPr>
          <w:p w14:paraId="1B03A0A0"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F</w:t>
            </w:r>
          </w:p>
        </w:tc>
        <w:tc>
          <w:tcPr>
            <w:tcW w:w="3117" w:type="dxa"/>
          </w:tcPr>
          <w:p w14:paraId="7535DC96"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70</w:t>
            </w:r>
          </w:p>
        </w:tc>
        <w:tc>
          <w:tcPr>
            <w:tcW w:w="3117" w:type="dxa"/>
          </w:tcPr>
          <w:p w14:paraId="2E5C5324"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76</w:t>
            </w:r>
          </w:p>
        </w:tc>
      </w:tr>
      <w:tr w:rsidR="000B2FF0" w14:paraId="604D37F3" w14:textId="77777777" w:rsidTr="002E340E">
        <w:tc>
          <w:tcPr>
            <w:tcW w:w="3116" w:type="dxa"/>
          </w:tcPr>
          <w:p w14:paraId="1F3C62EA"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J</w:t>
            </w:r>
          </w:p>
        </w:tc>
        <w:tc>
          <w:tcPr>
            <w:tcW w:w="3117" w:type="dxa"/>
          </w:tcPr>
          <w:p w14:paraId="6AAB5BEF"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7</w:t>
            </w:r>
          </w:p>
        </w:tc>
        <w:tc>
          <w:tcPr>
            <w:tcW w:w="3117" w:type="dxa"/>
          </w:tcPr>
          <w:p w14:paraId="4AF2D11E"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70</w:t>
            </w:r>
          </w:p>
        </w:tc>
      </w:tr>
      <w:tr w:rsidR="000B2FF0" w14:paraId="60FE7D1A" w14:textId="77777777" w:rsidTr="002E340E">
        <w:tc>
          <w:tcPr>
            <w:tcW w:w="3116" w:type="dxa"/>
          </w:tcPr>
          <w:p w14:paraId="0D684D22"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N</w:t>
            </w:r>
          </w:p>
        </w:tc>
        <w:tc>
          <w:tcPr>
            <w:tcW w:w="3117" w:type="dxa"/>
          </w:tcPr>
          <w:p w14:paraId="7563BB62"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7</w:t>
            </w:r>
          </w:p>
        </w:tc>
        <w:tc>
          <w:tcPr>
            <w:tcW w:w="3117" w:type="dxa"/>
          </w:tcPr>
          <w:p w14:paraId="0E189AFC"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43</w:t>
            </w:r>
          </w:p>
        </w:tc>
      </w:tr>
      <w:tr w:rsidR="000B2FF0" w14:paraId="506AED7D" w14:textId="77777777" w:rsidTr="002E340E">
        <w:tc>
          <w:tcPr>
            <w:tcW w:w="3116" w:type="dxa"/>
          </w:tcPr>
          <w:p w14:paraId="1E123A32"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No Cluster</w:t>
            </w:r>
          </w:p>
        </w:tc>
        <w:tc>
          <w:tcPr>
            <w:tcW w:w="3117" w:type="dxa"/>
          </w:tcPr>
          <w:p w14:paraId="3C4F4B48"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85</w:t>
            </w:r>
          </w:p>
        </w:tc>
        <w:tc>
          <w:tcPr>
            <w:tcW w:w="3117" w:type="dxa"/>
          </w:tcPr>
          <w:p w14:paraId="4907EF0F"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56</w:t>
            </w:r>
          </w:p>
        </w:tc>
      </w:tr>
      <w:tr w:rsidR="000B2FF0" w14:paraId="54FE7304" w14:textId="77777777" w:rsidTr="002E340E">
        <w:tc>
          <w:tcPr>
            <w:tcW w:w="3116" w:type="dxa"/>
          </w:tcPr>
          <w:p w14:paraId="3125A27D"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Z</w:t>
            </w:r>
          </w:p>
        </w:tc>
        <w:tc>
          <w:tcPr>
            <w:tcW w:w="3117" w:type="dxa"/>
          </w:tcPr>
          <w:p w14:paraId="0BD7533B" w14:textId="77777777" w:rsidR="000B2FF0" w:rsidRDefault="000B2FF0" w:rsidP="002E340E">
            <w:pPr>
              <w:widowControl w:val="0"/>
              <w:spacing w:before="20"/>
              <w:jc w:val="center"/>
              <w:rPr>
                <w:rFonts w:asciiTheme="majorBidi" w:hAnsiTheme="majorBidi" w:cstheme="majorBidi"/>
              </w:rPr>
            </w:pPr>
            <w:r>
              <w:rPr>
                <w:rFonts w:asciiTheme="majorBidi" w:hAnsiTheme="majorBidi" w:cstheme="majorBidi"/>
              </w:rPr>
              <w:t>5</w:t>
            </w:r>
          </w:p>
        </w:tc>
        <w:tc>
          <w:tcPr>
            <w:tcW w:w="3117" w:type="dxa"/>
          </w:tcPr>
          <w:p w14:paraId="5EA0AC4A" w14:textId="77777777" w:rsidR="000B2FF0" w:rsidRDefault="000B2FF0" w:rsidP="002E340E">
            <w:pPr>
              <w:keepNext/>
              <w:widowControl w:val="0"/>
              <w:spacing w:before="20"/>
              <w:jc w:val="center"/>
              <w:rPr>
                <w:rFonts w:asciiTheme="majorBidi" w:hAnsiTheme="majorBidi" w:cstheme="majorBidi"/>
              </w:rPr>
            </w:pPr>
            <w:r>
              <w:rPr>
                <w:rFonts w:asciiTheme="majorBidi" w:hAnsiTheme="majorBidi" w:cstheme="majorBidi"/>
              </w:rPr>
              <w:t>101</w:t>
            </w:r>
          </w:p>
        </w:tc>
      </w:tr>
    </w:tbl>
    <w:p w14:paraId="408F3C04" w14:textId="77777777" w:rsidR="000B2FF0" w:rsidRDefault="000B2FF0" w:rsidP="000B2FF0">
      <w:pPr>
        <w:pStyle w:val="Caption"/>
        <w:rPr>
          <w:i w:val="0"/>
          <w:iCs w:val="0"/>
        </w:rPr>
      </w:pPr>
      <w:r w:rsidRPr="000C54CE">
        <w:rPr>
          <w:b/>
          <w:bCs/>
          <w:i w:val="0"/>
          <w:iCs w:val="0"/>
        </w:rPr>
        <w:t xml:space="preserve">Supplementary Table </w:t>
      </w:r>
      <w:r w:rsidRPr="000C54CE">
        <w:rPr>
          <w:b/>
          <w:bCs/>
          <w:i w:val="0"/>
          <w:iCs w:val="0"/>
        </w:rPr>
        <w:fldChar w:fldCharType="begin"/>
      </w:r>
      <w:r w:rsidRPr="000C54CE">
        <w:rPr>
          <w:b/>
          <w:bCs/>
          <w:i w:val="0"/>
          <w:iCs w:val="0"/>
        </w:rPr>
        <w:instrText xml:space="preserve"> SEQ Supplementary_Table \* ARABIC </w:instrText>
      </w:r>
      <w:r w:rsidRPr="000C54CE">
        <w:rPr>
          <w:b/>
          <w:bCs/>
          <w:i w:val="0"/>
          <w:iCs w:val="0"/>
        </w:rPr>
        <w:fldChar w:fldCharType="separate"/>
      </w:r>
      <w:r w:rsidRPr="000C54CE">
        <w:rPr>
          <w:b/>
          <w:bCs/>
          <w:i w:val="0"/>
          <w:iCs w:val="0"/>
          <w:noProof/>
        </w:rPr>
        <w:t>1</w:t>
      </w:r>
      <w:r w:rsidRPr="000C54CE">
        <w:rPr>
          <w:b/>
          <w:bCs/>
          <w:i w:val="0"/>
          <w:iCs w:val="0"/>
        </w:rPr>
        <w:fldChar w:fldCharType="end"/>
      </w:r>
      <w:r w:rsidRPr="000C54CE">
        <w:rPr>
          <w:b/>
          <w:bCs/>
          <w:i w:val="0"/>
          <w:iCs w:val="0"/>
        </w:rPr>
        <w:t>:</w:t>
      </w:r>
      <w:r>
        <w:rPr>
          <w:b/>
          <w:bCs/>
          <w:i w:val="0"/>
          <w:iCs w:val="0"/>
        </w:rPr>
        <w:t xml:space="preserve"> </w:t>
      </w:r>
      <w:r>
        <w:rPr>
          <w:i w:val="0"/>
          <w:iCs w:val="0"/>
        </w:rPr>
        <w:t xml:space="preserve">Abundance of shell genes in prophages calculated from pangenome analysis using </w:t>
      </w:r>
      <w:proofErr w:type="spellStart"/>
      <w:r>
        <w:rPr>
          <w:i w:val="0"/>
          <w:iCs w:val="0"/>
        </w:rPr>
        <w:t>Roary</w:t>
      </w:r>
      <w:proofErr w:type="spellEnd"/>
      <w:r>
        <w:rPr>
          <w:i w:val="0"/>
          <w:iCs w:val="0"/>
        </w:rPr>
        <w:t xml:space="preserve">. Shell genes are defined as genes present in 15% to 95% of genomes in a cluster. This analysis of prophages assigned to lettered clusters was only applied to clusters with 5 or more prophages. </w:t>
      </w:r>
    </w:p>
    <w:p w14:paraId="51FE3DF1" w14:textId="77777777" w:rsidR="000B2FF0" w:rsidRDefault="000B2FF0" w:rsidP="000B2FF0">
      <w:pPr>
        <w:widowControl w:val="0"/>
        <w:spacing w:before="20"/>
        <w:ind w:left="450" w:hanging="450"/>
        <w:rPr>
          <w:rFonts w:asciiTheme="majorBidi" w:hAnsiTheme="majorBidi" w:cstheme="majorBidi"/>
          <w:b/>
          <w:bCs/>
          <w:u w:val="single"/>
        </w:rPr>
      </w:pPr>
    </w:p>
    <w:p w14:paraId="219B343F" w14:textId="77777777" w:rsidR="000B2FF0" w:rsidRDefault="000B2FF0" w:rsidP="000B2FF0">
      <w:pPr>
        <w:widowControl w:val="0"/>
        <w:spacing w:before="20"/>
        <w:rPr>
          <w:rFonts w:asciiTheme="majorBidi" w:hAnsiTheme="majorBidi" w:cstheme="majorBidi"/>
        </w:rPr>
      </w:pPr>
      <w:r w:rsidRPr="000D08D4">
        <w:rPr>
          <w:rFonts w:asciiTheme="majorBidi" w:hAnsiTheme="majorBidi" w:cstheme="majorBidi"/>
          <w:b/>
          <w:bCs/>
        </w:rPr>
        <w:t xml:space="preserve">Supplementary Figure </w:t>
      </w:r>
      <w:r>
        <w:rPr>
          <w:rFonts w:asciiTheme="majorBidi" w:hAnsiTheme="majorBidi" w:cstheme="majorBidi"/>
          <w:b/>
          <w:bCs/>
        </w:rPr>
        <w:t>1</w:t>
      </w:r>
      <w:r w:rsidRPr="000D08D4">
        <w:rPr>
          <w:rFonts w:asciiTheme="majorBidi" w:hAnsiTheme="majorBidi" w:cstheme="majorBidi"/>
          <w:b/>
          <w:bCs/>
        </w:rPr>
        <w:t>:</w:t>
      </w:r>
      <w:r>
        <w:rPr>
          <w:rFonts w:asciiTheme="majorBidi" w:hAnsiTheme="majorBidi" w:cstheme="majorBidi"/>
          <w:b/>
          <w:bCs/>
        </w:rPr>
        <w:t xml:space="preserve"> </w:t>
      </w:r>
      <w:r>
        <w:rPr>
          <w:rFonts w:asciiTheme="majorBidi" w:hAnsiTheme="majorBidi" w:cstheme="majorBidi"/>
        </w:rPr>
        <w:t xml:space="preserve">Boxplots detailing prophage length distributions colored by growth rate. The interquartile range of prophage length from all species is 27,815 to 50,923 base pairs. A Kruskal-Wallis test of prophage lengths by growth rate failed to reject the null hypothesis suggesting no difference in the size of integrated prophages by growth rate (H=0.692, </w:t>
      </w:r>
      <w:r>
        <w:rPr>
          <w:rFonts w:asciiTheme="majorBidi" w:hAnsiTheme="majorBidi" w:cstheme="majorBidi"/>
          <w:i/>
          <w:iCs/>
        </w:rPr>
        <w:t>p=</w:t>
      </w:r>
      <w:r>
        <w:rPr>
          <w:rFonts w:asciiTheme="majorBidi" w:hAnsiTheme="majorBidi" w:cstheme="majorBidi"/>
        </w:rPr>
        <w:t xml:space="preserve">0.406). </w:t>
      </w:r>
    </w:p>
    <w:p w14:paraId="5A302BBA" w14:textId="77777777" w:rsidR="000B2FF0" w:rsidRDefault="000B2FF0" w:rsidP="000B2FF0">
      <w:pPr>
        <w:widowControl w:val="0"/>
        <w:spacing w:before="20"/>
        <w:ind w:left="450" w:hanging="450"/>
        <w:rPr>
          <w:rFonts w:asciiTheme="majorBidi" w:hAnsiTheme="majorBidi" w:cstheme="majorBidi"/>
          <w:b/>
          <w:bCs/>
        </w:rPr>
      </w:pPr>
    </w:p>
    <w:p w14:paraId="050A6C6B" w14:textId="77777777" w:rsidR="000B2FF0" w:rsidRPr="00700684" w:rsidRDefault="000B2FF0" w:rsidP="000B2FF0">
      <w:pPr>
        <w:widowControl w:val="0"/>
        <w:spacing w:before="20"/>
        <w:ind w:left="450" w:hanging="450"/>
        <w:rPr>
          <w:rFonts w:asciiTheme="majorBidi" w:hAnsiTheme="majorBidi" w:cstheme="majorBidi"/>
        </w:rPr>
      </w:pPr>
      <w:r>
        <w:rPr>
          <w:rFonts w:asciiTheme="majorBidi" w:hAnsiTheme="majorBidi" w:cstheme="majorBidi"/>
          <w:b/>
          <w:bCs/>
        </w:rPr>
        <w:t xml:space="preserve">Supplementary Figure 2: </w:t>
      </w:r>
      <w:r w:rsidRPr="00700684">
        <w:rPr>
          <w:rFonts w:asciiTheme="majorBidi" w:hAnsiTheme="majorBidi" w:cstheme="majorBidi"/>
        </w:rPr>
        <w:t>Bar plots showing the relative abundance of prophage presence</w:t>
      </w:r>
    </w:p>
    <w:p w14:paraId="7BEE0348" w14:textId="77777777" w:rsidR="000B2FF0" w:rsidRPr="00700684" w:rsidRDefault="000B2FF0" w:rsidP="000B2FF0">
      <w:pPr>
        <w:widowControl w:val="0"/>
        <w:spacing w:before="20"/>
        <w:rPr>
          <w:rFonts w:asciiTheme="majorBidi" w:hAnsiTheme="majorBidi" w:cstheme="majorBidi"/>
        </w:rPr>
      </w:pPr>
      <w:r w:rsidRPr="00700684">
        <w:rPr>
          <w:rFonts w:asciiTheme="majorBidi" w:hAnsiTheme="majorBidi" w:cstheme="majorBidi"/>
        </w:rPr>
        <w:t>in samples. The grey demarcation lines within each box separates rapidly growing mycobacteria on the left from slowly growing mycobacteria species on the right.</w:t>
      </w:r>
      <w:r>
        <w:rPr>
          <w:rFonts w:asciiTheme="majorBidi" w:hAnsiTheme="majorBidi" w:cstheme="majorBidi"/>
        </w:rPr>
        <w:t xml:space="preserve"> </w:t>
      </w:r>
      <w:r w:rsidRPr="00D85350">
        <w:rPr>
          <w:rFonts w:asciiTheme="majorBidi" w:hAnsiTheme="majorBidi" w:cstheme="majorBidi"/>
          <w:b/>
          <w:bCs/>
        </w:rPr>
        <w:t>A)</w:t>
      </w:r>
      <w:r w:rsidRPr="00B91535">
        <w:rPr>
          <w:rFonts w:asciiTheme="majorBidi" w:hAnsiTheme="majorBidi" w:cstheme="majorBidi"/>
          <w:i/>
          <w:iCs/>
        </w:rPr>
        <w:t xml:space="preserve"> </w:t>
      </w:r>
      <w:r>
        <w:rPr>
          <w:rFonts w:asciiTheme="majorBidi" w:hAnsiTheme="majorBidi" w:cstheme="majorBidi"/>
        </w:rPr>
        <w:t>The frequency of prophages by genome in complete NTM genomes. The presence of prophages is statistically significant by growth rate (</w:t>
      </w:r>
      <w:r w:rsidRPr="00B91535">
        <w:rPr>
          <w:rFonts w:asciiTheme="majorBidi" w:hAnsiTheme="majorBidi" w:cstheme="majorBidi"/>
          <w:highlight w:val="white"/>
        </w:rPr>
        <w:t xml:space="preserve">F = 9.80, </w:t>
      </w:r>
      <w:r w:rsidRPr="00B91535">
        <w:rPr>
          <w:rFonts w:asciiTheme="majorBidi" w:hAnsiTheme="majorBidi" w:cstheme="majorBidi"/>
          <w:i/>
          <w:highlight w:val="white"/>
        </w:rPr>
        <w:t>p</w:t>
      </w:r>
      <w:r w:rsidRPr="00B91535">
        <w:rPr>
          <w:rFonts w:asciiTheme="majorBidi" w:hAnsiTheme="majorBidi" w:cstheme="majorBidi"/>
          <w:highlight w:val="white"/>
        </w:rPr>
        <w:t> = 1.10e-22</w:t>
      </w:r>
      <w:r>
        <w:rPr>
          <w:rFonts w:asciiTheme="majorBidi" w:hAnsiTheme="majorBidi" w:cstheme="majorBidi"/>
          <w:highlight w:val="white"/>
        </w:rPr>
        <w:t xml:space="preserve">, </w:t>
      </w:r>
      <w:r w:rsidRPr="00B91535">
        <w:rPr>
          <w:rFonts w:asciiTheme="majorBidi" w:hAnsiTheme="majorBidi" w:cstheme="majorBidi"/>
        </w:rPr>
        <w:t>proportions z-test</w:t>
      </w:r>
      <w:r>
        <w:rPr>
          <w:rFonts w:asciiTheme="majorBidi" w:hAnsiTheme="majorBidi" w:cstheme="majorBidi"/>
        </w:rPr>
        <w:t xml:space="preserve">). </w:t>
      </w:r>
      <w:r w:rsidRPr="00D85350">
        <w:rPr>
          <w:rFonts w:asciiTheme="majorBidi" w:hAnsiTheme="majorBidi" w:cstheme="majorBidi"/>
          <w:b/>
          <w:bCs/>
        </w:rPr>
        <w:t>B)</w:t>
      </w:r>
      <w:r w:rsidRPr="00B91535">
        <w:rPr>
          <w:rFonts w:asciiTheme="majorBidi" w:hAnsiTheme="majorBidi" w:cstheme="majorBidi"/>
        </w:rPr>
        <w:t xml:space="preserve"> </w:t>
      </w:r>
      <w:r>
        <w:rPr>
          <w:rFonts w:asciiTheme="majorBidi" w:hAnsiTheme="majorBidi" w:cstheme="majorBidi"/>
        </w:rPr>
        <w:t>The frequency of prophages per isolate from the clinical NTM isolates. The presence of prophages is statistically significant by growth rate (</w:t>
      </w:r>
      <w:r w:rsidRPr="00B91535">
        <w:rPr>
          <w:rFonts w:asciiTheme="majorBidi" w:hAnsiTheme="majorBidi" w:cstheme="majorBidi"/>
          <w:highlight w:val="white"/>
        </w:rPr>
        <w:t xml:space="preserve">F = 4.99, </w:t>
      </w:r>
      <w:r w:rsidRPr="00B91535">
        <w:rPr>
          <w:rFonts w:asciiTheme="majorBidi" w:hAnsiTheme="majorBidi" w:cstheme="majorBidi"/>
          <w:i/>
          <w:highlight w:val="white"/>
        </w:rPr>
        <w:t>p</w:t>
      </w:r>
      <w:r w:rsidRPr="00B91535">
        <w:rPr>
          <w:rFonts w:asciiTheme="majorBidi" w:hAnsiTheme="majorBidi" w:cstheme="majorBidi"/>
          <w:highlight w:val="white"/>
        </w:rPr>
        <w:t> = 5.89e-07</w:t>
      </w:r>
      <w:r>
        <w:rPr>
          <w:rFonts w:asciiTheme="majorBidi" w:hAnsiTheme="majorBidi" w:cstheme="majorBidi"/>
          <w:highlight w:val="white"/>
        </w:rPr>
        <w:t xml:space="preserve">, </w:t>
      </w:r>
      <w:r w:rsidRPr="00B91535">
        <w:rPr>
          <w:rFonts w:asciiTheme="majorBidi" w:hAnsiTheme="majorBidi" w:cstheme="majorBidi"/>
        </w:rPr>
        <w:t>proportions z-test</w:t>
      </w:r>
      <w:r>
        <w:rPr>
          <w:rFonts w:asciiTheme="majorBidi" w:hAnsiTheme="majorBidi" w:cstheme="majorBidi"/>
        </w:rPr>
        <w:t>).</w:t>
      </w:r>
    </w:p>
    <w:p w14:paraId="7500ED1F" w14:textId="77777777" w:rsidR="000B2FF0" w:rsidRDefault="000B2FF0" w:rsidP="000B2FF0">
      <w:pPr>
        <w:widowControl w:val="0"/>
        <w:spacing w:before="20"/>
        <w:ind w:left="450" w:hanging="450"/>
        <w:rPr>
          <w:rFonts w:asciiTheme="majorBidi" w:hAnsiTheme="majorBidi" w:cstheme="majorBidi"/>
          <w:b/>
          <w:bCs/>
          <w:lang w:val="en"/>
        </w:rPr>
      </w:pPr>
    </w:p>
    <w:p w14:paraId="3F95A3CA" w14:textId="77777777" w:rsidR="000B2FF0" w:rsidRDefault="000B2FF0" w:rsidP="000B2FF0">
      <w:pPr>
        <w:widowControl w:val="0"/>
        <w:spacing w:before="20"/>
        <w:rPr>
          <w:rFonts w:asciiTheme="majorBidi" w:hAnsiTheme="majorBidi" w:cstheme="majorBidi"/>
          <w:lang w:val="en"/>
        </w:rPr>
      </w:pPr>
      <w:r>
        <w:rPr>
          <w:rFonts w:asciiTheme="majorBidi" w:hAnsiTheme="majorBidi" w:cstheme="majorBidi"/>
          <w:b/>
          <w:bCs/>
          <w:lang w:val="en"/>
        </w:rPr>
        <w:t xml:space="preserve">Supplementary Figure 3: </w:t>
      </w:r>
      <w:r>
        <w:rPr>
          <w:rFonts w:asciiTheme="majorBidi" w:hAnsiTheme="majorBidi" w:cstheme="majorBidi"/>
          <w:lang w:val="en"/>
        </w:rPr>
        <w:t xml:space="preserve">Details how assembly statistics compare to prophage frequency in clinical NTM isolates. </w:t>
      </w:r>
      <w:r>
        <w:rPr>
          <w:rFonts w:asciiTheme="majorBidi" w:hAnsiTheme="majorBidi" w:cstheme="majorBidi"/>
          <w:b/>
          <w:bCs/>
          <w:lang w:val="en"/>
        </w:rPr>
        <w:t xml:space="preserve">A) </w:t>
      </w:r>
      <w:r>
        <w:rPr>
          <w:rFonts w:asciiTheme="majorBidi" w:hAnsiTheme="majorBidi" w:cstheme="majorBidi"/>
          <w:lang w:val="en"/>
        </w:rPr>
        <w:t xml:space="preserve">Correlation plot detailing the Pearson correlation values between prophage frequency and assembly statistics. </w:t>
      </w:r>
      <w:r>
        <w:rPr>
          <w:rFonts w:asciiTheme="majorBidi" w:hAnsiTheme="majorBidi" w:cstheme="majorBidi"/>
          <w:b/>
          <w:bCs/>
          <w:lang w:val="en"/>
        </w:rPr>
        <w:t>B)</w:t>
      </w:r>
      <w:r>
        <w:rPr>
          <w:rFonts w:asciiTheme="majorBidi" w:hAnsiTheme="majorBidi" w:cstheme="majorBidi"/>
          <w:lang w:val="en"/>
        </w:rPr>
        <w:t xml:space="preserve"> Scatterplot matrix showing the individual samples colored by mycobacteria growth rate. Given the clear distinctions in assembly statistics by growth rate, linear mixed modeling was performed to calculate statistical significance of assembly features against prophage frequency. Linear mixed models of prophage frequency by number of contigs (Z=-1.513, </w:t>
      </w:r>
      <w:r>
        <w:rPr>
          <w:rFonts w:asciiTheme="majorBidi" w:hAnsiTheme="majorBidi" w:cstheme="majorBidi"/>
          <w:i/>
          <w:iCs/>
          <w:lang w:val="en"/>
        </w:rPr>
        <w:t>p=</w:t>
      </w:r>
      <w:r>
        <w:rPr>
          <w:rFonts w:asciiTheme="majorBidi" w:hAnsiTheme="majorBidi" w:cstheme="majorBidi"/>
          <w:lang w:val="en"/>
        </w:rPr>
        <w:t xml:space="preserve">0.130), NG50 Length (Z=1.575, </w:t>
      </w:r>
      <w:r>
        <w:rPr>
          <w:rFonts w:asciiTheme="majorBidi" w:hAnsiTheme="majorBidi" w:cstheme="majorBidi"/>
          <w:i/>
          <w:iCs/>
          <w:lang w:val="en"/>
        </w:rPr>
        <w:t>p=</w:t>
      </w:r>
      <w:r>
        <w:rPr>
          <w:rFonts w:asciiTheme="majorBidi" w:hAnsiTheme="majorBidi" w:cstheme="majorBidi"/>
          <w:lang w:val="en"/>
        </w:rPr>
        <w:t xml:space="preserve">0.115), and number of contigs &gt; 1500 base pairs (Z=-0.914, </w:t>
      </w:r>
      <w:r>
        <w:rPr>
          <w:rFonts w:asciiTheme="majorBidi" w:hAnsiTheme="majorBidi" w:cstheme="majorBidi"/>
          <w:i/>
          <w:iCs/>
          <w:lang w:val="en"/>
        </w:rPr>
        <w:t>p=</w:t>
      </w:r>
      <w:r>
        <w:rPr>
          <w:rFonts w:asciiTheme="majorBidi" w:hAnsiTheme="majorBidi" w:cstheme="majorBidi"/>
          <w:lang w:val="en"/>
        </w:rPr>
        <w:t>0.361) all failed to reject the null hypothesis when modeling by species.</w:t>
      </w:r>
    </w:p>
    <w:p w14:paraId="6AB95B04" w14:textId="77777777" w:rsidR="000B2FF0" w:rsidRDefault="000B2FF0" w:rsidP="000B2FF0">
      <w:pPr>
        <w:widowControl w:val="0"/>
        <w:spacing w:before="20"/>
        <w:rPr>
          <w:rFonts w:asciiTheme="majorBidi" w:hAnsiTheme="majorBidi" w:cstheme="majorBidi"/>
        </w:rPr>
      </w:pPr>
    </w:p>
    <w:p w14:paraId="63E5921A" w14:textId="77777777" w:rsidR="000B2FF0" w:rsidRPr="00E12105" w:rsidRDefault="000B2FF0" w:rsidP="000B2FF0">
      <w:pPr>
        <w:rPr>
          <w:rFonts w:asciiTheme="majorBidi" w:hAnsiTheme="majorBidi" w:cstheme="majorBidi"/>
          <w:highlight w:val="white"/>
        </w:rPr>
      </w:pPr>
      <w:r>
        <w:rPr>
          <w:rFonts w:asciiTheme="majorBidi" w:hAnsiTheme="majorBidi" w:cstheme="majorBidi"/>
          <w:b/>
          <w:bCs/>
        </w:rPr>
        <w:t>Supplementary Figure 4:</w:t>
      </w:r>
      <w:r w:rsidRPr="00B91535">
        <w:rPr>
          <w:rFonts w:asciiTheme="majorBidi" w:hAnsiTheme="majorBidi" w:cstheme="majorBidi"/>
          <w:b/>
          <w:bCs/>
        </w:rPr>
        <w:t xml:space="preserve"> </w:t>
      </w:r>
      <w:r w:rsidRPr="00B91535">
        <w:rPr>
          <w:rFonts w:asciiTheme="majorBidi" w:hAnsiTheme="majorBidi" w:cstheme="majorBidi"/>
        </w:rPr>
        <w:t xml:space="preserve">Phylogeny of host </w:t>
      </w:r>
      <w:r w:rsidRPr="00B91535">
        <w:rPr>
          <w:rFonts w:asciiTheme="majorBidi" w:hAnsiTheme="majorBidi" w:cstheme="majorBidi"/>
          <w:i/>
          <w:iCs/>
        </w:rPr>
        <w:t>M.</w:t>
      </w:r>
      <w:r w:rsidRPr="00B91535">
        <w:rPr>
          <w:rFonts w:asciiTheme="majorBidi" w:hAnsiTheme="majorBidi" w:cstheme="majorBidi"/>
        </w:rPr>
        <w:t xml:space="preserve"> </w:t>
      </w:r>
      <w:proofErr w:type="spellStart"/>
      <w:r w:rsidRPr="00B91535">
        <w:rPr>
          <w:rFonts w:asciiTheme="majorBidi" w:hAnsiTheme="majorBidi" w:cstheme="majorBidi"/>
          <w:i/>
          <w:iCs/>
        </w:rPr>
        <w:t>absessus</w:t>
      </w:r>
      <w:proofErr w:type="spellEnd"/>
      <w:r w:rsidRPr="00B91535">
        <w:rPr>
          <w:rFonts w:asciiTheme="majorBidi" w:hAnsiTheme="majorBidi" w:cstheme="majorBidi"/>
          <w:i/>
          <w:iCs/>
        </w:rPr>
        <w:t xml:space="preserve"> </w:t>
      </w:r>
      <w:r>
        <w:rPr>
          <w:rFonts w:asciiTheme="majorBidi" w:hAnsiTheme="majorBidi" w:cstheme="majorBidi"/>
          <w:i/>
          <w:iCs/>
        </w:rPr>
        <w:t xml:space="preserve">subsp. </w:t>
      </w:r>
      <w:proofErr w:type="spellStart"/>
      <w:r w:rsidRPr="00E12105">
        <w:rPr>
          <w:rFonts w:asciiTheme="majorBidi" w:hAnsiTheme="majorBidi" w:cstheme="majorBidi"/>
          <w:i/>
          <w:iCs/>
        </w:rPr>
        <w:t>massiliense</w:t>
      </w:r>
      <w:proofErr w:type="spellEnd"/>
      <w:r w:rsidRPr="00B91535">
        <w:rPr>
          <w:rFonts w:asciiTheme="majorBidi" w:hAnsiTheme="majorBidi" w:cstheme="majorBidi"/>
          <w:i/>
          <w:iCs/>
        </w:rPr>
        <w:t xml:space="preserve"> </w:t>
      </w:r>
      <w:r w:rsidRPr="00B91535">
        <w:rPr>
          <w:rFonts w:asciiTheme="majorBidi" w:hAnsiTheme="majorBidi" w:cstheme="majorBidi"/>
        </w:rPr>
        <w:t xml:space="preserve">genomes. </w:t>
      </w:r>
      <w:r>
        <w:rPr>
          <w:rFonts w:asciiTheme="majorBidi" w:hAnsiTheme="majorBidi" w:cstheme="majorBidi"/>
        </w:rPr>
        <w:t xml:space="preserve">The shaded boxes are located along an x axis, which lists the lettered </w:t>
      </w:r>
      <w:proofErr w:type="spellStart"/>
      <w:r>
        <w:rPr>
          <w:rFonts w:asciiTheme="majorBidi" w:hAnsiTheme="majorBidi" w:cstheme="majorBidi"/>
        </w:rPr>
        <w:t>PhageDB</w:t>
      </w:r>
      <w:proofErr w:type="spellEnd"/>
      <w:r>
        <w:rPr>
          <w:rFonts w:asciiTheme="majorBidi" w:hAnsiTheme="majorBidi" w:cstheme="majorBidi"/>
        </w:rPr>
        <w:t xml:space="preserve"> clusters. The presence </w:t>
      </w:r>
      <w:r>
        <w:rPr>
          <w:rFonts w:asciiTheme="majorBidi" w:hAnsiTheme="majorBidi" w:cstheme="majorBidi"/>
        </w:rPr>
        <w:lastRenderedPageBreak/>
        <w:t xml:space="preserve">of prophage in a sample is noted by a shaded box in any column except NA/Control. No shading means the sample does not have a prophage in that lettered cluster. Statistical significance was not achieved using PERMANOVA on this tree (F=1.398, </w:t>
      </w:r>
      <w:r>
        <w:rPr>
          <w:rFonts w:asciiTheme="majorBidi" w:hAnsiTheme="majorBidi" w:cstheme="majorBidi"/>
          <w:i/>
          <w:iCs/>
        </w:rPr>
        <w:t>p=</w:t>
      </w:r>
      <w:r>
        <w:rPr>
          <w:rFonts w:asciiTheme="majorBidi" w:hAnsiTheme="majorBidi" w:cstheme="majorBidi"/>
        </w:rPr>
        <w:t xml:space="preserve">0.225).  </w:t>
      </w:r>
    </w:p>
    <w:p w14:paraId="7922CDA1" w14:textId="77777777" w:rsidR="000B2FF0" w:rsidRDefault="000B2FF0" w:rsidP="000B2FF0">
      <w:pPr>
        <w:widowControl w:val="0"/>
        <w:spacing w:before="20"/>
        <w:rPr>
          <w:rFonts w:asciiTheme="majorBidi" w:hAnsiTheme="majorBidi" w:cstheme="majorBidi"/>
          <w:b/>
          <w:bCs/>
        </w:rPr>
      </w:pPr>
    </w:p>
    <w:p w14:paraId="47377FB1" w14:textId="77777777" w:rsidR="000B2FF0" w:rsidRPr="00E12105" w:rsidRDefault="000B2FF0" w:rsidP="000B2FF0">
      <w:pPr>
        <w:widowControl w:val="0"/>
        <w:spacing w:before="20"/>
        <w:rPr>
          <w:rFonts w:asciiTheme="majorBidi" w:hAnsiTheme="majorBidi" w:cstheme="majorBidi"/>
          <w:b/>
          <w:bCs/>
        </w:rPr>
      </w:pPr>
      <w:r w:rsidRPr="00E12105">
        <w:rPr>
          <w:rFonts w:asciiTheme="majorBidi" w:hAnsiTheme="majorBidi" w:cstheme="majorBidi"/>
          <w:b/>
          <w:bCs/>
        </w:rPr>
        <w:t xml:space="preserve">Supplementary Figure </w:t>
      </w:r>
      <w:r>
        <w:rPr>
          <w:rFonts w:asciiTheme="majorBidi" w:hAnsiTheme="majorBidi" w:cstheme="majorBidi"/>
          <w:b/>
          <w:bCs/>
        </w:rPr>
        <w:t>5</w:t>
      </w:r>
      <w:r w:rsidRPr="00E12105">
        <w:rPr>
          <w:rFonts w:asciiTheme="majorBidi" w:hAnsiTheme="majorBidi" w:cstheme="majorBidi"/>
          <w:b/>
          <w:bCs/>
        </w:rPr>
        <w:t xml:space="preserve">: </w:t>
      </w:r>
      <w:r w:rsidRPr="00E12105">
        <w:rPr>
          <w:rFonts w:asciiTheme="majorBidi" w:hAnsiTheme="majorBidi" w:cstheme="majorBidi"/>
        </w:rPr>
        <w:t xml:space="preserve">Phylogeny of </w:t>
      </w:r>
      <w:r>
        <w:rPr>
          <w:rFonts w:asciiTheme="majorBidi" w:hAnsiTheme="majorBidi" w:cstheme="majorBidi"/>
        </w:rPr>
        <w:t xml:space="preserve">host </w:t>
      </w:r>
      <w:r w:rsidRPr="00E12105">
        <w:rPr>
          <w:rFonts w:asciiTheme="majorBidi" w:hAnsiTheme="majorBidi" w:cstheme="majorBidi"/>
        </w:rPr>
        <w:t>M</w:t>
      </w:r>
      <w:r w:rsidRPr="00E12105">
        <w:rPr>
          <w:rFonts w:asciiTheme="majorBidi" w:hAnsiTheme="majorBidi" w:cstheme="majorBidi"/>
          <w:i/>
          <w:iCs/>
        </w:rPr>
        <w:t xml:space="preserve">. chimaera </w:t>
      </w:r>
      <w:r w:rsidRPr="00E12105">
        <w:rPr>
          <w:rFonts w:asciiTheme="majorBidi" w:hAnsiTheme="majorBidi" w:cstheme="majorBidi"/>
        </w:rPr>
        <w:t>and M</w:t>
      </w:r>
      <w:r w:rsidRPr="00E12105">
        <w:rPr>
          <w:rFonts w:asciiTheme="majorBidi" w:hAnsiTheme="majorBidi" w:cstheme="majorBidi"/>
          <w:i/>
          <w:iCs/>
        </w:rPr>
        <w:t xml:space="preserve">. </w:t>
      </w:r>
      <w:proofErr w:type="spellStart"/>
      <w:r w:rsidRPr="00E12105">
        <w:rPr>
          <w:rFonts w:asciiTheme="majorBidi" w:hAnsiTheme="majorBidi" w:cstheme="majorBidi"/>
          <w:i/>
          <w:iCs/>
        </w:rPr>
        <w:t>intracellulare</w:t>
      </w:r>
      <w:proofErr w:type="spellEnd"/>
      <w:r w:rsidRPr="00E12105">
        <w:rPr>
          <w:rFonts w:asciiTheme="majorBidi" w:hAnsiTheme="majorBidi" w:cstheme="majorBidi"/>
          <w:i/>
          <w:iCs/>
        </w:rPr>
        <w:t xml:space="preserve"> </w:t>
      </w:r>
      <w:r>
        <w:rPr>
          <w:rFonts w:asciiTheme="majorBidi" w:hAnsiTheme="majorBidi" w:cstheme="majorBidi"/>
        </w:rPr>
        <w:t>genomes</w:t>
      </w:r>
      <w:r w:rsidRPr="00E12105">
        <w:rPr>
          <w:rFonts w:asciiTheme="majorBidi" w:hAnsiTheme="majorBidi" w:cstheme="majorBidi"/>
        </w:rPr>
        <w:t xml:space="preserve">. </w:t>
      </w:r>
      <w:r>
        <w:rPr>
          <w:rFonts w:asciiTheme="majorBidi" w:hAnsiTheme="majorBidi" w:cstheme="majorBidi"/>
        </w:rPr>
        <w:t xml:space="preserve">The shaded boxes are located along an x axis, which lists the lettered </w:t>
      </w:r>
      <w:proofErr w:type="spellStart"/>
      <w:r>
        <w:rPr>
          <w:rFonts w:asciiTheme="majorBidi" w:hAnsiTheme="majorBidi" w:cstheme="majorBidi"/>
        </w:rPr>
        <w:t>PhageDB</w:t>
      </w:r>
      <w:proofErr w:type="spellEnd"/>
      <w:r>
        <w:rPr>
          <w:rFonts w:asciiTheme="majorBidi" w:hAnsiTheme="majorBidi" w:cstheme="majorBidi"/>
        </w:rPr>
        <w:t xml:space="preserve"> clusters. The presence of prophage in a sample is noted by a shaded box in any column except NA/Control. No shading means the sample does not have a prophage in that lettered cluster. Statistical significance was not achieved using PERMANOVA on this tree (F=1.12, </w:t>
      </w:r>
      <w:r>
        <w:rPr>
          <w:rFonts w:asciiTheme="majorBidi" w:hAnsiTheme="majorBidi" w:cstheme="majorBidi"/>
          <w:i/>
          <w:iCs/>
        </w:rPr>
        <w:t>p=</w:t>
      </w:r>
      <w:r>
        <w:rPr>
          <w:rFonts w:asciiTheme="majorBidi" w:hAnsiTheme="majorBidi" w:cstheme="majorBidi"/>
        </w:rPr>
        <w:t xml:space="preserve">0.321).  </w:t>
      </w:r>
    </w:p>
    <w:p w14:paraId="372A79D9" w14:textId="77777777" w:rsidR="000B2FF0" w:rsidRPr="00DD512A" w:rsidRDefault="000B2FF0" w:rsidP="000B2FF0">
      <w:pPr>
        <w:pStyle w:val="Caption"/>
        <w:widowControl w:val="0"/>
        <w:suppressLineNumbers w:val="0"/>
        <w:spacing w:before="20" w:after="0" w:line="480" w:lineRule="auto"/>
        <w:rPr>
          <w:b/>
          <w:bCs/>
          <w:i w:val="0"/>
          <w:iCs w:val="0"/>
          <w:u w:val="single"/>
          <w:lang w:val="en-US"/>
        </w:rPr>
      </w:pPr>
    </w:p>
    <w:p w14:paraId="2D9678E9" w14:textId="77777777" w:rsidR="000B2FF0" w:rsidRDefault="000B2FF0"/>
    <w:sectPr w:rsidR="000B2FF0">
      <w:pgSz w:w="12240" w:h="15840"/>
      <w:pgMar w:top="1440" w:right="1440" w:bottom="1440" w:left="1440" w:header="0" w:footer="0" w:gutter="0"/>
      <w:lnNumType w:countBy="1" w:distance="283" w:restart="continuous"/>
      <w:pgNumType w:start="1"/>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ohit Devanagar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FF0"/>
    <w:rsid w:val="000B2F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4D7D5"/>
  <w15:chartTrackingRefBased/>
  <w15:docId w15:val="{3C8186BD-448D-4EFB-B948-FDD6B5AFB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FF0"/>
    <w:pPr>
      <w:spacing w:after="0" w:line="240" w:lineRule="auto"/>
    </w:pPr>
    <w:rPr>
      <w:rFonts w:ascii="Times New Roman" w:eastAsia="Times New Roman" w:hAnsi="Times New Roman" w:cs="Times New Roman"/>
      <w:sz w:val="24"/>
      <w:szCs w:val="24"/>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qFormat/>
    <w:rsid w:val="000B2FF0"/>
    <w:pPr>
      <w:suppressLineNumbers/>
      <w:spacing w:before="120" w:after="120" w:line="276" w:lineRule="auto"/>
    </w:pPr>
    <w:rPr>
      <w:rFonts w:ascii="Arial" w:eastAsia="Arial" w:hAnsi="Arial" w:cs="Lohit Devanagari"/>
      <w:i/>
      <w:iCs/>
      <w:lang w:val="en"/>
    </w:rPr>
  </w:style>
  <w:style w:type="table" w:styleId="TableGrid">
    <w:name w:val="Table Grid"/>
    <w:basedOn w:val="TableNormal"/>
    <w:uiPriority w:val="39"/>
    <w:rsid w:val="000B2FF0"/>
    <w:pPr>
      <w:spacing w:after="0" w:line="240" w:lineRule="auto"/>
    </w:pPr>
    <w:rPr>
      <w:rFonts w:ascii="Arial" w:eastAsia="Arial" w:hAnsi="Arial" w:cs="Arial"/>
      <w:lang w:val="en"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0B2F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471</Words>
  <Characters>2690</Characters>
  <Application>Microsoft Office Word</Application>
  <DocSecurity>0</DocSecurity>
  <Lines>22</Lines>
  <Paragraphs>6</Paragraphs>
  <ScaleCrop>false</ScaleCrop>
  <Company/>
  <LinksUpToDate>false</LinksUpToDate>
  <CharactersWithSpaces>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Grant</dc:creator>
  <cp:keywords/>
  <dc:description/>
  <cp:lastModifiedBy>Katie Grant</cp:lastModifiedBy>
  <cp:revision>1</cp:revision>
  <dcterms:created xsi:type="dcterms:W3CDTF">2020-05-24T01:57:00Z</dcterms:created>
  <dcterms:modified xsi:type="dcterms:W3CDTF">2020-05-24T01:57:00Z</dcterms:modified>
</cp:coreProperties>
</file>