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0"/>
        <w:gridCol w:w="971"/>
        <w:gridCol w:w="1086"/>
        <w:gridCol w:w="971"/>
        <w:gridCol w:w="857"/>
        <w:gridCol w:w="971"/>
        <w:gridCol w:w="857"/>
        <w:gridCol w:w="971"/>
        <w:gridCol w:w="1086"/>
        <w:gridCol w:w="1450"/>
      </w:tblGrid>
      <w:tr w:rsidR="004C0D98" w:rsidRPr="004C0D98" w14:paraId="4DA91126" w14:textId="77777777" w:rsidTr="004C0D98">
        <w:trPr>
          <w:trHeight w:val="345"/>
        </w:trPr>
        <w:tc>
          <w:tcPr>
            <w:tcW w:w="1102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B2FE3" w14:textId="77777777" w:rsidR="004C0D98" w:rsidRPr="004C0D98" w:rsidRDefault="004C0D98" w:rsidP="004C0D98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Supplemental Table 1.  The incidence of prostate cancer in TPMI categorized with PRS (PGS000662).</w:t>
            </w:r>
          </w:p>
        </w:tc>
      </w:tr>
      <w:tr w:rsidR="004C0D98" w:rsidRPr="004C0D98" w14:paraId="221D3D34" w14:textId="77777777" w:rsidTr="004C0D98">
        <w:trPr>
          <w:trHeight w:val="345"/>
        </w:trPr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03B80B" w14:textId="77777777" w:rsidR="004C0D98" w:rsidRPr="004C0D98" w:rsidRDefault="004C0D98" w:rsidP="004C0D98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Variables</w:t>
            </w:r>
          </w:p>
        </w:tc>
        <w:tc>
          <w:tcPr>
            <w:tcW w:w="777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864A6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 xml:space="preserve">Quartile of polygenic risk score (PGS000662) </w:t>
            </w: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A084C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P-value</w:t>
            </w:r>
          </w:p>
        </w:tc>
      </w:tr>
      <w:tr w:rsidR="004C0D98" w:rsidRPr="004C0D98" w14:paraId="3BCBDD77" w14:textId="77777777" w:rsidTr="004C0D98">
        <w:trPr>
          <w:trHeight w:val="345"/>
        </w:trPr>
        <w:tc>
          <w:tcPr>
            <w:tcW w:w="18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C1B574" w14:textId="77777777" w:rsidR="004C0D98" w:rsidRPr="004C0D98" w:rsidRDefault="004C0D98" w:rsidP="004C0D98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0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AFA81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Q1 (n =6194)</w:t>
            </w:r>
          </w:p>
        </w:tc>
        <w:tc>
          <w:tcPr>
            <w:tcW w:w="18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91F20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Q2 (n =6195)</w:t>
            </w:r>
          </w:p>
        </w:tc>
        <w:tc>
          <w:tcPr>
            <w:tcW w:w="18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BD68F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Q3 (n =6195)</w:t>
            </w:r>
          </w:p>
        </w:tc>
        <w:tc>
          <w:tcPr>
            <w:tcW w:w="20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2EDD0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Q4 (n = 6194)</w:t>
            </w:r>
          </w:p>
        </w:tc>
        <w:tc>
          <w:tcPr>
            <w:tcW w:w="14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8A1171" w14:textId="77777777" w:rsidR="004C0D98" w:rsidRPr="004C0D98" w:rsidRDefault="004C0D98" w:rsidP="004C0D98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4C0D98" w:rsidRPr="004C0D98" w14:paraId="25535860" w14:textId="77777777" w:rsidTr="004C0D98">
        <w:trPr>
          <w:trHeight w:val="330"/>
        </w:trPr>
        <w:tc>
          <w:tcPr>
            <w:tcW w:w="277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E7AA" w14:textId="77777777" w:rsidR="004C0D98" w:rsidRPr="004C0D98" w:rsidRDefault="004C0D98" w:rsidP="004C0D98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Prostate cancer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1888" w14:textId="77777777" w:rsidR="004C0D98" w:rsidRPr="004C0D98" w:rsidRDefault="004C0D98" w:rsidP="004C0D98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06F5" w14:textId="77777777" w:rsidR="004C0D98" w:rsidRPr="004C0D98" w:rsidRDefault="004C0D98" w:rsidP="004C0D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878C" w14:textId="77777777" w:rsidR="004C0D98" w:rsidRPr="004C0D98" w:rsidRDefault="004C0D98" w:rsidP="004C0D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D595" w14:textId="77777777" w:rsidR="004C0D98" w:rsidRPr="004C0D98" w:rsidRDefault="004C0D98" w:rsidP="004C0D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A4A8" w14:textId="77777777" w:rsidR="004C0D98" w:rsidRPr="004C0D98" w:rsidRDefault="004C0D98" w:rsidP="004C0D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BC5E" w14:textId="77777777" w:rsidR="004C0D98" w:rsidRPr="004C0D98" w:rsidRDefault="004C0D98" w:rsidP="004C0D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1506" w14:textId="77777777" w:rsidR="004C0D98" w:rsidRPr="004C0D98" w:rsidRDefault="004C0D98" w:rsidP="004C0D9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6DD6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&lt;.0001</w:t>
            </w:r>
          </w:p>
        </w:tc>
      </w:tr>
      <w:tr w:rsidR="004C0D98" w:rsidRPr="004C0D98" w14:paraId="4223B6E7" w14:textId="77777777" w:rsidTr="004C0D98">
        <w:trPr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261C" w14:textId="77777777" w:rsidR="004C0D98" w:rsidRPr="004C0D98" w:rsidRDefault="004C0D98" w:rsidP="004C0D98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B25F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6044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DB2C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97.58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2026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5953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FA57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96.1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BFB7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5814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81D6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93.9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A49F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5511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1760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89.0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BB7E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</w:p>
        </w:tc>
      </w:tr>
      <w:tr w:rsidR="004C0D98" w:rsidRPr="004C0D98" w14:paraId="4C5BFF9C" w14:textId="77777777" w:rsidTr="004C0D98">
        <w:trPr>
          <w:trHeight w:val="345"/>
        </w:trPr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C857F" w14:textId="77777777" w:rsidR="004C0D98" w:rsidRPr="004C0D98" w:rsidRDefault="004C0D98" w:rsidP="004C0D98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A4137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150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499FF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2.42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49C43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242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B7AE6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3.91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6AB1D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381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F3E31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6.15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1C2A7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683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56D3D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11.03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C9E91" w14:textId="77777777" w:rsidR="004C0D98" w:rsidRPr="004C0D98" w:rsidRDefault="004C0D98" w:rsidP="004C0D98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4C0D98" w:rsidRPr="004C0D98" w14:paraId="2E7033F1" w14:textId="77777777" w:rsidTr="004C0D98">
        <w:trPr>
          <w:trHeight w:val="360"/>
        </w:trPr>
        <w:tc>
          <w:tcPr>
            <w:tcW w:w="84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E2D6" w14:textId="77777777" w:rsidR="004C0D98" w:rsidRPr="004C0D98" w:rsidRDefault="004C0D98" w:rsidP="004C0D98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  <w:vertAlign w:val="superscript"/>
              </w:rPr>
              <w:t>a</w:t>
            </w:r>
            <w:r w:rsidRPr="004C0D98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 Comparisons of categorical variables were analyzed using the Chi-square test.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D314" w14:textId="77777777" w:rsidR="004C0D98" w:rsidRPr="004C0D98" w:rsidRDefault="004C0D98" w:rsidP="004C0D98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8DF8" w14:textId="77777777" w:rsidR="004C0D98" w:rsidRPr="004C0D98" w:rsidRDefault="004C0D98" w:rsidP="004C0D9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C0D98" w:rsidRPr="004C0D98" w14:paraId="194034A6" w14:textId="77777777" w:rsidTr="004C0D98">
        <w:trPr>
          <w:trHeight w:val="330"/>
        </w:trPr>
        <w:tc>
          <w:tcPr>
            <w:tcW w:w="110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7E04" w14:textId="59CA86FC" w:rsidR="004C0D98" w:rsidRPr="004C0D98" w:rsidRDefault="004C0D98" w:rsidP="004C0D98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C19DB">
              <w:rPr>
                <w:rFonts w:ascii="Calibri" w:eastAsia="新細明體" w:hAnsi="Calibri" w:cs="Calibri" w:hint="eastAsia"/>
                <w:color w:val="000000"/>
                <w:kern w:val="0"/>
                <w:szCs w:val="24"/>
                <w:vertAlign w:val="superscript"/>
              </w:rPr>
              <w:t>b</w:t>
            </w:r>
            <w:r w:rsidR="005C19DB">
              <w:rPr>
                <w:rFonts w:ascii="Calibri" w:eastAsia="新細明體" w:hAnsi="Calibri" w:cs="Calibri"/>
                <w:color w:val="000000"/>
                <w:kern w:val="0"/>
                <w:szCs w:val="24"/>
                <w:vertAlign w:val="superscript"/>
              </w:rPr>
              <w:t xml:space="preserve"> </w:t>
            </w:r>
            <w:r w:rsidR="005C19DB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TPMI, </w:t>
            </w:r>
            <w:r w:rsidR="00C277F1" w:rsidRPr="00507956">
              <w:t>Taiwan Precision Medicine Initiative</w:t>
            </w:r>
            <w:r w:rsidR="00C277F1">
              <w:t>; PRS, polygenic risk score</w:t>
            </w:r>
            <w:r w:rsidR="009D0030">
              <w:t>.</w:t>
            </w:r>
          </w:p>
        </w:tc>
      </w:tr>
    </w:tbl>
    <w:p w14:paraId="08535386" w14:textId="77777777" w:rsidR="00CA30D8" w:rsidRPr="004C0D98" w:rsidRDefault="00CA30D8"/>
    <w:sectPr w:rsidR="00CA30D8" w:rsidRPr="004C0D98" w:rsidSect="004C0D9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16"/>
    <w:rsid w:val="004C0D98"/>
    <w:rsid w:val="005C19DB"/>
    <w:rsid w:val="009D0030"/>
    <w:rsid w:val="00B64D16"/>
    <w:rsid w:val="00C277F1"/>
    <w:rsid w:val="00CA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BE4A"/>
  <w15:chartTrackingRefBased/>
  <w15:docId w15:val="{708EC1A0-694C-4A41-B450-EE620FAA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ShengChun Hung</dc:creator>
  <cp:keywords/>
  <dc:description/>
  <cp:lastModifiedBy>ShengChun Hung</cp:lastModifiedBy>
  <cp:revision>5</cp:revision>
  <dcterms:created xsi:type="dcterms:W3CDTF">2023-04-26T01:49:00Z</dcterms:created>
  <dcterms:modified xsi:type="dcterms:W3CDTF">2023-04-26T01:52:00Z</dcterms:modified>
</cp:coreProperties>
</file>