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A4D6E" w14:textId="1045F049" w:rsidR="00343036" w:rsidRPr="00343036" w:rsidRDefault="00343036" w:rsidP="001E6CD9">
      <w:pPr>
        <w:pStyle w:val="Heading1"/>
      </w:pPr>
      <w:r w:rsidRPr="00343036">
        <w:t>Quantification of serum hCG-β</w:t>
      </w:r>
    </w:p>
    <w:p w14:paraId="6BFF8116" w14:textId="5B8BF9AF" w:rsidR="00343036" w:rsidRDefault="00343036" w:rsidP="00343036">
      <w:r w:rsidRPr="00236340">
        <w:t xml:space="preserve">The serum hCG-β levels </w:t>
      </w:r>
      <w:r>
        <w:t xml:space="preserve">was </w:t>
      </w:r>
      <w:r w:rsidRPr="00236340">
        <w:t>measured by automated quantitative enzyme linked fluorescent immunoassay (ELFA) (VIDAS</w:t>
      </w:r>
      <w:r w:rsidRPr="00236340">
        <w:rPr>
          <w:rFonts w:cs="Times New Roman"/>
        </w:rPr>
        <w:t>®</w:t>
      </w:r>
      <w:r w:rsidRPr="00236340">
        <w:t xml:space="preserve">; bioMérieux; FRANCE) for the determination of human Chorionic Gonadotropin (hCG) concentration in human serum or plasma to aid in the early detection of pregnancy. </w:t>
      </w:r>
    </w:p>
    <w:p w14:paraId="0646F5B8" w14:textId="7FFC09B2" w:rsidR="00343036" w:rsidRPr="00343036" w:rsidRDefault="00343036" w:rsidP="001E6CD9">
      <w:pPr>
        <w:pStyle w:val="Heading2"/>
      </w:pPr>
      <w:r w:rsidRPr="00343036">
        <w:t>Procedure</w:t>
      </w:r>
    </w:p>
    <w:p w14:paraId="2E229B61" w14:textId="37A87929" w:rsidR="00343036" w:rsidRDefault="00343036" w:rsidP="00343036">
      <w:r w:rsidRPr="00236340">
        <w:t>All assay steps and assay temperature are controlled by the instrument.  A pipette tip-like disposable device, the Solid Phase Receptacle (SPR®), serves as a solid phase for the assay as well as a pipetting   device. The SPR is coated   at   the   time   of   manufacture with mouse monoclonal anti-hCG antibodies. The assay configuration prevents nonspecific reactions with the SPR.  Reagents for the assay are in the sealed Reagent Strips.  The sample is transferred into the well containing</w:t>
      </w:r>
      <w:r>
        <w:t xml:space="preserve"> </w:t>
      </w:r>
      <w:r w:rsidRPr="00236340">
        <w:t>anti-hCG antibody</w:t>
      </w:r>
      <w:r>
        <w:t xml:space="preserve"> </w:t>
      </w:r>
      <w:r w:rsidRPr="00236340">
        <w:t>conjugated with alkaline</w:t>
      </w:r>
      <w:r>
        <w:t xml:space="preserve"> </w:t>
      </w:r>
      <w:r w:rsidRPr="00236340">
        <w:t>phosphatase</w:t>
      </w:r>
      <w:r>
        <w:t xml:space="preserve">. </w:t>
      </w:r>
      <w:r w:rsidRPr="00236340">
        <w:t>The sample/conjugate mixture is cycled in and out of the SPR and the hCG will bind to antibodies coated on the SPR and to the</w:t>
      </w:r>
      <w:r>
        <w:t xml:space="preserve"> </w:t>
      </w:r>
      <w:r w:rsidRPr="00236340">
        <w:t>conjugate</w:t>
      </w:r>
      <w:r>
        <w:t xml:space="preserve"> </w:t>
      </w:r>
      <w:r w:rsidRPr="00236340">
        <w:t>forming a “sandwich”.  Wash steps remove unbound conjugate. A fluorescent substrate, 4-methylumbelliferyl phosphate, is cycled through the SPR. Enzyme remaining on the SPR wall will catalyse the conversion of the substrate to the fluorescent product 4-methylumbelliferone.  The intensity of fluorescence is measured by the optical scanner in the instrument; it is proportional to the hCG</w:t>
      </w:r>
      <w:r>
        <w:t xml:space="preserve"> </w:t>
      </w:r>
      <w:r w:rsidRPr="00236340">
        <w:t>concentration present in the sample.  When the assay is completed, th</w:t>
      </w:r>
      <w:r>
        <w:t xml:space="preserve">e </w:t>
      </w:r>
      <w:r w:rsidRPr="00236340">
        <w:t>results are analysed automatically by the instrument and a report is printed for each sample. The acceptable range of results for the assay is 2 mIU/mL to 1500 mIU/m</w:t>
      </w:r>
      <w:r>
        <w:t>l</w:t>
      </w:r>
      <w:r w:rsidRPr="00236340">
        <w:t>.</w:t>
      </w:r>
      <w:r>
        <w:t xml:space="preserve"> </w:t>
      </w:r>
    </w:p>
    <w:p w14:paraId="491FBD09" w14:textId="77777777" w:rsidR="00BD4C90" w:rsidRPr="00231E27" w:rsidRDefault="00000000">
      <w:pPr>
        <w:rPr>
          <w:rFonts w:ascii="Andale Mono" w:hAnsi="Andale Mono"/>
        </w:rPr>
      </w:pPr>
    </w:p>
    <w:sectPr w:rsidR="00BD4C90" w:rsidRPr="00231E27" w:rsidSect="00F63C6F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ndale Mono">
    <w:panose1 w:val="020B0509000000000004"/>
    <w:charset w:val="00"/>
    <w:family w:val="modern"/>
    <w:pitch w:val="fixed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036"/>
    <w:rsid w:val="00013274"/>
    <w:rsid w:val="0002194E"/>
    <w:rsid w:val="0009088E"/>
    <w:rsid w:val="000F07D1"/>
    <w:rsid w:val="000F455F"/>
    <w:rsid w:val="00103FBC"/>
    <w:rsid w:val="0011593B"/>
    <w:rsid w:val="00132421"/>
    <w:rsid w:val="001447C8"/>
    <w:rsid w:val="0014519B"/>
    <w:rsid w:val="00161FC7"/>
    <w:rsid w:val="00194A52"/>
    <w:rsid w:val="001951B6"/>
    <w:rsid w:val="001A4D36"/>
    <w:rsid w:val="001C7D50"/>
    <w:rsid w:val="001E6CD9"/>
    <w:rsid w:val="001F2916"/>
    <w:rsid w:val="00211918"/>
    <w:rsid w:val="00231E27"/>
    <w:rsid w:val="00330B12"/>
    <w:rsid w:val="00343036"/>
    <w:rsid w:val="00352CCD"/>
    <w:rsid w:val="00353C58"/>
    <w:rsid w:val="003813FD"/>
    <w:rsid w:val="00392E16"/>
    <w:rsid w:val="003C3211"/>
    <w:rsid w:val="004114AF"/>
    <w:rsid w:val="00434A5A"/>
    <w:rsid w:val="00441AF9"/>
    <w:rsid w:val="004748B4"/>
    <w:rsid w:val="004A1B1E"/>
    <w:rsid w:val="004A797B"/>
    <w:rsid w:val="004C07F5"/>
    <w:rsid w:val="0055092E"/>
    <w:rsid w:val="0057143B"/>
    <w:rsid w:val="00595511"/>
    <w:rsid w:val="005B3F51"/>
    <w:rsid w:val="005D1560"/>
    <w:rsid w:val="005F3D80"/>
    <w:rsid w:val="0061793A"/>
    <w:rsid w:val="00626029"/>
    <w:rsid w:val="00626364"/>
    <w:rsid w:val="006576D9"/>
    <w:rsid w:val="00672826"/>
    <w:rsid w:val="00685AE4"/>
    <w:rsid w:val="006A311C"/>
    <w:rsid w:val="006A7F7F"/>
    <w:rsid w:val="006F70C1"/>
    <w:rsid w:val="007006ED"/>
    <w:rsid w:val="007053AB"/>
    <w:rsid w:val="00706545"/>
    <w:rsid w:val="007141C4"/>
    <w:rsid w:val="007803FD"/>
    <w:rsid w:val="007910CC"/>
    <w:rsid w:val="007B5099"/>
    <w:rsid w:val="007F78F1"/>
    <w:rsid w:val="00816C9B"/>
    <w:rsid w:val="00820B4C"/>
    <w:rsid w:val="00827ABB"/>
    <w:rsid w:val="009041D0"/>
    <w:rsid w:val="0090738B"/>
    <w:rsid w:val="009264EA"/>
    <w:rsid w:val="00936723"/>
    <w:rsid w:val="00943BB7"/>
    <w:rsid w:val="00945324"/>
    <w:rsid w:val="00953D91"/>
    <w:rsid w:val="00955C2E"/>
    <w:rsid w:val="009B7B5A"/>
    <w:rsid w:val="00A139D4"/>
    <w:rsid w:val="00A36460"/>
    <w:rsid w:val="00A43C2C"/>
    <w:rsid w:val="00A60CC5"/>
    <w:rsid w:val="00A916B5"/>
    <w:rsid w:val="00AF6DD3"/>
    <w:rsid w:val="00B20C64"/>
    <w:rsid w:val="00B43244"/>
    <w:rsid w:val="00B47163"/>
    <w:rsid w:val="00B502E9"/>
    <w:rsid w:val="00C05C37"/>
    <w:rsid w:val="00C54DB3"/>
    <w:rsid w:val="00C72E9C"/>
    <w:rsid w:val="00C74FA1"/>
    <w:rsid w:val="00C9576E"/>
    <w:rsid w:val="00CB103C"/>
    <w:rsid w:val="00CB6F77"/>
    <w:rsid w:val="00CC5194"/>
    <w:rsid w:val="00D10DE1"/>
    <w:rsid w:val="00D21A76"/>
    <w:rsid w:val="00D41CBC"/>
    <w:rsid w:val="00D52CE9"/>
    <w:rsid w:val="00D640B5"/>
    <w:rsid w:val="00D659AE"/>
    <w:rsid w:val="00D73F42"/>
    <w:rsid w:val="00DA4E77"/>
    <w:rsid w:val="00E04CF0"/>
    <w:rsid w:val="00E66609"/>
    <w:rsid w:val="00EA1040"/>
    <w:rsid w:val="00EC3785"/>
    <w:rsid w:val="00EE243A"/>
    <w:rsid w:val="00F63C6F"/>
    <w:rsid w:val="00F664A1"/>
    <w:rsid w:val="00FA0971"/>
    <w:rsid w:val="00FD2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6DC243"/>
  <w15:chartTrackingRefBased/>
  <w15:docId w15:val="{E7DA5F97-29E2-E44A-85A4-C69E6272F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3036"/>
    <w:pPr>
      <w:spacing w:after="160" w:line="259" w:lineRule="auto"/>
    </w:pPr>
    <w:rPr>
      <w:rFonts w:ascii="Lucida Grande" w:hAnsi="Lucida Grande"/>
      <w:sz w:val="18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6CD9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E6CD9"/>
    <w:pPr>
      <w:keepNext/>
      <w:keepLines/>
      <w:spacing w:before="40" w:after="0"/>
      <w:outlineLvl w:val="1"/>
    </w:pPr>
    <w:rPr>
      <w:rFonts w:eastAsiaTheme="majorEastAsia" w:cstheme="majorBidi"/>
      <w:b/>
      <w:color w:val="000000" w:themeColor="text1"/>
      <w:sz w:val="2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6CD9"/>
    <w:rPr>
      <w:rFonts w:ascii="Lucida Grande" w:eastAsiaTheme="majorEastAsia" w:hAnsi="Lucida Grande" w:cstheme="majorBidi"/>
      <w:b/>
      <w:color w:val="000000" w:themeColor="text1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1E6CD9"/>
    <w:rPr>
      <w:rFonts w:ascii="Lucida Grande" w:eastAsiaTheme="majorEastAsia" w:hAnsi="Lucida Grande" w:cstheme="majorBidi"/>
      <w:b/>
      <w:color w:val="000000" w:themeColor="text1"/>
      <w:sz w:val="22"/>
      <w:szCs w:val="2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Kayiira Anthony</dc:creator>
  <cp:keywords/>
  <dc:description/>
  <cp:lastModifiedBy>Kayiira Anthony</cp:lastModifiedBy>
  <cp:revision>3</cp:revision>
  <cp:lastPrinted>2022-02-04T12:29:00Z</cp:lastPrinted>
  <dcterms:created xsi:type="dcterms:W3CDTF">2023-01-03T13:11:00Z</dcterms:created>
  <dcterms:modified xsi:type="dcterms:W3CDTF">2023-01-03T13:13:00Z</dcterms:modified>
</cp:coreProperties>
</file>