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4640E" w14:textId="7E8BF23E" w:rsidR="001524BC" w:rsidRPr="001524BC" w:rsidRDefault="001524BC" w:rsidP="001524BC">
      <w:pPr>
        <w:pStyle w:val="Heading3"/>
        <w:spacing w:line="276" w:lineRule="auto"/>
        <w:jc w:val="both"/>
        <w:rPr>
          <w:i w:val="0"/>
          <w:iCs/>
          <w:sz w:val="24"/>
        </w:rPr>
      </w:pPr>
      <w:r w:rsidRPr="001524BC">
        <w:rPr>
          <w:i w:val="0"/>
          <w:iCs/>
          <w:sz w:val="24"/>
        </w:rPr>
        <w:t xml:space="preserve">IVF protocol </w:t>
      </w:r>
    </w:p>
    <w:p w14:paraId="3FEEFBA1" w14:textId="424AD118" w:rsidR="001524BC" w:rsidRPr="007A7317" w:rsidRDefault="001524BC" w:rsidP="001524BC">
      <w:pPr>
        <w:pStyle w:val="Heading3"/>
        <w:spacing w:line="276" w:lineRule="auto"/>
        <w:jc w:val="both"/>
        <w:rPr>
          <w:sz w:val="24"/>
        </w:rPr>
      </w:pPr>
      <w:r w:rsidRPr="007A7317">
        <w:rPr>
          <w:sz w:val="24"/>
        </w:rPr>
        <w:t>Pituitary downregulation (Long protocol)</w:t>
      </w:r>
    </w:p>
    <w:p w14:paraId="4E381C5D" w14:textId="77777777" w:rsidR="001524BC" w:rsidRPr="007A7317" w:rsidRDefault="001524BC" w:rsidP="001524BC">
      <w:pPr>
        <w:spacing w:line="360" w:lineRule="auto"/>
        <w:jc w:val="both"/>
      </w:pPr>
      <w:r w:rsidRPr="007A7317">
        <w:t xml:space="preserve">The centre </w:t>
      </w:r>
      <w:proofErr w:type="spellStart"/>
      <w:r w:rsidRPr="007A7317">
        <w:t>utilises</w:t>
      </w:r>
      <w:proofErr w:type="spellEnd"/>
      <w:r w:rsidRPr="007A7317">
        <w:t xml:space="preserve"> the long protocol for IVF treatment. This involved pre-treatment with the daily hormonal pill (Microgynon 30®, Bayer, Germany), folic acid 500µg and Aspirin 75mg. During the mid-luteal phase, patients started daily gonadotrophin releasing hormone agonist (0.4mg; Buserelin acetate; </w:t>
      </w:r>
      <w:proofErr w:type="spellStart"/>
      <w:r w:rsidRPr="007A7317">
        <w:t>Suprecur</w:t>
      </w:r>
      <w:proofErr w:type="spellEnd"/>
      <w:r w:rsidRPr="007A7317">
        <w:t xml:space="preserve">®, Sanofi-Aventis, France) for 9-10 days. After pituitary downregulation was achieved the dose of Buserelin acetate was reduced to 0.2mg per day until the day of human chorionic gonadotrophin (hCG) </w:t>
      </w:r>
      <w:proofErr w:type="spellStart"/>
      <w:r w:rsidRPr="007A7317">
        <w:t>tigger</w:t>
      </w:r>
      <w:proofErr w:type="spellEnd"/>
      <w:r w:rsidRPr="007A7317">
        <w:t xml:space="preserve">. </w:t>
      </w:r>
    </w:p>
    <w:p w14:paraId="59A5038F" w14:textId="77777777" w:rsidR="001524BC" w:rsidRPr="007A7317" w:rsidRDefault="001524BC" w:rsidP="001524BC">
      <w:pPr>
        <w:pStyle w:val="Heading3"/>
        <w:spacing w:line="276" w:lineRule="auto"/>
        <w:jc w:val="both"/>
        <w:rPr>
          <w:sz w:val="24"/>
        </w:rPr>
      </w:pPr>
      <w:r w:rsidRPr="007A7317">
        <w:rPr>
          <w:sz w:val="24"/>
        </w:rPr>
        <w:t>Ovarian hyperstimulation</w:t>
      </w:r>
    </w:p>
    <w:p w14:paraId="2A8674BE" w14:textId="77777777" w:rsidR="001524BC" w:rsidRPr="007A7317" w:rsidRDefault="001524BC" w:rsidP="001524BC">
      <w:pPr>
        <w:spacing w:line="360" w:lineRule="auto"/>
        <w:jc w:val="both"/>
      </w:pPr>
      <w:r w:rsidRPr="007A7317">
        <w:t>After pituitary downregulation was achieved, patients on autologous-oocyte fresh IVF cycles were treated with daily recombinant Follicle stimulating hormone (</w:t>
      </w:r>
      <w:proofErr w:type="spellStart"/>
      <w:r w:rsidRPr="007A7317">
        <w:t>rFSH</w:t>
      </w:r>
      <w:proofErr w:type="spellEnd"/>
      <w:r w:rsidRPr="007A7317">
        <w:t>; Gonal-F; Merk; Germany) at doses ranging from 150-300IU (based on age, antral follicle count (AFC), Anti-</w:t>
      </w:r>
      <w:proofErr w:type="spellStart"/>
      <w:r w:rsidRPr="007A7317">
        <w:t>mullerian</w:t>
      </w:r>
      <w:proofErr w:type="spellEnd"/>
      <w:r w:rsidRPr="007A7317">
        <w:t xml:space="preserve"> hormone (AMH) and previous response) for 10 days. Follicle tracking was started on day 7 to day 10 of stimulation. When at least 3 or more follicles achieved ≥ 18mm diameter, recombinant human chorionic gonadotrophin (</w:t>
      </w:r>
      <w:proofErr w:type="spellStart"/>
      <w:r w:rsidRPr="007A7317">
        <w:t>rhCG</w:t>
      </w:r>
      <w:proofErr w:type="spellEnd"/>
      <w:r w:rsidRPr="007A7317">
        <w:t xml:space="preserve">) trigger (250µg; </w:t>
      </w:r>
      <w:proofErr w:type="spellStart"/>
      <w:r w:rsidRPr="007A7317">
        <w:t>Ovidrel</w:t>
      </w:r>
      <w:proofErr w:type="spellEnd"/>
      <w:r w:rsidRPr="007A7317">
        <w:t>®, Merk, Germany) was administered.</w:t>
      </w:r>
    </w:p>
    <w:p w14:paraId="0339772B" w14:textId="77777777" w:rsidR="001524BC" w:rsidRPr="007A7317" w:rsidRDefault="001524BC" w:rsidP="001524BC">
      <w:pPr>
        <w:pStyle w:val="Heading3"/>
        <w:spacing w:line="276" w:lineRule="auto"/>
        <w:jc w:val="both"/>
        <w:rPr>
          <w:sz w:val="24"/>
        </w:rPr>
      </w:pPr>
      <w:r w:rsidRPr="007A7317">
        <w:rPr>
          <w:sz w:val="24"/>
        </w:rPr>
        <w:t>Endometrial preparation</w:t>
      </w:r>
    </w:p>
    <w:p w14:paraId="4E9D4D70" w14:textId="77777777" w:rsidR="001524BC" w:rsidRPr="007A7317" w:rsidRDefault="001524BC" w:rsidP="001524BC">
      <w:pPr>
        <w:spacing w:line="360" w:lineRule="auto"/>
        <w:jc w:val="both"/>
      </w:pPr>
      <w:r w:rsidRPr="007A7317">
        <w:t xml:space="preserve">In donor oocyte recipient cycles, the endometrial priming was started on menstrual cycle day 2 after pituitary down regulation. At least 12 days of </w:t>
      </w:r>
      <w:proofErr w:type="spellStart"/>
      <w:r w:rsidRPr="007A7317">
        <w:t>oestradiol</w:t>
      </w:r>
      <w:proofErr w:type="spellEnd"/>
      <w:r w:rsidRPr="007A7317">
        <w:t xml:space="preserve"> valerate (E2) replacement (4mg – 8mg. per day; Progynova®, Bayer, Germany) was given. The centre performs fresh donor oocyte recipient cycles; therefore, efforts are made to </w:t>
      </w:r>
      <w:proofErr w:type="spellStart"/>
      <w:r w:rsidRPr="007A7317">
        <w:t>synchronise</w:t>
      </w:r>
      <w:proofErr w:type="spellEnd"/>
      <w:r w:rsidRPr="007A7317">
        <w:t xml:space="preserve"> the endometrial preparation of the recipient with the follicular growth of the egg donor. When the endometrial thickness on day 12 was ≥ 8mm, daily vaginal micronized progesterone (600mg – 800mg; </w:t>
      </w:r>
      <w:proofErr w:type="spellStart"/>
      <w:r w:rsidRPr="007A7317">
        <w:t>Cyclogest</w:t>
      </w:r>
      <w:proofErr w:type="spellEnd"/>
      <w:r w:rsidRPr="007A7317">
        <w:t xml:space="preserve">®, United Kingdom) was administered and the embryo transfer scheduled. </w:t>
      </w:r>
    </w:p>
    <w:p w14:paraId="03B0B0F6" w14:textId="77777777" w:rsidR="001524BC" w:rsidRPr="007A7317" w:rsidRDefault="001524BC" w:rsidP="001524BC">
      <w:pPr>
        <w:pStyle w:val="Heading3"/>
        <w:spacing w:line="276" w:lineRule="auto"/>
        <w:jc w:val="both"/>
        <w:rPr>
          <w:sz w:val="24"/>
        </w:rPr>
      </w:pPr>
      <w:r w:rsidRPr="007A7317">
        <w:rPr>
          <w:sz w:val="24"/>
        </w:rPr>
        <w:t>Oocyte retrieval and insemination</w:t>
      </w:r>
    </w:p>
    <w:p w14:paraId="2C818DBB" w14:textId="77777777" w:rsidR="001524BC" w:rsidRPr="007A7317" w:rsidRDefault="001524BC" w:rsidP="001524BC">
      <w:pPr>
        <w:spacing w:line="360" w:lineRule="auto"/>
        <w:jc w:val="both"/>
      </w:pPr>
      <w:r w:rsidRPr="007A7317">
        <w:t xml:space="preserve">Thirty-four to thirty-six hours after </w:t>
      </w:r>
      <w:proofErr w:type="spellStart"/>
      <w:r w:rsidRPr="007A7317">
        <w:t>rhCG</w:t>
      </w:r>
      <w:proofErr w:type="spellEnd"/>
      <w:r w:rsidRPr="007A7317">
        <w:t xml:space="preserve"> trigger oocyte retrieval was performed under light sedation. The oocytes were stripped for ICSI or inseminated with partner or donor sperm 4-6 hours after oocyte retrieval. </w:t>
      </w:r>
    </w:p>
    <w:p w14:paraId="012719E7" w14:textId="77777777" w:rsidR="001524BC" w:rsidRPr="007A7317" w:rsidRDefault="001524BC" w:rsidP="001524BC">
      <w:pPr>
        <w:pStyle w:val="Heading3"/>
        <w:spacing w:line="276" w:lineRule="auto"/>
        <w:rPr>
          <w:sz w:val="24"/>
        </w:rPr>
      </w:pPr>
      <w:r w:rsidRPr="007A7317">
        <w:rPr>
          <w:sz w:val="24"/>
        </w:rPr>
        <w:t xml:space="preserve">Embryo transfer </w:t>
      </w:r>
    </w:p>
    <w:p w14:paraId="541953A9" w14:textId="77777777" w:rsidR="001524BC" w:rsidRPr="007A7317" w:rsidRDefault="001524BC" w:rsidP="001524BC">
      <w:pPr>
        <w:spacing w:line="360" w:lineRule="auto"/>
      </w:pPr>
      <w:r w:rsidRPr="007A7317">
        <w:t xml:space="preserve">Embryo transfer was performed on day 3 (cleavage stage embryos). The number of cleavage stage embryos to transfer was individualized, according to patient age and embryo quality. The embryo transfer was performed under ultrasound guidance. </w:t>
      </w:r>
    </w:p>
    <w:p w14:paraId="6AAB62B2" w14:textId="77777777" w:rsidR="001524BC" w:rsidRPr="007A7317" w:rsidRDefault="001524BC" w:rsidP="001524BC">
      <w:pPr>
        <w:pStyle w:val="Heading3"/>
        <w:spacing w:line="276" w:lineRule="auto"/>
        <w:rPr>
          <w:sz w:val="24"/>
        </w:rPr>
      </w:pPr>
      <w:r w:rsidRPr="007A7317">
        <w:rPr>
          <w:sz w:val="24"/>
        </w:rPr>
        <w:lastRenderedPageBreak/>
        <w:t>Luteal phase support</w:t>
      </w:r>
    </w:p>
    <w:p w14:paraId="4BF625F9" w14:textId="77777777" w:rsidR="001524BC" w:rsidRPr="007A7317" w:rsidRDefault="001524BC" w:rsidP="001524BC">
      <w:pPr>
        <w:spacing w:line="360" w:lineRule="auto"/>
      </w:pPr>
      <w:r w:rsidRPr="007A7317">
        <w:t xml:space="preserve">The centre </w:t>
      </w:r>
      <w:proofErr w:type="spellStart"/>
      <w:r w:rsidRPr="007A7317">
        <w:t>utilises</w:t>
      </w:r>
      <w:proofErr w:type="spellEnd"/>
      <w:r w:rsidRPr="007A7317">
        <w:t xml:space="preserve"> intensified luteal phase support which includes daily 600mg – 800mg </w:t>
      </w:r>
      <w:proofErr w:type="spellStart"/>
      <w:r w:rsidRPr="007A7317">
        <w:t>Cyclogest</w:t>
      </w:r>
      <w:proofErr w:type="spellEnd"/>
      <w:r w:rsidRPr="007A7317">
        <w:t xml:space="preserve">®, daily 4mg - 6 mg Progynova®, and 5000IU </w:t>
      </w:r>
      <w:proofErr w:type="spellStart"/>
      <w:r w:rsidRPr="007A7317">
        <w:t>rhCG</w:t>
      </w:r>
      <w:proofErr w:type="spellEnd"/>
      <w:r w:rsidRPr="007A7317">
        <w:t xml:space="preserve"> on day 3 and day 7 after embryo transfer. This support except for </w:t>
      </w:r>
      <w:proofErr w:type="spellStart"/>
      <w:r w:rsidRPr="007A7317">
        <w:t>rhCG</w:t>
      </w:r>
      <w:proofErr w:type="spellEnd"/>
      <w:r w:rsidRPr="007A7317">
        <w:t xml:space="preserve"> was continued until 12 days after embryo transfer. Aspirin and folic acid was continued throughout the treatment cycle. </w:t>
      </w:r>
    </w:p>
    <w:p w14:paraId="3D1B9D18" w14:textId="77777777" w:rsidR="00BD4C90" w:rsidRPr="00231E27" w:rsidRDefault="00000000">
      <w:pPr>
        <w:rPr>
          <w:rFonts w:ascii="Andale Mono" w:hAnsi="Andale Mono"/>
        </w:rPr>
      </w:pPr>
    </w:p>
    <w:sectPr w:rsidR="00BD4C90" w:rsidRPr="00231E27" w:rsidSect="00F63C6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 Sans">
    <w:panose1 w:val="00000000000000000000"/>
    <w:charset w:val="4D"/>
    <w:family w:val="auto"/>
    <w:pitch w:val="variable"/>
    <w:sig w:usb0="A00004FF" w:usb1="4000207B" w:usb2="00000000" w:usb3="00000000" w:csb0="00000193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4BC"/>
    <w:rsid w:val="00013274"/>
    <w:rsid w:val="0002194E"/>
    <w:rsid w:val="00033161"/>
    <w:rsid w:val="0009088E"/>
    <w:rsid w:val="000A4420"/>
    <w:rsid w:val="000F07D1"/>
    <w:rsid w:val="000F455F"/>
    <w:rsid w:val="00103FBC"/>
    <w:rsid w:val="0011593B"/>
    <w:rsid w:val="00132421"/>
    <w:rsid w:val="001447C8"/>
    <w:rsid w:val="0014519B"/>
    <w:rsid w:val="001524BC"/>
    <w:rsid w:val="00161FC7"/>
    <w:rsid w:val="00194A52"/>
    <w:rsid w:val="001951B6"/>
    <w:rsid w:val="001A4D36"/>
    <w:rsid w:val="001C7D50"/>
    <w:rsid w:val="001F2916"/>
    <w:rsid w:val="00211918"/>
    <w:rsid w:val="00231E27"/>
    <w:rsid w:val="00330B12"/>
    <w:rsid w:val="00352CCD"/>
    <w:rsid w:val="00353C58"/>
    <w:rsid w:val="003813FD"/>
    <w:rsid w:val="00392E16"/>
    <w:rsid w:val="003C3211"/>
    <w:rsid w:val="004114AF"/>
    <w:rsid w:val="00434A5A"/>
    <w:rsid w:val="00441AF9"/>
    <w:rsid w:val="004748B4"/>
    <w:rsid w:val="004A1B1E"/>
    <w:rsid w:val="004A797B"/>
    <w:rsid w:val="004C07F5"/>
    <w:rsid w:val="0055092E"/>
    <w:rsid w:val="0057143B"/>
    <w:rsid w:val="00595511"/>
    <w:rsid w:val="005B3F51"/>
    <w:rsid w:val="005D1560"/>
    <w:rsid w:val="005E6B1A"/>
    <w:rsid w:val="00626029"/>
    <w:rsid w:val="00626364"/>
    <w:rsid w:val="006576D9"/>
    <w:rsid w:val="00672826"/>
    <w:rsid w:val="00685AE4"/>
    <w:rsid w:val="006A311C"/>
    <w:rsid w:val="006A7F7F"/>
    <w:rsid w:val="006F70C1"/>
    <w:rsid w:val="007006ED"/>
    <w:rsid w:val="007053AB"/>
    <w:rsid w:val="00706545"/>
    <w:rsid w:val="007141C4"/>
    <w:rsid w:val="007803FD"/>
    <w:rsid w:val="007910CC"/>
    <w:rsid w:val="007B5099"/>
    <w:rsid w:val="007F5CBB"/>
    <w:rsid w:val="007F78F1"/>
    <w:rsid w:val="00816C9B"/>
    <w:rsid w:val="00820B4C"/>
    <w:rsid w:val="00827ABB"/>
    <w:rsid w:val="00865B22"/>
    <w:rsid w:val="008E3075"/>
    <w:rsid w:val="009041D0"/>
    <w:rsid w:val="0090738B"/>
    <w:rsid w:val="009264EA"/>
    <w:rsid w:val="00936723"/>
    <w:rsid w:val="00943BB7"/>
    <w:rsid w:val="00945324"/>
    <w:rsid w:val="00953D91"/>
    <w:rsid w:val="00955C2E"/>
    <w:rsid w:val="009B7B5A"/>
    <w:rsid w:val="00A139D4"/>
    <w:rsid w:val="00A36460"/>
    <w:rsid w:val="00A43C2C"/>
    <w:rsid w:val="00A540C9"/>
    <w:rsid w:val="00A60CC5"/>
    <w:rsid w:val="00A916B5"/>
    <w:rsid w:val="00AD40C4"/>
    <w:rsid w:val="00AF6DD3"/>
    <w:rsid w:val="00B20C64"/>
    <w:rsid w:val="00B43244"/>
    <w:rsid w:val="00B47163"/>
    <w:rsid w:val="00B502E9"/>
    <w:rsid w:val="00C05C37"/>
    <w:rsid w:val="00C54DB3"/>
    <w:rsid w:val="00C72E9C"/>
    <w:rsid w:val="00C74FA1"/>
    <w:rsid w:val="00C9576E"/>
    <w:rsid w:val="00CA38ED"/>
    <w:rsid w:val="00CB103C"/>
    <w:rsid w:val="00CB6F77"/>
    <w:rsid w:val="00CC5194"/>
    <w:rsid w:val="00D10DE1"/>
    <w:rsid w:val="00D21A76"/>
    <w:rsid w:val="00D41CBC"/>
    <w:rsid w:val="00D52CE9"/>
    <w:rsid w:val="00D640B5"/>
    <w:rsid w:val="00D659AE"/>
    <w:rsid w:val="00D73F42"/>
    <w:rsid w:val="00D92069"/>
    <w:rsid w:val="00DA4E77"/>
    <w:rsid w:val="00E04CF0"/>
    <w:rsid w:val="00E25490"/>
    <w:rsid w:val="00E56E21"/>
    <w:rsid w:val="00E66609"/>
    <w:rsid w:val="00EA1040"/>
    <w:rsid w:val="00EC3785"/>
    <w:rsid w:val="00EE243A"/>
    <w:rsid w:val="00F564FA"/>
    <w:rsid w:val="00F63C6F"/>
    <w:rsid w:val="00F664A1"/>
    <w:rsid w:val="00FA0971"/>
    <w:rsid w:val="00FD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1CBF9"/>
  <w15:chartTrackingRefBased/>
  <w15:docId w15:val="{ABDE7EB7-82EB-384C-B125-38F811D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4BC"/>
    <w:rPr>
      <w:rFonts w:ascii="Merriweather Sans" w:eastAsia="Times New Roman" w:hAnsi="Merriweather Sans" w:cs="Times New Roman"/>
      <w:kern w:val="0"/>
      <w:sz w:val="21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24BC"/>
    <w:pPr>
      <w:keepNext/>
      <w:keepLines/>
      <w:spacing w:before="40" w:line="259" w:lineRule="auto"/>
      <w:outlineLvl w:val="2"/>
    </w:pPr>
    <w:rPr>
      <w:rFonts w:eastAsiaTheme="majorEastAsia" w:cstheme="majorBidi"/>
      <w:i/>
      <w:sz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24BC"/>
    <w:rPr>
      <w:rFonts w:ascii="Merriweather Sans" w:eastAsiaTheme="majorEastAsia" w:hAnsi="Merriweather Sans" w:cstheme="majorBidi"/>
      <w:i/>
      <w:kern w:val="0"/>
      <w:sz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Kayiira Anthony</dc:creator>
  <cp:keywords/>
  <dc:description/>
  <cp:lastModifiedBy>Kayiira Anthony</cp:lastModifiedBy>
  <cp:revision>1</cp:revision>
  <cp:lastPrinted>2022-02-04T12:29:00Z</cp:lastPrinted>
  <dcterms:created xsi:type="dcterms:W3CDTF">2023-05-20T14:46:00Z</dcterms:created>
  <dcterms:modified xsi:type="dcterms:W3CDTF">2023-05-20T14:48:00Z</dcterms:modified>
</cp:coreProperties>
</file>