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0E7662" w14:textId="77777777" w:rsidR="006F1930" w:rsidRPr="002C11FB" w:rsidRDefault="006F1930" w:rsidP="002C11FB">
      <w:pPr>
        <w:pStyle w:val="Heading1"/>
      </w:pPr>
      <w:r w:rsidRPr="002C11FB">
        <w:t>Sample size</w:t>
      </w:r>
    </w:p>
    <w:p w14:paraId="28E0535D" w14:textId="13CCF600" w:rsidR="006F1930" w:rsidRPr="002C11FB" w:rsidRDefault="006F1930" w:rsidP="006F1930">
      <w:pPr>
        <w:rPr>
          <w:rFonts w:cs="Lucida Grande"/>
        </w:rPr>
      </w:pPr>
      <w:r w:rsidRPr="002C11FB">
        <w:rPr>
          <w:rFonts w:cs="Lucida Grande"/>
        </w:rPr>
        <w:t xml:space="preserve">The sample size for the diagnostic accuracy of a day 12 serum hCG β in predicting live birth </w:t>
      </w:r>
      <w:r w:rsidR="00885C89" w:rsidRPr="002C11FB">
        <w:rPr>
          <w:rFonts w:cs="Lucida Grande"/>
        </w:rPr>
        <w:t xml:space="preserve">was </w:t>
      </w:r>
      <w:r w:rsidRPr="002C11FB">
        <w:rPr>
          <w:rFonts w:cs="Lucida Grande"/>
        </w:rPr>
        <w:t xml:space="preserve">calculated based on sensitivity and specificity of a previous study, as elucidated by </w:t>
      </w:r>
      <w:r w:rsidRPr="002C11FB">
        <w:rPr>
          <w:rFonts w:cs="Lucida Grande"/>
        </w:rPr>
        <w:fldChar w:fldCharType="begin"/>
      </w:r>
      <w:r w:rsidR="002C11FB" w:rsidRPr="002C11FB">
        <w:rPr>
          <w:rFonts w:cs="Lucida Grande"/>
        </w:rPr>
        <w:instrText xml:space="preserve"> ADDIN EN.CITE &lt;EndNote&gt;&lt;Cite AuthorYear="1"&gt;&lt;Author&gt;Negida&lt;/Author&gt;&lt;Year&gt;2019&lt;/Year&gt;&lt;RecNum&gt;52&lt;/RecNum&gt;&lt;DisplayText&gt;A Negida, et al. [1]&lt;/DisplayText&gt;&lt;record&gt;&lt;rec-number&gt;52&lt;/rec-number&gt;&lt;foreign-keys&gt;&lt;key app="EN" db-id="2faeedz0ns92z6efeptva0wrzffs9atwvdft" timestamp="1671636578"&gt;52&lt;/key&gt;&lt;/foreign-keys&gt;&lt;ref-type name="Electronic Article"&gt;43&lt;/ref-type&gt;&lt;contributors&gt;&lt;authors&gt;&lt;author&gt;Negida, Ahmed&lt;/author&gt;&lt;author&gt;Fahim, Nadien Khaled&lt;/author&gt;&lt;author&gt;Negida, Yasmin&lt;/author&gt;&lt;/authors&gt;&lt;/contributors&gt;&lt;auth-address&gt;Faculty of Medicine, Zagazig University, Zagazig, El-Sharkia, Egypt.&lt;/auth-address&gt;&lt;titles&gt;&lt;title&gt;Sample Size Calculation Guide - Part 4: How to Calculate the Sample Size for a Diagnostic Test Accuracy Study based on Sensitivity, Specificity, and the Area Under the ROC Curve&lt;/title&gt;&lt;secondary-title&gt;Advanced journal of emergency medicine&lt;/secondary-title&gt;&lt;alt-title&gt;Adv J Emerg Med&lt;/alt-title&gt;&lt;/titles&gt;&lt;periodical&gt;&lt;full-title&gt;Advanced journal of emergency medicine&lt;/full-title&gt;&lt;abbr-1&gt;Adv J Emerg Med&lt;/abbr-1&gt;&lt;/periodical&gt;&lt;alt-periodical&gt;&lt;full-title&gt;Advanced journal of emergency medicine&lt;/full-title&gt;&lt;abbr-1&gt;Adv J Emerg Med&lt;/abbr-1&gt;&lt;/alt-periodical&gt;&lt;pages&gt;e33&lt;/pages&gt;&lt;volume&gt;3&lt;/volume&gt;&lt;number&gt;3&lt;/number&gt;&lt;dates&gt;&lt;year&gt;2019&lt;/year&gt;&lt;pub-dates&gt;&lt;date&gt;2019&lt;/date&gt;&lt;/pub-dates&gt;&lt;/dates&gt;&lt;isbn&gt;2588-400X&lt;/isbn&gt;&lt;accession-num&gt;31410410&lt;/accession-num&gt;&lt;urls&gt;&lt;related-urls&gt;&lt;url&gt;http://europepmc.org/abstract/MED/31410410&lt;/url&gt;&lt;url&gt;https://doi.org/10.22114/ajem.v0i0.158&lt;/url&gt;&lt;url&gt;https://europepmc.org/articles/PMC6683590&lt;/url&gt;&lt;url&gt;https://europepmc.org/articles/PMC6683590?pdf=render&lt;/url&gt;&lt;/related-urls&gt;&lt;/urls&gt;&lt;electronic-resource-num&gt;10.22114/ajem.v0i0.158&lt;/electronic-resource-num&gt;&lt;remote-database-name&gt;PubMed&lt;/remote-database-name&gt;&lt;language&gt;eng&lt;/language&gt;&lt;/record&gt;&lt;/Cite&gt;&lt;/EndNote&gt;</w:instrText>
      </w:r>
      <w:r w:rsidRPr="002C11FB">
        <w:rPr>
          <w:rFonts w:cs="Lucida Grande"/>
        </w:rPr>
        <w:fldChar w:fldCharType="separate"/>
      </w:r>
      <w:r w:rsidR="002C11FB" w:rsidRPr="002C11FB">
        <w:rPr>
          <w:rFonts w:cs="Lucida Grande"/>
          <w:noProof/>
        </w:rPr>
        <w:t>A Negida, et al. [1]</w:t>
      </w:r>
      <w:r w:rsidRPr="002C11FB">
        <w:rPr>
          <w:rFonts w:cs="Lucida Grande"/>
        </w:rPr>
        <w:fldChar w:fldCharType="end"/>
      </w:r>
      <w:r w:rsidRPr="002C11FB">
        <w:rPr>
          <w:rFonts w:cs="Lucida Grande"/>
        </w:rPr>
        <w:t xml:space="preserve">. </w:t>
      </w:r>
      <w:r w:rsidRPr="002C11FB">
        <w:rPr>
          <w:rFonts w:cs="Lucida Grande"/>
        </w:rPr>
        <w:fldChar w:fldCharType="begin">
          <w:fldData xml:space="preserve">PEVuZE5vdGU+PENpdGUgQXV0aG9yWWVhcj0iMSI+PEF1dGhvcj5Fc2thbmRhcjwvQXV0aG9yPjxZ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</w:fldData>
        </w:fldChar>
      </w:r>
      <w:r w:rsidR="002C11FB" w:rsidRPr="002C11FB">
        <w:rPr>
          <w:rFonts w:cs="Lucida Grande"/>
        </w:rPr>
        <w:instrText xml:space="preserve"> ADDIN EN.CITE </w:instrText>
      </w:r>
      <w:r w:rsidR="002C11FB" w:rsidRPr="002C11FB">
        <w:rPr>
          <w:rFonts w:cs="Lucida Grande"/>
        </w:rPr>
        <w:fldChar w:fldCharType="begin">
          <w:fldData xml:space="preserve">PEVuZE5vdGU+PENpdGUgQXV0aG9yWWVhcj0iMSI+PEF1dGhvcj5Fc2thbmRhcjwvQXV0aG9yPjxZ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</w:fldData>
        </w:fldChar>
      </w:r>
      <w:r w:rsidR="002C11FB" w:rsidRPr="002C11FB">
        <w:rPr>
          <w:rFonts w:cs="Lucida Grande"/>
        </w:rPr>
        <w:instrText xml:space="preserve"> ADDIN EN.CITE.DATA </w:instrText>
      </w:r>
      <w:r w:rsidR="002C11FB" w:rsidRPr="002C11FB">
        <w:rPr>
          <w:rFonts w:cs="Lucida Grande"/>
        </w:rPr>
      </w:r>
      <w:r w:rsidR="002C11FB" w:rsidRPr="002C11FB">
        <w:rPr>
          <w:rFonts w:cs="Lucida Grande"/>
        </w:rPr>
        <w:fldChar w:fldCharType="end"/>
      </w:r>
      <w:r w:rsidRPr="002C11FB">
        <w:rPr>
          <w:rFonts w:cs="Lucida Grande"/>
        </w:rPr>
        <w:fldChar w:fldCharType="separate"/>
      </w:r>
      <w:r w:rsidR="002C11FB" w:rsidRPr="002C11FB">
        <w:rPr>
          <w:rFonts w:cs="Lucida Grande"/>
          <w:noProof/>
        </w:rPr>
        <w:t>MA Eskandar, et al. [2]</w:t>
      </w:r>
      <w:r w:rsidRPr="002C11FB">
        <w:rPr>
          <w:rFonts w:cs="Lucida Grande"/>
        </w:rPr>
        <w:fldChar w:fldCharType="end"/>
      </w:r>
      <w:r w:rsidRPr="002C11FB">
        <w:rPr>
          <w:rFonts w:cs="Lucida Grande"/>
        </w:rPr>
        <w:t xml:space="preserve"> utilised a day 14 serum hCG β cut </w:t>
      </w:r>
      <w:r w:rsidR="002C11FB" w:rsidRPr="002C11FB">
        <w:rPr>
          <w:rFonts w:cs="Lucida Grande"/>
        </w:rPr>
        <w:t>off</w:t>
      </w:r>
      <w:r w:rsidRPr="002C11FB">
        <w:rPr>
          <w:rFonts w:cs="Lucida Grande"/>
        </w:rPr>
        <w:t xml:space="preserve"> </w:t>
      </w:r>
      <w:r w:rsidR="002C11FB">
        <w:rPr>
          <w:rFonts w:cs="Lucida Grande"/>
        </w:rPr>
        <w:t>(</w:t>
      </w:r>
      <w:r w:rsidRPr="002C11FB">
        <w:rPr>
          <w:rFonts w:cs="Lucida Grande"/>
        </w:rPr>
        <w:t>315.65 mIU/m</w:t>
      </w:r>
      <w:r w:rsidR="002C11FB">
        <w:rPr>
          <w:rFonts w:cs="Lucida Grande"/>
        </w:rPr>
        <w:t>l)</w:t>
      </w:r>
      <w:r w:rsidRPr="002C11FB">
        <w:rPr>
          <w:rFonts w:cs="Lucida Grande"/>
        </w:rPr>
        <w:t xml:space="preserve"> to discriminate cycles that ended in live births with a sensitivity of 77.94% and a specificity of 61.60%.</w:t>
      </w:r>
    </w:p>
    <w:p w14:paraId="40EACE62" w14:textId="15C9A3F3" w:rsidR="006F1930" w:rsidRPr="002C11FB" w:rsidRDefault="006F1930" w:rsidP="006F1930">
      <w:pPr>
        <w:rPr>
          <w:rFonts w:cs="Lucida Grande"/>
        </w:rPr>
      </w:pPr>
      <w:r w:rsidRPr="002C11FB">
        <w:rPr>
          <w:rFonts w:cs="Lucida Grande"/>
        </w:rPr>
        <w:t xml:space="preserve">Using the formula described by </w:t>
      </w:r>
      <w:r w:rsidRPr="002C11FB">
        <w:rPr>
          <w:rFonts w:cs="Lucida Grande"/>
        </w:rPr>
        <w:fldChar w:fldCharType="begin"/>
      </w:r>
      <w:r w:rsidR="002C11FB" w:rsidRPr="002C11FB">
        <w:rPr>
          <w:rFonts w:cs="Lucida Grande"/>
        </w:rPr>
        <w:instrText xml:space="preserve"> ADDIN EN.CITE &lt;EndNote&gt;&lt;Cite AuthorYear="1"&gt;&lt;Author&gt;Buderer&lt;/Author&gt;&lt;Year&gt;1996&lt;/Year&gt;&lt;RecNum&gt;53&lt;/RecNum&gt;&lt;DisplayText&gt;NM Buderer [3]&lt;/DisplayText&gt;&lt;record&gt;&lt;rec-number&gt;53&lt;/rec-number&gt;&lt;foreign-keys&gt;&lt;key app="EN" db-id="2faeedz0ns92z6efeptva0wrzffs9atwvdft" timestamp="1671636578"&gt;53&lt;/key&gt;&lt;/foreign-keys&gt;&lt;ref-type name="Journal Article"&gt;17&lt;/ref-type&gt;&lt;contributors&gt;&lt;authors&gt;&lt;author&gt;Buderer, N. M.&lt;/author&gt;&lt;/authors&gt;&lt;/contributors&gt;&lt;auth-address&gt;St. Vincent Medical Center, Research Department, Toledo, OH 43608, USA.&lt;/auth-address&gt;&lt;titles&gt;&lt;title&gt;Statistical methodology: I. Incorporating the prevalence of disease into the sample size calculation for sensitivity and specificity&lt;/title&gt;&lt;secondary-title&gt;Academic emergency medicine : official journal of the Society for Academic Emergency Medicine&lt;/secondary-title&gt;&lt;alt-title&gt;Acad Emerg Med&lt;/alt-title&gt;&lt;/titles&gt;&lt;periodical&gt;&lt;full-title&gt;Academic emergency medicine : official journal of the Society for Academic Emergency Medicine&lt;/full-title&gt;&lt;abbr-1&gt;Acad Emerg Med&lt;/abbr-1&gt;&lt;/periodical&gt;&lt;alt-periodical&gt;&lt;full-title&gt;Academic emergency medicine : official journal of the Society for Academic Emergency Medicine&lt;/full-title&gt;&lt;abbr-1&gt;Acad Emerg Med&lt;/abbr-1&gt;&lt;/alt-periodical&gt;&lt;pages&gt;895-900&lt;/pages&gt;&lt;volume&gt;3&lt;/volume&gt;&lt;number&gt;9&lt;/number&gt;&lt;keywords&gt;&lt;keyword&gt;Prevalence&lt;/keyword&gt;&lt;keyword&gt;Data Interpretation, Statistical&lt;/keyword&gt;&lt;keyword&gt;Sensitivity and Specificity&lt;/keyword&gt;&lt;keyword&gt;Sampling Studies&lt;/keyword&gt;&lt;keyword&gt;Research Design&lt;/keyword&gt;&lt;/keywords&gt;&lt;dates&gt;&lt;year&gt;1996&lt;/year&gt;&lt;pub-dates&gt;&lt;date&gt;1996/09//&lt;/date&gt;&lt;/pub-dates&gt;&lt;/dates&gt;&lt;isbn&gt;1069-6563&lt;/isbn&gt;&lt;accession-num&gt;8870764&lt;/accession-num&gt;&lt;urls&gt;&lt;related-urls&gt;&lt;url&gt;http://europepmc.org/abstract/MED/8870764&lt;/url&gt;&lt;url&gt;https://doi.org/10.1111/j.1553-2712.1996.tb03538.x&lt;/url&gt;&lt;/related-urls&gt;&lt;/urls&gt;&lt;electronic-resource-num&gt;10.1111/j.1553-2712.1996.tb03538.x&lt;/electronic-resource-num&gt;&lt;remote-database-name&gt;PubMed&lt;/remote-database-name&gt;&lt;language&gt;eng&lt;/language&gt;&lt;/record&gt;&lt;/Cite&gt;&lt;/EndNote&gt;</w:instrText>
      </w:r>
      <w:r w:rsidRPr="002C11FB">
        <w:rPr>
          <w:rFonts w:cs="Lucida Grande"/>
        </w:rPr>
        <w:fldChar w:fldCharType="separate"/>
      </w:r>
      <w:r w:rsidR="002C11FB" w:rsidRPr="002C11FB">
        <w:rPr>
          <w:rFonts w:cs="Lucida Grande"/>
          <w:noProof/>
        </w:rPr>
        <w:t>NM Buderer [3]</w:t>
      </w:r>
      <w:r w:rsidRPr="002C11FB">
        <w:rPr>
          <w:rFonts w:cs="Lucida Grande"/>
        </w:rPr>
        <w:fldChar w:fldCharType="end"/>
      </w:r>
      <w:r w:rsidRPr="002C11FB">
        <w:rPr>
          <w:rFonts w:cs="Lucida Grande"/>
        </w:rPr>
        <w:t>;</w:t>
      </w:r>
    </w:p>
    <w:p w14:paraId="0AFC56E7" w14:textId="77777777" w:rsidR="006F1930" w:rsidRPr="002C11FB" w:rsidRDefault="006F1930" w:rsidP="006F1930">
      <w:pPr>
        <w:rPr>
          <w:rFonts w:cs="Lucida Grande"/>
        </w:rPr>
      </w:pPr>
      <w:r w:rsidRPr="002C11FB">
        <w:rPr>
          <w:rFonts w:cs="Lucida Grande"/>
        </w:rPr>
        <w:t>Number with live birth:</w:t>
      </w:r>
    </w:p>
    <w:p w14:paraId="0D9E9278" w14:textId="006B94CB" w:rsidR="006F1930" w:rsidRPr="002C11FB" w:rsidRDefault="002C11FB" w:rsidP="006F1930">
      <w:pPr>
        <w:rPr>
          <w:rFonts w:cs="Lucida Grande"/>
        </w:rPr>
      </w:pPr>
      <m:oMathPara>
        <m:oMath>
          <m:r>
            <m:rPr>
              <m:sty m:val="p"/>
            </m:rPr>
            <w:rPr>
              <w:rFonts w:ascii="Cambria Math" w:hAnsi="Cambria Math" w:cs="Lucida Grande"/>
            </w:rPr>
            <m:t xml:space="preserve">TP+FN= </m:t>
          </m:r>
          <m:sSup>
            <m:sSupPr>
              <m:ctrlPr>
                <w:rPr>
                  <w:rFonts w:ascii="Cambria Math" w:hAnsi="Cambria Math" w:cs="Lucida Grande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Lucida Grande"/>
                </w:rPr>
                <m:t>Z</m:t>
              </m:r>
            </m:e>
            <m:sup>
              <m:r>
                <m:rPr>
                  <m:sty m:val="p"/>
                </m:rPr>
                <w:rPr>
                  <w:rFonts w:ascii="Cambria Math" w:hAnsi="Cambria Math" w:cs="Lucida Grande"/>
                </w:rPr>
                <m:t>2</m:t>
              </m:r>
            </m:sup>
          </m:sSup>
          <m:r>
            <m:rPr>
              <m:sty m:val="p"/>
            </m:rPr>
            <w:rPr>
              <w:rFonts w:ascii="Cambria Math" w:hAnsi="Cambria Math" w:cs="Lucida Grande"/>
            </w:rPr>
            <m:t xml:space="preserve"> { </m:t>
          </m:r>
          <m:f>
            <m:fPr>
              <m:type m:val="skw"/>
              <m:ctrlPr>
                <w:rPr>
                  <w:rFonts w:ascii="Cambria Math" w:hAnsi="Cambria Math" w:cs="Lucida Grande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Lucida Grande"/>
                </w:rPr>
                <m:t>Sensitivity</m:t>
              </m:r>
              <m:d>
                <m:dPr>
                  <m:ctrlPr>
                    <w:rPr>
                      <w:rFonts w:ascii="Cambria Math" w:hAnsi="Cambria Math" w:cs="Lucida Grande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Lucida Grande"/>
                    </w:rPr>
                    <m:t>1-Sensitivity</m:t>
                  </m:r>
                </m:e>
              </m:d>
            </m:num>
            <m:den>
              <m:sSup>
                <m:sSupPr>
                  <m:ctrlPr>
                    <w:rPr>
                      <w:rFonts w:ascii="Cambria Math" w:hAnsi="Cambria Math" w:cs="Lucida Grande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Lucida Grande"/>
                    </w:rPr>
                    <m:t>W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Lucida Grande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 w:cs="Lucida Grande"/>
                </w:rPr>
                <m:t xml:space="preserve"> </m:t>
              </m:r>
            </m:den>
          </m:f>
          <m:r>
            <m:rPr>
              <m:sty m:val="p"/>
            </m:rPr>
            <w:rPr>
              <w:rFonts w:ascii="Cambria Math" w:hAnsi="Cambria Math" w:cs="Lucida Grande"/>
            </w:rPr>
            <m:t>}</m:t>
          </m:r>
        </m:oMath>
      </m:oMathPara>
    </w:p>
    <w:p w14:paraId="1765C210" w14:textId="77777777" w:rsidR="006F1930" w:rsidRPr="002C11FB" w:rsidRDefault="006F1930" w:rsidP="006F1930">
      <w:pPr>
        <w:rPr>
          <w:rFonts w:cs="Lucida Grande"/>
        </w:rPr>
      </w:pPr>
      <w:r w:rsidRPr="002C11FB">
        <w:rPr>
          <w:rFonts w:cs="Lucida Grande"/>
        </w:rPr>
        <w:t>Number without live birth:</w:t>
      </w:r>
    </w:p>
    <w:p w14:paraId="35D2A9B1" w14:textId="4F25F6D5" w:rsidR="006F1930" w:rsidRPr="002C11FB" w:rsidRDefault="002C11FB" w:rsidP="006F1930">
      <w:pPr>
        <w:rPr>
          <w:rFonts w:eastAsiaTheme="minorEastAsia" w:cs="Lucida Grande"/>
          <w:sz w:val="32"/>
          <w:szCs w:val="28"/>
        </w:rPr>
      </w:pPr>
      <m:oMathPara>
        <m:oMath>
          <m:r>
            <m:rPr>
              <m:sty m:val="p"/>
            </m:rPr>
            <w:rPr>
              <w:rFonts w:ascii="Cambria Math" w:hAnsi="Cambria Math" w:cs="Lucida Grande"/>
            </w:rPr>
            <m:t xml:space="preserve">TN+FP= </m:t>
          </m:r>
          <m:sSup>
            <m:sSupPr>
              <m:ctrlPr>
                <w:rPr>
                  <w:rFonts w:ascii="Cambria Math" w:hAnsi="Cambria Math" w:cs="Lucida Grande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Lucida Grande"/>
                </w:rPr>
                <m:t>Z</m:t>
              </m:r>
            </m:e>
            <m:sup>
              <m:r>
                <m:rPr>
                  <m:sty m:val="p"/>
                </m:rPr>
                <w:rPr>
                  <w:rFonts w:ascii="Cambria Math" w:hAnsi="Cambria Math" w:cs="Lucida Grande"/>
                </w:rPr>
                <m:t>2</m:t>
              </m:r>
            </m:sup>
          </m:sSup>
          <m:r>
            <m:rPr>
              <m:sty m:val="p"/>
            </m:rPr>
            <w:rPr>
              <w:rFonts w:ascii="Cambria Math" w:hAnsi="Cambria Math" w:cs="Lucida Grande"/>
            </w:rPr>
            <m:t xml:space="preserve"> { </m:t>
          </m:r>
          <m:f>
            <m:fPr>
              <m:type m:val="skw"/>
              <m:ctrlPr>
                <w:rPr>
                  <w:rFonts w:ascii="Cambria Math" w:hAnsi="Cambria Math" w:cs="Lucida Grande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Lucida Grande"/>
                </w:rPr>
                <m:t>Specificity</m:t>
              </m:r>
              <m:d>
                <m:dPr>
                  <m:ctrlPr>
                    <w:rPr>
                      <w:rFonts w:ascii="Cambria Math" w:hAnsi="Cambria Math" w:cs="Lucida Grande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Lucida Grande"/>
                    </w:rPr>
                    <m:t>1-Specificity</m:t>
                  </m:r>
                </m:e>
              </m:d>
            </m:num>
            <m:den>
              <m:sSup>
                <m:sSupPr>
                  <m:ctrlPr>
                    <w:rPr>
                      <w:rFonts w:ascii="Cambria Math" w:hAnsi="Cambria Math" w:cs="Lucida Grande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Lucida Grande"/>
                    </w:rPr>
                    <m:t>W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Lucida Grande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 w:cs="Lucida Grande"/>
                </w:rPr>
                <m:t xml:space="preserve"> </m:t>
              </m:r>
            </m:den>
          </m:f>
          <m:r>
            <m:rPr>
              <m:sty m:val="p"/>
            </m:rPr>
            <w:rPr>
              <w:rFonts w:ascii="Cambria Math" w:hAnsi="Cambria Math" w:cs="Lucida Grande"/>
            </w:rPr>
            <m:t>}</m:t>
          </m:r>
        </m:oMath>
      </m:oMathPara>
    </w:p>
    <w:p w14:paraId="6DC4C8E2" w14:textId="77777777" w:rsidR="006F1930" w:rsidRPr="002C11FB" w:rsidRDefault="006F1930" w:rsidP="006F1930">
      <w:pPr>
        <w:rPr>
          <w:rFonts w:cs="Lucida Grande"/>
        </w:rPr>
      </w:pPr>
      <w:r w:rsidRPr="002C11FB">
        <w:rPr>
          <w:rFonts w:cs="Lucida Grande"/>
        </w:rPr>
        <w:t>Where TP is true positive, FN is false negative, TN is true negative, FP is false positive and Z is the normal distribution value, set to 1.96 for a 95% confidence interval. W is the maximum acceptable width of the 95% confidence interval, set to 0.1.</w:t>
      </w:r>
    </w:p>
    <w:p w14:paraId="315B8149" w14:textId="4F0D1CEB" w:rsidR="006F1930" w:rsidRPr="002C11FB" w:rsidRDefault="006F1930" w:rsidP="006F1930">
      <w:pPr>
        <w:rPr>
          <w:rFonts w:cs="Lucida Grande"/>
        </w:rPr>
      </w:pPr>
      <w:r w:rsidRPr="002C11FB">
        <w:rPr>
          <w:rFonts w:cs="Lucida Grande"/>
        </w:rPr>
        <w:t xml:space="preserve">Considering the study by </w:t>
      </w:r>
      <w:r w:rsidRPr="002C11FB">
        <w:rPr>
          <w:rFonts w:cs="Lucida Grande"/>
        </w:rPr>
        <w:fldChar w:fldCharType="begin">
          <w:fldData xml:space="preserve">PEVuZE5vdGU+PENpdGUgQXV0aG9yWWVhcj0iMSI+PEF1dGhvcj5Fc2thbmRhcjwvQXV0aG9yPjxZ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</w:fldData>
        </w:fldChar>
      </w:r>
      <w:r w:rsidR="002C11FB" w:rsidRPr="002C11FB">
        <w:rPr>
          <w:rFonts w:cs="Lucida Grande"/>
        </w:rPr>
        <w:instrText xml:space="preserve"> ADDIN EN.CITE </w:instrText>
      </w:r>
      <w:r w:rsidR="002C11FB" w:rsidRPr="002C11FB">
        <w:rPr>
          <w:rFonts w:cs="Lucida Grande"/>
        </w:rPr>
        <w:fldChar w:fldCharType="begin">
          <w:fldData xml:space="preserve">PEVuZE5vdGU+PENpdGUgQXV0aG9yWWVhcj0iMSI+PEF1dGhvcj5Fc2thbmRhcjwvQXV0aG9yPjxZ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</w:fldData>
        </w:fldChar>
      </w:r>
      <w:r w:rsidR="002C11FB" w:rsidRPr="002C11FB">
        <w:rPr>
          <w:rFonts w:cs="Lucida Grande"/>
        </w:rPr>
        <w:instrText xml:space="preserve"> ADDIN EN.CITE.DATA </w:instrText>
      </w:r>
      <w:r w:rsidR="002C11FB" w:rsidRPr="002C11FB">
        <w:rPr>
          <w:rFonts w:cs="Lucida Grande"/>
        </w:rPr>
      </w:r>
      <w:r w:rsidR="002C11FB" w:rsidRPr="002C11FB">
        <w:rPr>
          <w:rFonts w:cs="Lucida Grande"/>
        </w:rPr>
        <w:fldChar w:fldCharType="end"/>
      </w:r>
      <w:r w:rsidRPr="002C11FB">
        <w:rPr>
          <w:rFonts w:cs="Lucida Grande"/>
        </w:rPr>
        <w:fldChar w:fldCharType="separate"/>
      </w:r>
      <w:r w:rsidR="002C11FB" w:rsidRPr="002C11FB">
        <w:rPr>
          <w:rFonts w:cs="Lucida Grande"/>
          <w:noProof/>
        </w:rPr>
        <w:t>MA Eskandar, et al. [2]</w:t>
      </w:r>
      <w:r w:rsidRPr="002C11FB">
        <w:rPr>
          <w:rFonts w:cs="Lucida Grande"/>
        </w:rPr>
        <w:fldChar w:fldCharType="end"/>
      </w:r>
      <w:r w:rsidRPr="002C11FB">
        <w:rPr>
          <w:rFonts w:cs="Lucida Grande"/>
        </w:rPr>
        <w:t>:</w:t>
      </w:r>
    </w:p>
    <w:p w14:paraId="1E7B98AD" w14:textId="57F40B22" w:rsidR="006F1930" w:rsidRPr="002C11FB" w:rsidRDefault="002C11FB" w:rsidP="006F1930">
      <w:pPr>
        <w:rPr>
          <w:rFonts w:eastAsiaTheme="minorEastAsia" w:cs="Lucida Grande"/>
        </w:rPr>
      </w:pPr>
      <m:oMathPara>
        <m:oMath>
          <m:r>
            <m:rPr>
              <m:sty m:val="p"/>
            </m:rPr>
            <w:rPr>
              <w:rFonts w:ascii="Cambria Math" w:hAnsi="Cambria Math" w:cs="Lucida Grande"/>
            </w:rPr>
            <m:t>TP+FN=65.6</m:t>
          </m:r>
        </m:oMath>
      </m:oMathPara>
    </w:p>
    <w:p w14:paraId="069CDF72" w14:textId="095AC0D3" w:rsidR="006F1930" w:rsidRPr="002C11FB" w:rsidRDefault="002C11FB" w:rsidP="006F1930">
      <w:pPr>
        <w:rPr>
          <w:rFonts w:eastAsiaTheme="minorEastAsia" w:cs="Lucida Grande"/>
        </w:rPr>
      </w:pPr>
      <m:oMathPara>
        <m:oMath>
          <m:r>
            <m:rPr>
              <m:sty m:val="p"/>
            </m:rPr>
            <w:rPr>
              <w:rFonts w:ascii="Cambria Math" w:hAnsi="Cambria Math" w:cs="Lucida Grande"/>
            </w:rPr>
            <m:t>TN+FP=90.2</m:t>
          </m:r>
        </m:oMath>
      </m:oMathPara>
    </w:p>
    <w:p w14:paraId="4B34CD8A" w14:textId="36655657" w:rsidR="006F1930" w:rsidRPr="002C11FB" w:rsidRDefault="006F1930" w:rsidP="006F1930">
      <w:pPr>
        <w:rPr>
          <w:rFonts w:cs="Lucida Grande"/>
        </w:rPr>
      </w:pPr>
      <w:r w:rsidRPr="002C11FB">
        <w:rPr>
          <w:rFonts w:cs="Lucida Grande"/>
        </w:rPr>
        <w:t xml:space="preserve">Continuing with formula by </w:t>
      </w:r>
      <w:r w:rsidRPr="002C11FB">
        <w:rPr>
          <w:rFonts w:cs="Lucida Grande"/>
        </w:rPr>
        <w:fldChar w:fldCharType="begin"/>
      </w:r>
      <w:r w:rsidR="002C11FB" w:rsidRPr="002C11FB">
        <w:rPr>
          <w:rFonts w:cs="Lucida Grande"/>
        </w:rPr>
        <w:instrText xml:space="preserve"> ADDIN EN.CITE &lt;EndNote&gt;&lt;Cite&gt;&lt;Author&gt;Buderer&lt;/Author&gt;&lt;Year&gt;1996&lt;/Year&gt;&lt;RecNum&gt;53&lt;/RecNum&gt;&lt;DisplayText&gt;[3]&lt;/DisplayText&gt;&lt;record&gt;&lt;rec-number&gt;53&lt;/rec-number&gt;&lt;foreign-keys&gt;&lt;key app="EN" db-id="2faeedz0ns92z6efeptva0wrzffs9atwvdft" timestamp="1671636578"&gt;53&lt;/key&gt;&lt;/foreign-keys&gt;&lt;ref-type name="Journal Article"&gt;17&lt;/ref-type&gt;&lt;contributors&gt;&lt;authors&gt;&lt;author&gt;Buderer, N. M.&lt;/author&gt;&lt;/authors&gt;&lt;/contributors&gt;&lt;auth-address&gt;St. Vincent Medical Center, Research Department, Toledo, OH 43608, USA.&lt;/auth-address&gt;&lt;titles&gt;&lt;title&gt;Statistical methodology: I. Incorporating the prevalence of disease into the sample size calculation for sensitivity and specificity&lt;/title&gt;&lt;secondary-title&gt;Academic emergency medicine : official journal of the Society for Academic Emergency Medicine&lt;/secondary-title&gt;&lt;alt-title&gt;Acad Emerg Med&lt;/alt-title&gt;&lt;/titles&gt;&lt;periodical&gt;&lt;full-title&gt;Academic emergency medicine : official journal of the Society for Academic Emergency Medicine&lt;/full-title&gt;&lt;abbr-1&gt;Acad Emerg Med&lt;/abbr-1&gt;&lt;/periodical&gt;&lt;alt-periodical&gt;&lt;full-title&gt;Academic emergency medicine : official journal of the Society for Academic Emergency Medicine&lt;/full-title&gt;&lt;abbr-1&gt;Acad Emerg Med&lt;/abbr-1&gt;&lt;/alt-periodical&gt;&lt;pages&gt;895-900&lt;/pages&gt;&lt;volume&gt;3&lt;/volume&gt;&lt;number&gt;9&lt;/number&gt;&lt;keywords&gt;&lt;keyword&gt;Prevalence&lt;/keyword&gt;&lt;keyword&gt;Data Interpretation, Statistical&lt;/keyword&gt;&lt;keyword&gt;Sensitivity and Specificity&lt;/keyword&gt;&lt;keyword&gt;Sampling Studies&lt;/keyword&gt;&lt;keyword&gt;Research Design&lt;/keyword&gt;&lt;/keywords&gt;&lt;dates&gt;&lt;year&gt;1996&lt;/year&gt;&lt;pub-dates&gt;&lt;date&gt;1996/09//&lt;/date&gt;&lt;/pub-dates&gt;&lt;/dates&gt;&lt;isbn&gt;1069-6563&lt;/isbn&gt;&lt;accession-num&gt;8870764&lt;/accession-num&gt;&lt;urls&gt;&lt;related-urls&gt;&lt;url&gt;http://europepmc.org/abstract/MED/8870764&lt;/url&gt;&lt;url&gt;https://doi.org/10.1111/j.1553-2712.1996.tb03538.x&lt;/url&gt;&lt;/related-urls&gt;&lt;/urls&gt;&lt;electronic-resource-num&gt;10.1111/j.1553-2712.1996.tb03538.x&lt;/electronic-resource-num&gt;&lt;remote-database-name&gt;PubMed&lt;/remote-database-name&gt;&lt;language&gt;eng&lt;/language&gt;&lt;/record&gt;&lt;/Cite&gt;&lt;/EndNote&gt;</w:instrText>
      </w:r>
      <w:r w:rsidRPr="002C11FB">
        <w:rPr>
          <w:rFonts w:cs="Lucida Grande"/>
        </w:rPr>
        <w:fldChar w:fldCharType="separate"/>
      </w:r>
      <w:r w:rsidR="002C11FB" w:rsidRPr="002C11FB">
        <w:rPr>
          <w:rFonts w:cs="Lucida Grande"/>
          <w:noProof/>
        </w:rPr>
        <w:t>[3]</w:t>
      </w:r>
      <w:r w:rsidRPr="002C11FB">
        <w:rPr>
          <w:rFonts w:cs="Lucida Grande"/>
        </w:rPr>
        <w:fldChar w:fldCharType="end"/>
      </w:r>
      <w:r w:rsidRPr="002C11FB">
        <w:rPr>
          <w:rFonts w:cs="Lucida Grande"/>
        </w:rPr>
        <w:t xml:space="preserve"> and the live birth rate from medically assisted reproduction per embryo transfer of 33%</w:t>
      </w:r>
      <w:r w:rsidRPr="002C11FB">
        <w:rPr>
          <w:rFonts w:cs="Lucida Grande"/>
        </w:rPr>
        <w:fldChar w:fldCharType="begin"/>
      </w:r>
      <w:r w:rsidR="002C11FB" w:rsidRPr="002C11FB">
        <w:rPr>
          <w:rFonts w:cs="Lucida Grande"/>
        </w:rPr>
        <w:instrText xml:space="preserve"> ADDIN EN.CITE &lt;EndNote&gt;&lt;Cite&gt;&lt;Author&gt;CDC&lt;/Author&gt;&lt;Year&gt;2019&lt;/Year&gt;&lt;RecNum&gt;1&lt;/RecNum&gt;&lt;DisplayText&gt;[4]&lt;/DisplayText&gt;&lt;record&gt;&lt;rec-number&gt;1&lt;/rec-number&gt;&lt;foreign-keys&gt;&lt;key app="EN" db-id="2faeedz0ns92z6efeptva0wrzffs9atwvdft" timestamp="1671636577"&gt;1&lt;/key&gt;&lt;/foreign-keys&gt;&lt;ref-type name="Report"&gt;27&lt;/ref-type&gt;&lt;contributors&gt;&lt;authors&gt;&lt;author&gt;CDC,&lt;/author&gt;&lt;/authors&gt;&lt;tertiary-authors&gt;&lt;author&gt;CDC&lt;/author&gt;&lt;/tertiary-authors&gt;&lt;subsidiary-authors&gt;&lt;author&gt;National Centre for Chronic Disease Prevention and Helath Promotion/Division of Reproductive Health&lt;/author&gt;&lt;/subsidiary-authors&gt;&lt;/contributors&gt;&lt;titles&gt;&lt;title&gt;Assisted Reproductive Technology Fertility Clinic Success Rates Report,&lt;/title&gt;&lt;/titles&gt;&lt;volume&gt;2017&lt;/volume&gt;&lt;dates&gt;&lt;year&gt;2019&lt;/year&gt;&lt;/dates&gt;&lt;pub-location&gt;Atlanta (GA)&lt;/pub-location&gt;&lt;publisher&gt;US Dept of Health and Human Services&lt;/publisher&gt;&lt;urls&gt;&lt;related-urls&gt;&lt;url&gt;https://www.cdc.gov/art/artdata/index.html&lt;/url&gt;&lt;/related-urls&gt;&lt;/urls&gt;&lt;language&gt;English&lt;/language&gt;&lt;/record&gt;&lt;/Cite&gt;&lt;/EndNote&gt;</w:instrText>
      </w:r>
      <w:r w:rsidRPr="002C11FB">
        <w:rPr>
          <w:rFonts w:cs="Lucida Grande"/>
        </w:rPr>
        <w:fldChar w:fldCharType="separate"/>
      </w:r>
      <w:r w:rsidR="002C11FB" w:rsidRPr="002C11FB">
        <w:rPr>
          <w:rFonts w:cs="Lucida Grande"/>
          <w:noProof/>
        </w:rPr>
        <w:t>[4]</w:t>
      </w:r>
      <w:r w:rsidRPr="002C11FB">
        <w:rPr>
          <w:rFonts w:cs="Lucida Grande"/>
        </w:rPr>
        <w:fldChar w:fldCharType="end"/>
      </w:r>
      <w:r w:rsidRPr="002C11FB">
        <w:rPr>
          <w:rFonts w:cs="Lucida Grande"/>
        </w:rPr>
        <w:t>:</w:t>
      </w:r>
    </w:p>
    <w:p w14:paraId="43BDF8A8" w14:textId="7C67D392" w:rsidR="006F1930" w:rsidRPr="002C11FB" w:rsidRDefault="00000000" w:rsidP="006F1930">
      <w:pPr>
        <w:jc w:val="center"/>
        <w:rPr>
          <w:rFonts w:cs="Lucida Grande"/>
        </w:rPr>
      </w:pPr>
      <m:oMathPara>
        <m:oMath>
          <m:sSub>
            <m:sSubPr>
              <m:ctrlPr>
                <w:rPr>
                  <w:rFonts w:ascii="Cambria Math" w:hAnsi="Cambria Math" w:cs="Lucida Grande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Lucida Grande"/>
                </w:rPr>
                <m:t>N</m:t>
              </m:r>
            </m:e>
            <m:sub>
              <m:r>
                <m:rPr>
                  <m:sty m:val="p"/>
                </m:rPr>
                <w:rPr>
                  <w:rFonts w:ascii="Cambria Math" w:hAnsi="Cambria Math" w:cs="Lucida Grande"/>
                </w:rPr>
                <m:t>1</m:t>
              </m:r>
            </m:sub>
          </m:sSub>
          <m:r>
            <m:rPr>
              <m:sty m:val="p"/>
            </m:rPr>
            <w:rPr>
              <w:rFonts w:ascii="Cambria Math" w:hAnsi="Cambria Math" w:cs="Lucida Grande"/>
            </w:rPr>
            <m:t xml:space="preserve"> for sensitivity= </m:t>
          </m:r>
          <m:f>
            <m:fPr>
              <m:type m:val="skw"/>
              <m:ctrlPr>
                <w:rPr>
                  <w:rFonts w:ascii="Cambria Math" w:hAnsi="Cambria Math" w:cs="Lucida Grande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Lucida Grande"/>
                </w:rPr>
                <m:t>TP+FN</m:t>
              </m:r>
            </m:num>
            <m:den>
              <m:r>
                <m:rPr>
                  <m:sty m:val="p"/>
                </m:rPr>
                <w:rPr>
                  <w:rFonts w:ascii="Cambria Math" w:hAnsi="Cambria Math" w:cs="Lucida Grande"/>
                </w:rPr>
                <m:t xml:space="preserve">Prevalance </m:t>
              </m:r>
            </m:den>
          </m:f>
          <m:r>
            <m:rPr>
              <m:sty m:val="p"/>
            </m:rPr>
            <w:rPr>
              <w:rFonts w:ascii="Cambria Math" w:hAnsi="Cambria Math" w:cs="Lucida Grande"/>
            </w:rPr>
            <m:t xml:space="preserve">= </m:t>
          </m:r>
          <m:f>
            <m:fPr>
              <m:ctrlPr>
                <w:rPr>
                  <w:rFonts w:ascii="Cambria Math" w:hAnsi="Cambria Math" w:cs="Lucida Grande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Lucida Grande"/>
                </w:rPr>
                <m:t>65.6</m:t>
              </m:r>
            </m:num>
            <m:den>
              <m:r>
                <m:rPr>
                  <m:sty m:val="p"/>
                </m:rPr>
                <w:rPr>
                  <w:rFonts w:ascii="Cambria Math" w:hAnsi="Cambria Math" w:cs="Lucida Grande"/>
                </w:rPr>
                <m:t>0.33</m:t>
              </m:r>
            </m:den>
          </m:f>
          <m:r>
            <m:rPr>
              <m:sty m:val="p"/>
            </m:rPr>
            <w:rPr>
              <w:rFonts w:ascii="Cambria Math" w:hAnsi="Cambria Math" w:cs="Lucida Grande"/>
            </w:rPr>
            <m:t>=199</m:t>
          </m:r>
        </m:oMath>
      </m:oMathPara>
    </w:p>
    <w:p w14:paraId="69F9107B" w14:textId="328C0EAA" w:rsidR="006F1930" w:rsidRPr="002C11FB" w:rsidRDefault="00000000" w:rsidP="006F1930">
      <w:pPr>
        <w:rPr>
          <w:rFonts w:eastAsiaTheme="minorEastAsia" w:cs="Lucida Grande"/>
        </w:rPr>
      </w:pPr>
      <m:oMathPara>
        <m:oMath>
          <m:sSub>
            <m:sSubPr>
              <m:ctrlPr>
                <w:rPr>
                  <w:rFonts w:ascii="Cambria Math" w:hAnsi="Cambria Math" w:cs="Lucida Grande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Lucida Grande"/>
                </w:rPr>
                <m:t>N</m:t>
              </m:r>
            </m:e>
            <m:sub>
              <m:r>
                <m:rPr>
                  <m:sty m:val="p"/>
                </m:rPr>
                <w:rPr>
                  <w:rFonts w:ascii="Cambria Math" w:hAnsi="Cambria Math" w:cs="Lucida Grande"/>
                </w:rPr>
                <m:t>2</m:t>
              </m:r>
            </m:sub>
          </m:sSub>
          <m:r>
            <m:rPr>
              <m:sty m:val="p"/>
            </m:rPr>
            <w:rPr>
              <w:rFonts w:ascii="Cambria Math" w:hAnsi="Cambria Math" w:cs="Lucida Grande"/>
            </w:rPr>
            <m:t xml:space="preserve"> for specificity= </m:t>
          </m:r>
          <m:f>
            <m:fPr>
              <m:type m:val="skw"/>
              <m:ctrlPr>
                <w:rPr>
                  <w:rFonts w:ascii="Cambria Math" w:hAnsi="Cambria Math" w:cs="Lucida Grande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Lucida Grande"/>
                </w:rPr>
                <m:t>TN+FP</m:t>
              </m:r>
            </m:num>
            <m:den>
              <m:r>
                <m:rPr>
                  <m:sty m:val="p"/>
                </m:rPr>
                <w:rPr>
                  <w:rFonts w:ascii="Cambria Math" w:hAnsi="Cambria Math" w:cs="Lucida Grande"/>
                </w:rPr>
                <m:t xml:space="preserve">(1-Prevalance) </m:t>
              </m:r>
            </m:den>
          </m:f>
          <m:r>
            <m:rPr>
              <m:sty m:val="p"/>
            </m:rPr>
            <w:rPr>
              <w:rFonts w:ascii="Cambria Math" w:hAnsi="Cambria Math" w:cs="Lucida Grande"/>
            </w:rPr>
            <m:t xml:space="preserve">= </m:t>
          </m:r>
          <m:f>
            <m:fPr>
              <m:ctrlPr>
                <w:rPr>
                  <w:rFonts w:ascii="Cambria Math" w:hAnsi="Cambria Math" w:cs="Lucida Grande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Lucida Grande"/>
                </w:rPr>
                <m:t>90.2</m:t>
              </m:r>
            </m:num>
            <m:den>
              <m:r>
                <m:rPr>
                  <m:sty m:val="p"/>
                </m:rPr>
                <w:rPr>
                  <w:rFonts w:ascii="Cambria Math" w:hAnsi="Cambria Math" w:cs="Lucida Grande"/>
                </w:rPr>
                <m:t>1-0.33</m:t>
              </m:r>
            </m:den>
          </m:f>
          <m:r>
            <m:rPr>
              <m:sty m:val="p"/>
            </m:rPr>
            <w:rPr>
              <w:rFonts w:ascii="Cambria Math" w:hAnsi="Cambria Math" w:cs="Lucida Grande"/>
            </w:rPr>
            <m:t>=135</m:t>
          </m:r>
        </m:oMath>
      </m:oMathPara>
    </w:p>
    <w:p w14:paraId="12FA3B84" w14:textId="7CE08CB2" w:rsidR="006F1930" w:rsidRPr="002C11FB" w:rsidRDefault="002C11FB" w:rsidP="006F1930">
      <w:pPr>
        <w:rPr>
          <w:rFonts w:eastAsiaTheme="minorEastAsia" w:cs="Lucida Grande"/>
        </w:rPr>
      </w:pPr>
      <m:oMathPara>
        <m:oMath>
          <m:r>
            <m:rPr>
              <m:sty m:val="p"/>
            </m:rPr>
            <w:rPr>
              <w:rFonts w:ascii="Cambria Math" w:hAnsi="Cambria Math" w:cs="Lucida Grande"/>
            </w:rPr>
            <m:t xml:space="preserve">Minimum sample size required is the larger of </m:t>
          </m:r>
          <m:sSub>
            <m:sSubPr>
              <m:ctrlPr>
                <w:rPr>
                  <w:rFonts w:ascii="Cambria Math" w:hAnsi="Cambria Math" w:cs="Lucida Grande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Lucida Grande"/>
                </w:rPr>
                <m:t>N</m:t>
              </m:r>
            </m:e>
            <m:sub>
              <m:r>
                <m:rPr>
                  <m:sty m:val="p"/>
                </m:rPr>
                <w:rPr>
                  <w:rFonts w:ascii="Cambria Math" w:hAnsi="Cambria Math" w:cs="Lucida Grande"/>
                </w:rPr>
                <m:t>1</m:t>
              </m:r>
            </m:sub>
          </m:sSub>
          <m:r>
            <m:rPr>
              <m:sty m:val="p"/>
            </m:rPr>
            <w:rPr>
              <w:rFonts w:ascii="Cambria Math" w:hAnsi="Cambria Math" w:cs="Lucida Grande"/>
            </w:rPr>
            <m:t xml:space="preserve"> or </m:t>
          </m:r>
          <m:sSub>
            <m:sSubPr>
              <m:ctrlPr>
                <w:rPr>
                  <w:rFonts w:ascii="Cambria Math" w:hAnsi="Cambria Math" w:cs="Lucida Grande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Lucida Grande"/>
                </w:rPr>
                <m:t>N</m:t>
              </m:r>
            </m:e>
            <m:sub>
              <m:r>
                <m:rPr>
                  <m:sty m:val="p"/>
                </m:rPr>
                <w:rPr>
                  <w:rFonts w:ascii="Cambria Math" w:hAnsi="Cambria Math" w:cs="Lucida Grande"/>
                </w:rPr>
                <m:t>2</m:t>
              </m:r>
            </m:sub>
          </m:sSub>
        </m:oMath>
      </m:oMathPara>
    </w:p>
    <w:p w14:paraId="24CA01F5" w14:textId="77777777" w:rsidR="006F1930" w:rsidRPr="002C11FB" w:rsidRDefault="006F1930" w:rsidP="006F1930">
      <w:pPr>
        <w:rPr>
          <w:rFonts w:eastAsiaTheme="minorEastAsia" w:cs="Lucida Grande"/>
          <w:u w:val="single"/>
        </w:rPr>
      </w:pPr>
      <w:r w:rsidRPr="002C11FB">
        <w:rPr>
          <w:rFonts w:eastAsiaTheme="minorEastAsia" w:cs="Lucida Grande"/>
          <w:u w:val="single"/>
        </w:rPr>
        <w:t>The study required a minimum of 199 participants to estimate the sensitivity and specificity of a serum beta hCG cut off to predict live birth in the target population with an estimated live birth prevalence of 33% and maximum acceptable 95% Confidence interval width of 10%.</w:t>
      </w:r>
    </w:p>
    <w:p w14:paraId="16F7A849" w14:textId="7F63DAE4" w:rsidR="002C11FB" w:rsidRPr="001A0EFF" w:rsidRDefault="002C11FB" w:rsidP="001A0EFF">
      <w:pPr>
        <w:pStyle w:val="Heading1"/>
      </w:pPr>
      <w:r w:rsidRPr="002C11FB">
        <w:t xml:space="preserve">References </w:t>
      </w:r>
    </w:p>
    <w:p w14:paraId="167CA6AC" w14:textId="77777777" w:rsidR="002C11FB" w:rsidRPr="002C11FB" w:rsidRDefault="002C11FB" w:rsidP="002C11FB">
      <w:pPr>
        <w:pStyle w:val="EndNoteBibliography"/>
        <w:spacing w:after="0"/>
        <w:ind w:left="720" w:hanging="720"/>
        <w:rPr>
          <w:noProof/>
        </w:rPr>
      </w:pPr>
      <w:r w:rsidRPr="002C11FB">
        <w:fldChar w:fldCharType="begin"/>
      </w:r>
      <w:r w:rsidRPr="002C11FB">
        <w:instrText xml:space="preserve"> ADDIN EN.REFLIST </w:instrText>
      </w:r>
      <w:r w:rsidRPr="002C11FB">
        <w:fldChar w:fldCharType="separate"/>
      </w:r>
      <w:r w:rsidRPr="002C11FB">
        <w:rPr>
          <w:noProof/>
        </w:rPr>
        <w:t>1.</w:t>
      </w:r>
      <w:r w:rsidRPr="002C11FB">
        <w:rPr>
          <w:noProof/>
        </w:rPr>
        <w:tab/>
        <w:t>Negida A et al: Sample Size Calculation Guide - Part 4: How to Calculate the Sample Size for a Diagnostic Test Accuracy Study based on Sensitivity, Specificity, and the Area Under the ROC Curve. In: Adv J Emerg Med. vol. 3; 2019: e33.</w:t>
      </w:r>
    </w:p>
    <w:p w14:paraId="623DE535" w14:textId="77777777" w:rsidR="002C11FB" w:rsidRPr="002C11FB" w:rsidRDefault="002C11FB" w:rsidP="002C11FB">
      <w:pPr>
        <w:pStyle w:val="EndNoteBibliography"/>
        <w:spacing w:after="0"/>
        <w:ind w:left="720" w:hanging="720"/>
        <w:rPr>
          <w:noProof/>
        </w:rPr>
      </w:pPr>
      <w:r w:rsidRPr="002C11FB">
        <w:rPr>
          <w:noProof/>
        </w:rPr>
        <w:t>2.</w:t>
      </w:r>
      <w:r w:rsidRPr="002C11FB">
        <w:rPr>
          <w:noProof/>
        </w:rPr>
        <w:tab/>
        <w:t>Eskandar MA et al: Early Maternal Serum β-human Chorionic Gonadotropin Measurements After ICSI in the Prediction of Long-term Pregnancy Outcomes: A Retrospective Cohort Analysis. J Clin Med Res 2011, 3(1):30-35.</w:t>
      </w:r>
    </w:p>
    <w:p w14:paraId="2BCE81B2" w14:textId="77777777" w:rsidR="002C11FB" w:rsidRPr="002C11FB" w:rsidRDefault="002C11FB" w:rsidP="002C11FB">
      <w:pPr>
        <w:pStyle w:val="EndNoteBibliography"/>
        <w:spacing w:after="0"/>
        <w:ind w:left="720" w:hanging="720"/>
        <w:rPr>
          <w:noProof/>
        </w:rPr>
      </w:pPr>
      <w:r w:rsidRPr="002C11FB">
        <w:rPr>
          <w:noProof/>
        </w:rPr>
        <w:t>3.</w:t>
      </w:r>
      <w:r w:rsidRPr="002C11FB">
        <w:rPr>
          <w:noProof/>
        </w:rPr>
        <w:tab/>
        <w:t>Buderer NM: Statistical methodology: I. Incorporating the prevalence of disease into the sample size calculation for sensitivity and specificity. Acad Emerg Med 1996, 3(9):895-900.</w:t>
      </w:r>
    </w:p>
    <w:p w14:paraId="64227261" w14:textId="77777777" w:rsidR="002C11FB" w:rsidRPr="002C11FB" w:rsidRDefault="002C11FB" w:rsidP="002C11FB">
      <w:pPr>
        <w:pStyle w:val="EndNoteBibliography"/>
        <w:ind w:left="720" w:hanging="720"/>
        <w:rPr>
          <w:noProof/>
        </w:rPr>
      </w:pPr>
      <w:r w:rsidRPr="002C11FB">
        <w:rPr>
          <w:noProof/>
        </w:rPr>
        <w:t>4.</w:t>
      </w:r>
      <w:r w:rsidRPr="002C11FB">
        <w:rPr>
          <w:noProof/>
        </w:rPr>
        <w:tab/>
        <w:t>CDC: Assisted Reproductive Technology Fertility Clinic Success Rates Report,. In., vol. 2017. Atlanta (GA): US Dept of Health and Human Services; 2019.</w:t>
      </w:r>
    </w:p>
    <w:p w14:paraId="742EC044" w14:textId="6C3C6603" w:rsidR="00BD4C90" w:rsidRPr="002C11FB" w:rsidRDefault="002C11FB">
      <w:pPr>
        <w:rPr>
          <w:rFonts w:cs="Lucida Grande"/>
        </w:rPr>
      </w:pPr>
      <w:r w:rsidRPr="002C11FB">
        <w:rPr>
          <w:rFonts w:cs="Lucida Grande"/>
        </w:rPr>
        <w:fldChar w:fldCharType="end"/>
      </w:r>
    </w:p>
    <w:sectPr w:rsidR="00BD4C90" w:rsidRPr="002C11FB" w:rsidSect="00F63C6F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BMC Public Health Copy&lt;/Style&gt;&lt;LeftDelim&gt;{&lt;/LeftDelim&gt;&lt;RightDelim&gt;}&lt;/RightDelim&gt;&lt;FontName&gt;Lucida Grande&lt;/FontName&gt;&lt;FontSize&gt;9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faeedz0ns92z6efeptva0wrzffs9atwvdft&quot;&gt;serum beta hcg&lt;record-ids&gt;&lt;item&gt;1&lt;/item&gt;&lt;item&gt;43&lt;/item&gt;&lt;item&gt;52&lt;/item&gt;&lt;item&gt;53&lt;/item&gt;&lt;/record-ids&gt;&lt;/item&gt;&lt;/Libraries&gt;"/>
  </w:docVars>
  <w:rsids>
    <w:rsidRoot w:val="006F1930"/>
    <w:rsid w:val="00013274"/>
    <w:rsid w:val="0002194E"/>
    <w:rsid w:val="0009088E"/>
    <w:rsid w:val="000F07D1"/>
    <w:rsid w:val="000F455F"/>
    <w:rsid w:val="00103FBC"/>
    <w:rsid w:val="0011593B"/>
    <w:rsid w:val="00132421"/>
    <w:rsid w:val="001447C8"/>
    <w:rsid w:val="0014519B"/>
    <w:rsid w:val="00161FC7"/>
    <w:rsid w:val="00194A52"/>
    <w:rsid w:val="001951B6"/>
    <w:rsid w:val="001A0EFF"/>
    <w:rsid w:val="001A4D36"/>
    <w:rsid w:val="001C7D50"/>
    <w:rsid w:val="001F2916"/>
    <w:rsid w:val="00211918"/>
    <w:rsid w:val="00231E27"/>
    <w:rsid w:val="002C11FB"/>
    <w:rsid w:val="00330B12"/>
    <w:rsid w:val="00352CCD"/>
    <w:rsid w:val="00353C58"/>
    <w:rsid w:val="003813FD"/>
    <w:rsid w:val="00392E16"/>
    <w:rsid w:val="003C3211"/>
    <w:rsid w:val="004114AF"/>
    <w:rsid w:val="00434A5A"/>
    <w:rsid w:val="00441AF9"/>
    <w:rsid w:val="004748B4"/>
    <w:rsid w:val="004A1B1E"/>
    <w:rsid w:val="004A797B"/>
    <w:rsid w:val="004C07F5"/>
    <w:rsid w:val="0055092E"/>
    <w:rsid w:val="0057143B"/>
    <w:rsid w:val="00595511"/>
    <w:rsid w:val="005B3F51"/>
    <w:rsid w:val="005D1560"/>
    <w:rsid w:val="00626029"/>
    <w:rsid w:val="00626364"/>
    <w:rsid w:val="006576D9"/>
    <w:rsid w:val="00672826"/>
    <w:rsid w:val="00685AE4"/>
    <w:rsid w:val="006A311C"/>
    <w:rsid w:val="006A7F7F"/>
    <w:rsid w:val="006F1930"/>
    <w:rsid w:val="006F70C1"/>
    <w:rsid w:val="007006ED"/>
    <w:rsid w:val="007053AB"/>
    <w:rsid w:val="00706545"/>
    <w:rsid w:val="007141C4"/>
    <w:rsid w:val="007803FD"/>
    <w:rsid w:val="007910CC"/>
    <w:rsid w:val="007B5099"/>
    <w:rsid w:val="007F78F1"/>
    <w:rsid w:val="00816C9B"/>
    <w:rsid w:val="00820B4C"/>
    <w:rsid w:val="00827ABB"/>
    <w:rsid w:val="00885C89"/>
    <w:rsid w:val="009041D0"/>
    <w:rsid w:val="0090738B"/>
    <w:rsid w:val="009264EA"/>
    <w:rsid w:val="00936723"/>
    <w:rsid w:val="00943BB7"/>
    <w:rsid w:val="00945324"/>
    <w:rsid w:val="00953D91"/>
    <w:rsid w:val="00955C2E"/>
    <w:rsid w:val="009B7B5A"/>
    <w:rsid w:val="00A139D4"/>
    <w:rsid w:val="00A36460"/>
    <w:rsid w:val="00A43C2C"/>
    <w:rsid w:val="00A60CC5"/>
    <w:rsid w:val="00A916B5"/>
    <w:rsid w:val="00AF6DD3"/>
    <w:rsid w:val="00B20C64"/>
    <w:rsid w:val="00B43244"/>
    <w:rsid w:val="00B47163"/>
    <w:rsid w:val="00B502E9"/>
    <w:rsid w:val="00C05C37"/>
    <w:rsid w:val="00C54DB3"/>
    <w:rsid w:val="00C72E9C"/>
    <w:rsid w:val="00C74FA1"/>
    <w:rsid w:val="00C9576E"/>
    <w:rsid w:val="00CB103C"/>
    <w:rsid w:val="00CB6F77"/>
    <w:rsid w:val="00CC5194"/>
    <w:rsid w:val="00D10DE1"/>
    <w:rsid w:val="00D21A76"/>
    <w:rsid w:val="00D41CBC"/>
    <w:rsid w:val="00D52CE9"/>
    <w:rsid w:val="00D640B5"/>
    <w:rsid w:val="00D659AE"/>
    <w:rsid w:val="00D73F42"/>
    <w:rsid w:val="00DA4E77"/>
    <w:rsid w:val="00E04CF0"/>
    <w:rsid w:val="00E66609"/>
    <w:rsid w:val="00EA1040"/>
    <w:rsid w:val="00EC3785"/>
    <w:rsid w:val="00EE243A"/>
    <w:rsid w:val="00F63C6F"/>
    <w:rsid w:val="00F664A1"/>
    <w:rsid w:val="00FA0971"/>
    <w:rsid w:val="00FD2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BAEB67"/>
  <w15:chartTrackingRefBased/>
  <w15:docId w15:val="{13C944AF-E00F-DF4E-86A5-3568C830E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1930"/>
    <w:pPr>
      <w:spacing w:after="160" w:line="259" w:lineRule="auto"/>
    </w:pPr>
    <w:rPr>
      <w:rFonts w:ascii="Lucida Grande" w:hAnsi="Lucida Grande"/>
      <w:sz w:val="18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11FB"/>
    <w:pPr>
      <w:keepNext/>
      <w:keepLines/>
      <w:spacing w:before="240" w:after="0"/>
      <w:outlineLvl w:val="0"/>
    </w:pPr>
    <w:rPr>
      <w:rFonts w:eastAsiaTheme="majorEastAsia" w:cstheme="majorBidi"/>
      <w:b/>
      <w:color w:val="000000" w:themeColor="text1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930"/>
    <w:pPr>
      <w:keepNext/>
      <w:keepLines/>
      <w:spacing w:before="40" w:after="0"/>
      <w:outlineLvl w:val="1"/>
    </w:pPr>
    <w:rPr>
      <w:rFonts w:eastAsiaTheme="majorEastAsia" w:cstheme="majorBidi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F1930"/>
    <w:rPr>
      <w:rFonts w:ascii="Lucida Grande" w:eastAsiaTheme="majorEastAsia" w:hAnsi="Lucida Grande" w:cstheme="majorBidi"/>
      <w:sz w:val="26"/>
      <w:szCs w:val="26"/>
      <w:lang w:val="en-GB"/>
    </w:rPr>
  </w:style>
  <w:style w:type="paragraph" w:customStyle="1" w:styleId="EndNoteBibliographyTitle">
    <w:name w:val="EndNote Bibliography Title"/>
    <w:basedOn w:val="Normal"/>
    <w:link w:val="EndNoteBibliographyTitleChar"/>
    <w:rsid w:val="002C11FB"/>
    <w:pPr>
      <w:spacing w:after="0"/>
      <w:jc w:val="center"/>
    </w:pPr>
    <w:rPr>
      <w:rFonts w:cs="Lucida Grande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C11FB"/>
    <w:rPr>
      <w:rFonts w:ascii="Lucida Grande" w:hAnsi="Lucida Grande" w:cs="Lucida Grande"/>
      <w:sz w:val="18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2C11FB"/>
    <w:pPr>
      <w:spacing w:line="240" w:lineRule="auto"/>
    </w:pPr>
    <w:rPr>
      <w:rFonts w:cs="Lucida Grande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2C11FB"/>
    <w:rPr>
      <w:rFonts w:ascii="Lucida Grande" w:hAnsi="Lucida Grande" w:cs="Lucida Grande"/>
      <w:sz w:val="18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2C11FB"/>
    <w:rPr>
      <w:rFonts w:ascii="Lucida Grande" w:eastAsiaTheme="majorEastAsia" w:hAnsi="Lucida Grande" w:cstheme="majorBidi"/>
      <w:b/>
      <w:color w:val="000000" w:themeColor="text1"/>
      <w:szCs w:val="3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1359</Words>
  <Characters>7750</Characters>
  <Application>Microsoft Office Word</Application>
  <DocSecurity>0</DocSecurity>
  <Lines>64</Lines>
  <Paragraphs>18</Paragraphs>
  <ScaleCrop>false</ScaleCrop>
  <Company/>
  <LinksUpToDate>false</LinksUpToDate>
  <CharactersWithSpaces>9091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Kayiira Anthony</dc:creator>
  <cp:keywords/>
  <dc:description/>
  <cp:lastModifiedBy>Kayiira Anthony</cp:lastModifiedBy>
  <cp:revision>4</cp:revision>
  <cp:lastPrinted>2022-02-04T12:29:00Z</cp:lastPrinted>
  <dcterms:created xsi:type="dcterms:W3CDTF">2022-12-23T10:40:00Z</dcterms:created>
  <dcterms:modified xsi:type="dcterms:W3CDTF">2023-01-03T13:07:00Z</dcterms:modified>
</cp:coreProperties>
</file>