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B644" w14:textId="77777777" w:rsidR="003176C7" w:rsidRPr="006246F8" w:rsidRDefault="003176C7" w:rsidP="003176C7">
      <w:pPr>
        <w:pStyle w:val="EndNoteBibliography"/>
        <w:spacing w:after="0"/>
        <w:jc w:val="both"/>
        <w:rPr>
          <w:b/>
          <w:i/>
        </w:rPr>
      </w:pPr>
      <w:r>
        <w:rPr>
          <w:b/>
        </w:rPr>
        <w:t>SUPPLEMENTARY INFORMATION</w:t>
      </w:r>
    </w:p>
    <w:p w14:paraId="3B5545C4" w14:textId="77777777" w:rsidR="003176C7" w:rsidRDefault="003176C7" w:rsidP="003176C7">
      <w:pPr>
        <w:jc w:val="both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Reagents.</w:t>
      </w:r>
    </w:p>
    <w:p w14:paraId="51623BBB" w14:textId="77777777" w:rsidR="003176C7" w:rsidRDefault="003176C7" w:rsidP="003176C7">
      <w:pPr>
        <w:jc w:val="both"/>
        <w:rPr>
          <w:lang w:val="en-GB"/>
        </w:rPr>
      </w:pPr>
      <w:r>
        <w:rPr>
          <w:lang w:val="en-GB"/>
        </w:rPr>
        <w:t>2-β mercaptoethanol (M3148), Ammonium sulfate (A-4418), Brilliant Blue G250 (B-0770),  Hepes (H3375), Sodium Chloride (NaCl, 59625), Phosporic acid (7664-38-2), Sodium dodecyl sulfate (SDS, S7920), Trizma base (Tris HCl, T-5941) were purchased from Sigma-Aldrich. Glycerol (BP229-1) and Methanol (M/4062/17) were purchased from Fischer Scientific. Dimethylsulfoxide was purchased from Merck. Absolute anhydrous ethanol was purchased from Carlo Erba. Nitrogen was purchased from Linde. Milli-Q water was generated using an Arium® Pure DI Ultrapure Water System (Sartorius).</w:t>
      </w:r>
    </w:p>
    <w:p w14:paraId="409A525F" w14:textId="77777777" w:rsidR="003176C7" w:rsidRDefault="003176C7" w:rsidP="003176C7">
      <w:pPr>
        <w:rPr>
          <w:b/>
          <w:color w:val="000000" w:themeColor="text1"/>
          <w:lang w:val="en-US"/>
        </w:rPr>
      </w:pPr>
    </w:p>
    <w:p w14:paraId="7B56CD64" w14:textId="77777777" w:rsidR="003176C7" w:rsidRPr="00F46841" w:rsidRDefault="003176C7" w:rsidP="003176C7">
      <w:pPr>
        <w:jc w:val="both"/>
        <w:rPr>
          <w:b/>
          <w:color w:val="000000" w:themeColor="text1"/>
          <w:lang w:val="en-US"/>
        </w:rPr>
      </w:pPr>
      <w:r w:rsidRPr="00F46841">
        <w:rPr>
          <w:b/>
          <w:color w:val="000000" w:themeColor="text1"/>
          <w:lang w:val="en-US"/>
        </w:rPr>
        <w:t>R2S</w:t>
      </w:r>
      <w:r>
        <w:rPr>
          <w:b/>
          <w:color w:val="000000" w:themeColor="text1"/>
          <w:lang w:val="en-US"/>
        </w:rPr>
        <w:t xml:space="preserve">P expression and purification. </w:t>
      </w:r>
    </w:p>
    <w:p w14:paraId="4C126F16" w14:textId="77777777" w:rsidR="003176C7" w:rsidRPr="004B171B" w:rsidRDefault="003176C7" w:rsidP="003176C7">
      <w:pPr>
        <w:jc w:val="both"/>
        <w:rPr>
          <w:color w:val="000000" w:themeColor="text1"/>
          <w:lang w:val="en-US"/>
        </w:rPr>
      </w:pPr>
      <w:r w:rsidRPr="004B171B">
        <w:rPr>
          <w:color w:val="000000" w:themeColor="text1"/>
          <w:lang w:val="en-US"/>
        </w:rPr>
        <w:t xml:space="preserve">RuvBL1ΔT127-E233 carries an N-terminal 6x His-tag followed by thrombin cleavage site, while RuvBL2ΔE134-E237 carries an C-terminal Flag+FH8 tag preceded by HRV-3C cleavage site (Flag was used for detection). The RuvBL1ΔT127-E233- RuvBL2 ΔE134-E237 complex was expressed in E. coli (DE3) (Novagen, 71400), with 100 μM IPTG overnight at 18 °C. The complex was immobilized in a 5 ml HistrapTM HP (GE Healthcare) and eluted with 300mM imidazole. Peak fractions collected from the HisTrap were incubated with 5mM CaCl2 during 1 h and loaded onto an HiPrepTM Octyl FF 16/10 column (GE Healthcare). Bound proteins were eluted using 5mM EDTA. To remove the FLAG_FH8 tag the collected samples were incubated 18 h at 4 °C with 1 % (w/w) HRV-3C protease (Thermo Fisher Scientific). A final Superose 6 equilibrated in buffer 20 mM Tris–HCl pH 8.0, 150mM NaCl, 5% glycerol, 2mM MgCl2 and 0.5mM TCEP, was used to separate a stable dodecameric peak, from the HRV3C protease and cleaved tags. The pooled dodecamer was concentrated to 37.75 mg/ml using a 30 kDa Cut-off Amicon Ultra centrifugal filter (Millipore). </w:t>
      </w:r>
    </w:p>
    <w:p w14:paraId="7A3C7F46" w14:textId="77777777" w:rsidR="003176C7" w:rsidRDefault="003176C7" w:rsidP="003176C7">
      <w:pPr>
        <w:jc w:val="both"/>
        <w:rPr>
          <w:color w:val="000000" w:themeColor="text1"/>
          <w:lang w:val="en-US"/>
        </w:rPr>
      </w:pPr>
      <w:r w:rsidRPr="004B171B">
        <w:rPr>
          <w:color w:val="000000" w:themeColor="text1"/>
          <w:lang w:val="en-US"/>
        </w:rPr>
        <w:t>SPAG1(622-926) carries an C-terminal Flag-tag without a cleavage site, while PIH1D2(231-315) has a C-terminal StrepTag II preceded by a Human Rhino Virus 3C cleavage site (HRV-3C). SPAG1(622-926)/PIH1D2(231-315) were co-expressed in Escherichia coli (DE3*) (Novagen, 71400), with 50 µM IPTG overnight at 18 °C in a New Brunswick™ (Innova®) 44R Shaker at 150 rpm. The SP_mini complex was immobilized in a 5 ml StrepTactin XT HC (IBA life sciences), and eluted with 50 mM Biotin. Peak fractions collected from the StrepTactin XT were Injected in a Superdex 200 16/60 XK equilibrated in Buffer 20 mM Hepes pH 8, 300 mM NaCl, 0.5 mM TCEP, allowing the isolation of a heterodimer. Collected fractions from the main peak were diluted to reduce the concentration of NaCl to 50 mM, and further polished in ResourceTM Q (GE), and eluted with a linear gradient, allowing the separation of a major peak corresponding to the intact complex (w/o degradation) at approximately 170 mM NaCl. Collected peak fractions were supplemented with 20 mM imidazole and tag removal was performed by incubating 18 h at 4 °C with 1% (w/w) HRV-3C protease (Thermo Fisher Scientific). Digested sample was injected in a 5ml StrepTactin XT in tandem with 1ml HisTrap. The collected flow was concentrated to 14.7 mg/ml using a 3 kDa Cut-off Amicon Ultra centrifugal filter (Millipore). All purification steps were carried out at room temperature and were monitored by NuPAGE Bis-Tris gels (Invitrogen, NP0302).</w:t>
      </w:r>
    </w:p>
    <w:p w14:paraId="7DEB89ED" w14:textId="77777777" w:rsidR="003176C7" w:rsidRDefault="003176C7" w:rsidP="003176C7">
      <w:pPr>
        <w:jc w:val="both"/>
        <w:rPr>
          <w:color w:val="000000" w:themeColor="text1"/>
          <w:lang w:val="en-US"/>
        </w:rPr>
      </w:pPr>
    </w:p>
    <w:p w14:paraId="50173FB5" w14:textId="77777777" w:rsidR="003176C7" w:rsidRPr="00F46841" w:rsidRDefault="003176C7" w:rsidP="003176C7">
      <w:pPr>
        <w:jc w:val="both"/>
        <w:rPr>
          <w:b/>
          <w:color w:val="000000" w:themeColor="text1"/>
          <w:lang w:val="en-US"/>
        </w:rPr>
      </w:pPr>
      <w:r w:rsidRPr="00F46841">
        <w:rPr>
          <w:b/>
          <w:color w:val="000000" w:themeColor="text1"/>
          <w:lang w:val="en-US"/>
        </w:rPr>
        <w:t>R2SP complex formation</w:t>
      </w:r>
      <w:r>
        <w:rPr>
          <w:b/>
          <w:color w:val="000000" w:themeColor="text1"/>
          <w:lang w:val="en-US"/>
        </w:rPr>
        <w:t>.</w:t>
      </w:r>
    </w:p>
    <w:p w14:paraId="26F3F146" w14:textId="77777777" w:rsidR="003176C7" w:rsidRPr="006246F8" w:rsidRDefault="003176C7" w:rsidP="003176C7">
      <w:pPr>
        <w:jc w:val="both"/>
        <w:rPr>
          <w:color w:val="000000" w:themeColor="text1"/>
          <w:lang w:val="en-US"/>
        </w:rPr>
      </w:pPr>
      <w:r w:rsidRPr="006246F8">
        <w:rPr>
          <w:color w:val="000000" w:themeColor="text1"/>
          <w:lang w:val="en-US"/>
        </w:rPr>
        <w:t>R2SP complex was formed by mixing pure RuvBL1(ΔT127-E233)/RuvBL2(ΔE134-E237) with excess pure SPAG1(622-926)/PIH1D2(231-315) complex at a ratio of 1 :</w:t>
      </w:r>
      <w:r>
        <w:rPr>
          <w:color w:val="000000" w:themeColor="text1"/>
          <w:lang w:val="en-US"/>
        </w:rPr>
        <w:t xml:space="preserve"> </w:t>
      </w:r>
      <w:r w:rsidRPr="006246F8">
        <w:rPr>
          <w:color w:val="000000" w:themeColor="text1"/>
          <w:lang w:val="en-US"/>
        </w:rPr>
        <w:t xml:space="preserve">4 (considering RuvBLs dodecameric, and SPAG1/PIH1D2 heterodimeric) over night at 4 °C. Formed R2SP complex was separated from free excess SPAG1/PIH1D2 using a Superose 6 16/60 XK (GE Healthcare) previously equilibrated in 20 mM Hepes pH 8, 150 mM NaCl, 2mM MgCl2, and 0.5 mM TCEP.  The eluted peak was concentrated to  </w:t>
      </w:r>
      <w:r>
        <w:rPr>
          <w:color w:val="000000" w:themeColor="text1"/>
          <w:lang w:val="en-US"/>
        </w:rPr>
        <w:t xml:space="preserve">7.5 </w:t>
      </w:r>
      <w:r w:rsidRPr="006246F8">
        <w:rPr>
          <w:color w:val="000000" w:themeColor="text1"/>
          <w:lang w:val="en-US"/>
        </w:rPr>
        <w:t>mg/ml using a 3 kDa Cut-off Amicon Ultra centrifugal filter (Millipore)</w:t>
      </w:r>
    </w:p>
    <w:p w14:paraId="777BE132" w14:textId="77777777" w:rsidR="003176C7" w:rsidRPr="00354272" w:rsidRDefault="003176C7" w:rsidP="003176C7">
      <w:pPr>
        <w:jc w:val="both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Cross-linking mass spectrometry.</w:t>
      </w:r>
    </w:p>
    <w:p w14:paraId="667B220A" w14:textId="77777777" w:rsidR="003176C7" w:rsidRDefault="003176C7" w:rsidP="003176C7">
      <w:pPr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R2SP complex was cross-linked in triplicates with 25, 100, 400 molar excesses of DSBU (45 min, 18°C), as described in Methods part, before quenching reaction with 15 mM Tris HCl (20 min). S</w:t>
      </w:r>
      <w:r w:rsidRPr="00CC1EB3">
        <w:rPr>
          <w:color w:val="000000" w:themeColor="text1"/>
          <w:lang w:val="en-US"/>
        </w:rPr>
        <w:t>amples were r</w:t>
      </w:r>
      <w:r>
        <w:rPr>
          <w:color w:val="000000" w:themeColor="text1"/>
          <w:lang w:val="en-US"/>
        </w:rPr>
        <w:t xml:space="preserve">educed by adding DTT to a final </w:t>
      </w:r>
      <w:r w:rsidRPr="00CC1EB3">
        <w:rPr>
          <w:color w:val="000000" w:themeColor="text1"/>
          <w:lang w:val="en-US"/>
        </w:rPr>
        <w:t xml:space="preserve">concentration of 5 mM and incubation at 37°C for 30 min. The </w:t>
      </w:r>
      <w:r>
        <w:rPr>
          <w:color w:val="000000" w:themeColor="text1"/>
          <w:lang w:val="en-US"/>
        </w:rPr>
        <w:t xml:space="preserve">alkylation was done </w:t>
      </w:r>
      <w:r w:rsidRPr="00CC1EB3">
        <w:rPr>
          <w:color w:val="000000" w:themeColor="text1"/>
          <w:lang w:val="en-US"/>
        </w:rPr>
        <w:t xml:space="preserve">by adding Iodoacetamide to a final concentration of 15 mM </w:t>
      </w:r>
      <w:r>
        <w:rPr>
          <w:color w:val="000000" w:themeColor="text1"/>
          <w:lang w:val="en-US"/>
        </w:rPr>
        <w:t xml:space="preserve">(1 hour incubation step in </w:t>
      </w:r>
      <w:r w:rsidRPr="00CC1EB3">
        <w:rPr>
          <w:color w:val="000000" w:themeColor="text1"/>
          <w:lang w:val="en-US"/>
        </w:rPr>
        <w:t>the dark</w:t>
      </w:r>
      <w:r>
        <w:rPr>
          <w:color w:val="000000" w:themeColor="text1"/>
          <w:lang w:val="en-US"/>
        </w:rPr>
        <w:t>)</w:t>
      </w:r>
      <w:r w:rsidRPr="00CC1EB3">
        <w:rPr>
          <w:color w:val="000000" w:themeColor="text1"/>
          <w:lang w:val="en-US"/>
        </w:rPr>
        <w:t xml:space="preserve">. </w:t>
      </w:r>
      <w:r>
        <w:rPr>
          <w:color w:val="000000" w:themeColor="text1"/>
          <w:lang w:val="en-US"/>
        </w:rPr>
        <w:t>S</w:t>
      </w:r>
      <w:r w:rsidRPr="00CC1EB3">
        <w:rPr>
          <w:color w:val="000000" w:themeColor="text1"/>
          <w:lang w:val="en-US"/>
        </w:rPr>
        <w:t xml:space="preserve">amples were </w:t>
      </w:r>
      <w:r>
        <w:rPr>
          <w:color w:val="000000" w:themeColor="text1"/>
          <w:lang w:val="en-US"/>
        </w:rPr>
        <w:t>then</w:t>
      </w:r>
      <w:r w:rsidRPr="00CC1EB3">
        <w:rPr>
          <w:color w:val="000000" w:themeColor="text1"/>
          <w:lang w:val="en-US"/>
        </w:rPr>
        <w:t xml:space="preserve"> processed </w:t>
      </w:r>
      <w:r>
        <w:rPr>
          <w:color w:val="000000" w:themeColor="text1"/>
          <w:lang w:val="en-US"/>
        </w:rPr>
        <w:t>with</w:t>
      </w:r>
      <w:r w:rsidRPr="00CC1EB3">
        <w:rPr>
          <w:color w:val="000000" w:themeColor="text1"/>
          <w:lang w:val="en-US"/>
        </w:rPr>
        <w:t xml:space="preserve"> ove</w:t>
      </w:r>
      <w:r>
        <w:rPr>
          <w:color w:val="000000" w:themeColor="text1"/>
          <w:lang w:val="en-US"/>
        </w:rPr>
        <w:t xml:space="preserve">rnight digestion with Trypsin/Lys-C </w:t>
      </w:r>
      <w:r w:rsidRPr="00CC1EB3">
        <w:rPr>
          <w:color w:val="000000" w:themeColor="text1"/>
          <w:lang w:val="en-US"/>
        </w:rPr>
        <w:t>(Promega, Madison, USA) at a 50:1 substrate:enzyme ratio (w/w) at</w:t>
      </w:r>
      <w:r>
        <w:rPr>
          <w:color w:val="000000" w:themeColor="text1"/>
          <w:lang w:val="en-US"/>
        </w:rPr>
        <w:t xml:space="preserve"> 37°C overnight. The digestions </w:t>
      </w:r>
      <w:r w:rsidRPr="00CC1EB3">
        <w:rPr>
          <w:color w:val="000000" w:themeColor="text1"/>
          <w:lang w:val="en-US"/>
        </w:rPr>
        <w:t>were finally quenched with 1</w:t>
      </w:r>
      <w:r>
        <w:rPr>
          <w:color w:val="000000" w:themeColor="text1"/>
          <w:lang w:val="en-US"/>
        </w:rPr>
        <w:t xml:space="preserve"> </w:t>
      </w:r>
      <w:r w:rsidRPr="00CC1EB3">
        <w:rPr>
          <w:color w:val="000000" w:themeColor="text1"/>
          <w:lang w:val="en-US"/>
        </w:rPr>
        <w:t>% TFA.</w:t>
      </w:r>
      <w:r>
        <w:rPr>
          <w:color w:val="000000" w:themeColor="text1"/>
          <w:lang w:val="en-US"/>
        </w:rPr>
        <w:t xml:space="preserve"> </w:t>
      </w:r>
    </w:p>
    <w:p w14:paraId="1CD5C29C" w14:textId="77777777" w:rsidR="003176C7" w:rsidRDefault="003176C7" w:rsidP="003176C7">
      <w:pPr>
        <w:jc w:val="both"/>
        <w:rPr>
          <w:color w:val="000000" w:themeColor="text1"/>
          <w:lang w:val="en-US"/>
        </w:rPr>
      </w:pPr>
      <w:r w:rsidRPr="00CC1EB3">
        <w:rPr>
          <w:color w:val="000000" w:themeColor="text1"/>
          <w:lang w:val="en-US"/>
        </w:rPr>
        <w:t>Peptides were cleaned up by using the AssayMAP Bravo platform (Agilent Tech</w:t>
      </w:r>
      <w:r>
        <w:rPr>
          <w:color w:val="000000" w:themeColor="text1"/>
          <w:lang w:val="en-US"/>
        </w:rPr>
        <w:t xml:space="preserve">nologies; Santa </w:t>
      </w:r>
      <w:r w:rsidRPr="00CC1EB3">
        <w:rPr>
          <w:color w:val="000000" w:themeColor="text1"/>
          <w:lang w:val="en-US"/>
        </w:rPr>
        <w:t>Clara, California) with 5μL C18 cartridges (Agilent). Cartridges were</w:t>
      </w:r>
      <w:r>
        <w:rPr>
          <w:color w:val="000000" w:themeColor="text1"/>
          <w:lang w:val="en-US"/>
        </w:rPr>
        <w:t xml:space="preserve"> primed with 100 μl 0.1 % TFA in </w:t>
      </w:r>
      <w:r w:rsidRPr="00CC1EB3">
        <w:rPr>
          <w:color w:val="000000" w:themeColor="text1"/>
          <w:lang w:val="en-US"/>
        </w:rPr>
        <w:t>80</w:t>
      </w:r>
      <w:r>
        <w:rPr>
          <w:color w:val="000000" w:themeColor="text1"/>
          <w:lang w:val="en-US"/>
        </w:rPr>
        <w:t xml:space="preserve"> </w:t>
      </w:r>
      <w:r w:rsidRPr="00CC1EB3">
        <w:rPr>
          <w:color w:val="000000" w:themeColor="text1"/>
          <w:lang w:val="en-US"/>
        </w:rPr>
        <w:t>% ACN and equilibrated with 50 μl 0.1</w:t>
      </w:r>
      <w:r>
        <w:rPr>
          <w:color w:val="000000" w:themeColor="text1"/>
          <w:lang w:val="en-US"/>
        </w:rPr>
        <w:t xml:space="preserve"> </w:t>
      </w:r>
      <w:r w:rsidRPr="00CC1EB3">
        <w:rPr>
          <w:color w:val="000000" w:themeColor="text1"/>
          <w:lang w:val="en-US"/>
        </w:rPr>
        <w:t xml:space="preserve">% TFA in H2O. 180 μl </w:t>
      </w:r>
      <w:r>
        <w:rPr>
          <w:color w:val="000000" w:themeColor="text1"/>
          <w:lang w:val="en-US"/>
        </w:rPr>
        <w:t xml:space="preserve">of digested peptides diluted in </w:t>
      </w:r>
      <w:r w:rsidRPr="00CC1EB3">
        <w:rPr>
          <w:color w:val="000000" w:themeColor="text1"/>
          <w:lang w:val="en-US"/>
        </w:rPr>
        <w:t>equilibration buffer were loaded on the cartridges and washed w</w:t>
      </w:r>
      <w:r>
        <w:rPr>
          <w:color w:val="000000" w:themeColor="text1"/>
          <w:lang w:val="en-US"/>
        </w:rPr>
        <w:t xml:space="preserve">ith 50 μl equilibration buffer. </w:t>
      </w:r>
      <w:r w:rsidRPr="00CC1EB3">
        <w:rPr>
          <w:color w:val="000000" w:themeColor="text1"/>
          <w:lang w:val="en-US"/>
        </w:rPr>
        <w:t xml:space="preserve">Peptides were eluted </w:t>
      </w:r>
      <w:r>
        <w:rPr>
          <w:color w:val="000000" w:themeColor="text1"/>
          <w:lang w:val="en-US"/>
        </w:rPr>
        <w:t xml:space="preserve">with 50 μl 0.1 % TFA in 80 % CAN </w:t>
      </w:r>
      <w:r w:rsidRPr="00CC1EB3">
        <w:rPr>
          <w:color w:val="000000" w:themeColor="text1"/>
          <w:lang w:val="en-US"/>
        </w:rPr>
        <w:t>and sto</w:t>
      </w:r>
      <w:r>
        <w:rPr>
          <w:color w:val="000000" w:themeColor="text1"/>
          <w:lang w:val="en-US"/>
        </w:rPr>
        <w:t xml:space="preserve">red at -80°C prior to the </w:t>
      </w:r>
      <w:r w:rsidRPr="00CC1EB3">
        <w:rPr>
          <w:color w:val="000000" w:themeColor="text1"/>
          <w:lang w:val="en-US"/>
        </w:rPr>
        <w:t>mass spectrometry analysis.</w:t>
      </w:r>
      <w:r>
        <w:rPr>
          <w:color w:val="000000" w:themeColor="text1"/>
          <w:lang w:val="en-US"/>
        </w:rPr>
        <w:t xml:space="preserve"> C</w:t>
      </w:r>
      <w:r w:rsidRPr="004E2285">
        <w:rPr>
          <w:color w:val="000000" w:themeColor="text1"/>
          <w:lang w:val="en-US"/>
        </w:rPr>
        <w:t>ross</w:t>
      </w:r>
      <w:r>
        <w:rPr>
          <w:color w:val="000000" w:themeColor="text1"/>
          <w:lang w:val="en-US"/>
        </w:rPr>
        <w:t>-</w:t>
      </w:r>
      <w:r w:rsidRPr="004E2285">
        <w:rPr>
          <w:color w:val="000000" w:themeColor="text1"/>
          <w:lang w:val="en-US"/>
        </w:rPr>
        <w:t>linked peptides were dried</w:t>
      </w:r>
      <w:r>
        <w:rPr>
          <w:color w:val="000000" w:themeColor="text1"/>
          <w:lang w:val="en-US"/>
        </w:rPr>
        <w:t xml:space="preserve"> in a SpeedVac concentrator and </w:t>
      </w:r>
      <w:r w:rsidRPr="004E2285">
        <w:rPr>
          <w:color w:val="000000" w:themeColor="text1"/>
          <w:lang w:val="en-US"/>
        </w:rPr>
        <w:t>resuspended in 10 μl of 2</w:t>
      </w:r>
      <w:r>
        <w:rPr>
          <w:color w:val="000000" w:themeColor="text1"/>
          <w:lang w:val="en-US"/>
        </w:rPr>
        <w:t xml:space="preserve"> </w:t>
      </w:r>
      <w:r w:rsidRPr="004E2285">
        <w:rPr>
          <w:color w:val="000000" w:themeColor="text1"/>
          <w:lang w:val="en-US"/>
        </w:rPr>
        <w:t>% ACN/0.1</w:t>
      </w:r>
      <w:r>
        <w:rPr>
          <w:color w:val="000000" w:themeColor="text1"/>
          <w:lang w:val="en-US"/>
        </w:rPr>
        <w:t xml:space="preserve"> </w:t>
      </w:r>
      <w:r w:rsidRPr="004E2285">
        <w:rPr>
          <w:color w:val="000000" w:themeColor="text1"/>
          <w:lang w:val="en-US"/>
        </w:rPr>
        <w:t xml:space="preserve">% formic acid. </w:t>
      </w:r>
    </w:p>
    <w:p w14:paraId="4F97A081" w14:textId="77777777" w:rsidR="003176C7" w:rsidRPr="006246F8" w:rsidRDefault="003176C7" w:rsidP="003176C7">
      <w:pPr>
        <w:jc w:val="both"/>
        <w:rPr>
          <w:color w:val="000000" w:themeColor="text1"/>
          <w:lang w:val="en-US"/>
        </w:rPr>
      </w:pPr>
      <w:r w:rsidRPr="004E2285">
        <w:rPr>
          <w:color w:val="000000" w:themeColor="text1"/>
          <w:lang w:val="en-US"/>
        </w:rPr>
        <w:t xml:space="preserve">NanoLC-MS/MS </w:t>
      </w:r>
      <w:r>
        <w:rPr>
          <w:color w:val="000000" w:themeColor="text1"/>
          <w:lang w:val="en-US"/>
        </w:rPr>
        <w:t xml:space="preserve">analysis was performed using a </w:t>
      </w:r>
      <w:r w:rsidRPr="004E2285">
        <w:rPr>
          <w:color w:val="000000" w:themeColor="text1"/>
          <w:lang w:val="en-US"/>
        </w:rPr>
        <w:t xml:space="preserve">nanoAcquity </w:t>
      </w:r>
      <w:r>
        <w:rPr>
          <w:color w:val="000000" w:themeColor="text1"/>
          <w:lang w:val="en-US"/>
        </w:rPr>
        <w:t>UPLC</w:t>
      </w:r>
      <w:r w:rsidRPr="004E2285">
        <w:rPr>
          <w:color w:val="000000" w:themeColor="text1"/>
          <w:lang w:val="en-US"/>
        </w:rPr>
        <w:t xml:space="preserve"> (Waters, Milford, USA) hyphenat</w:t>
      </w:r>
      <w:r>
        <w:rPr>
          <w:color w:val="000000" w:themeColor="text1"/>
          <w:lang w:val="en-US"/>
        </w:rPr>
        <w:t xml:space="preserve">ed to a Q Exactive HF-X </w:t>
      </w:r>
      <w:r w:rsidRPr="004E2285">
        <w:rPr>
          <w:color w:val="000000" w:themeColor="text1"/>
          <w:lang w:val="en-US"/>
        </w:rPr>
        <w:t>mass spectrometer (Thermo Fisher Scientific, Bremen, Germany) eq</w:t>
      </w:r>
      <w:r>
        <w:rPr>
          <w:color w:val="000000" w:themeColor="text1"/>
          <w:lang w:val="en-US"/>
        </w:rPr>
        <w:t>uipped with a nanoSpray source. After trapping on a NanoEa</w:t>
      </w:r>
      <w:r w:rsidRPr="00A5515F">
        <w:rPr>
          <w:color w:val="000000" w:themeColor="text1"/>
          <w:lang w:val="en-US"/>
        </w:rPr>
        <w:t>se M/Z Symmetry pre</w:t>
      </w:r>
      <w:r>
        <w:rPr>
          <w:color w:val="000000" w:themeColor="text1"/>
          <w:lang w:val="en-US"/>
        </w:rPr>
        <w:t xml:space="preserve">- </w:t>
      </w:r>
      <w:r w:rsidRPr="00A5515F">
        <w:rPr>
          <w:color w:val="000000" w:themeColor="text1"/>
          <w:lang w:val="en-US"/>
        </w:rPr>
        <w:t>column (C18, 100 Å, 5 μm, 180 μm × 20 mm; Waters)</w:t>
      </w:r>
      <w:r>
        <w:rPr>
          <w:color w:val="000000" w:themeColor="text1"/>
          <w:lang w:val="en-US"/>
        </w:rPr>
        <w:t xml:space="preserve">, samples were separated </w:t>
      </w:r>
      <w:r w:rsidRPr="004E2285">
        <w:rPr>
          <w:color w:val="000000" w:themeColor="text1"/>
          <w:lang w:val="en-US"/>
        </w:rPr>
        <w:t xml:space="preserve">on a </w:t>
      </w:r>
      <w:r>
        <w:rPr>
          <w:color w:val="000000" w:themeColor="text1"/>
          <w:lang w:val="en-US"/>
        </w:rPr>
        <w:t xml:space="preserve">NanoEase M/Z BEH column (C18, 130 </w:t>
      </w:r>
      <w:r w:rsidRPr="00A5515F">
        <w:rPr>
          <w:color w:val="000000" w:themeColor="text1"/>
          <w:lang w:val="en-US"/>
        </w:rPr>
        <w:t>Å, 1.7 μm, 75 μm x 250 mm; Waters)</w:t>
      </w:r>
      <w:r w:rsidRPr="004E2285">
        <w:rPr>
          <w:color w:val="000000" w:themeColor="text1"/>
          <w:lang w:val="en-US"/>
        </w:rPr>
        <w:t xml:space="preserve"> maintained at 60°C</w:t>
      </w:r>
      <w:r>
        <w:rPr>
          <w:color w:val="000000" w:themeColor="text1"/>
          <w:lang w:val="en-US"/>
        </w:rPr>
        <w:t>. A gradient of 102</w:t>
      </w:r>
      <w:r w:rsidRPr="004E2285">
        <w:rPr>
          <w:color w:val="000000" w:themeColor="text1"/>
          <w:lang w:val="en-US"/>
        </w:rPr>
        <w:t xml:space="preserve"> min was</w:t>
      </w:r>
      <w:r>
        <w:rPr>
          <w:color w:val="000000" w:themeColor="text1"/>
          <w:lang w:val="en-US"/>
        </w:rPr>
        <w:t xml:space="preserve"> applied:</w:t>
      </w:r>
      <w:r w:rsidRPr="006246F8">
        <w:rPr>
          <w:lang w:val="en-GB"/>
        </w:rPr>
        <w:t xml:space="preserve"> </w:t>
      </w:r>
      <w:r w:rsidRPr="009B12E4">
        <w:rPr>
          <w:color w:val="000000" w:themeColor="text1"/>
          <w:lang w:val="en-US"/>
        </w:rPr>
        <w:t>mobile phases A (0.1% v/v formic acid in H2O) and B (0.1% v/v for</w:t>
      </w:r>
      <w:r>
        <w:rPr>
          <w:color w:val="000000" w:themeColor="text1"/>
          <w:lang w:val="en-US"/>
        </w:rPr>
        <w:t xml:space="preserve">mic acid in ACN). The following conditions were applied: 3 % B for 3 min, 3–40 % B for 90 min, </w:t>
      </w:r>
      <w:r w:rsidRPr="009B12E4">
        <w:rPr>
          <w:color w:val="000000" w:themeColor="text1"/>
          <w:lang w:val="en-US"/>
        </w:rPr>
        <w:t>–90</w:t>
      </w:r>
      <w:r>
        <w:rPr>
          <w:color w:val="000000" w:themeColor="text1"/>
          <w:lang w:val="en-US"/>
        </w:rPr>
        <w:t xml:space="preserve">% B for 1 min, 90% B for 5 min, </w:t>
      </w:r>
      <w:r w:rsidRPr="009B12E4">
        <w:rPr>
          <w:color w:val="000000" w:themeColor="text1"/>
          <w:lang w:val="en-US"/>
        </w:rPr>
        <w:t>90–1% B for 2 min and finally 1% B mainta</w:t>
      </w:r>
      <w:r>
        <w:rPr>
          <w:color w:val="000000" w:themeColor="text1"/>
          <w:lang w:val="en-US"/>
        </w:rPr>
        <w:t>ined for 2 min (flow rate of 350</w:t>
      </w:r>
      <w:r w:rsidRPr="009B12E4">
        <w:rPr>
          <w:color w:val="000000" w:themeColor="text1"/>
          <w:lang w:val="en-US"/>
        </w:rPr>
        <w:t xml:space="preserve"> nl/min).</w:t>
      </w:r>
      <w:r>
        <w:rPr>
          <w:color w:val="000000" w:themeColor="text1"/>
          <w:lang w:val="en-US"/>
        </w:rPr>
        <w:t xml:space="preserve">  Acquisition in Data Dependant Acquisition mode (Top 10 precursor ions) was done using following parameters: MS resolution of 120.000 (AGC target 3e6), MS/MS resolution of 30.000 (AGC target of 2e5), 3-7 charge states</w:t>
      </w:r>
      <w:r w:rsidRPr="009C3EB0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 xml:space="preserve">enable, HCD stepped collision energy (27, 30, 33 % normalized collision energy). </w:t>
      </w:r>
      <w:r w:rsidRPr="004E2285">
        <w:rPr>
          <w:color w:val="000000" w:themeColor="text1"/>
          <w:lang w:val="en-US"/>
        </w:rPr>
        <w:t>Raw data were directly processed with Thermo Proteome Discoverer 2.5.0.40</w:t>
      </w:r>
      <w:r>
        <w:rPr>
          <w:color w:val="000000" w:themeColor="text1"/>
          <w:lang w:val="en-US"/>
        </w:rPr>
        <w:t xml:space="preserve">0 (Thermo </w:t>
      </w:r>
      <w:r w:rsidRPr="004E2285">
        <w:rPr>
          <w:color w:val="000000" w:themeColor="text1"/>
          <w:lang w:val="en-US"/>
        </w:rPr>
        <w:t xml:space="preserve">Scientific) using the XlinkX node for identification of crosslinks </w:t>
      </w:r>
      <w:r>
        <w:rPr>
          <w:color w:val="000000" w:themeColor="text1"/>
          <w:lang w:val="en-US"/>
        </w:rPr>
        <w:t xml:space="preserve">and the Sequest HT node for the </w:t>
      </w:r>
      <w:r w:rsidRPr="004E2285">
        <w:rPr>
          <w:color w:val="000000" w:themeColor="text1"/>
          <w:lang w:val="en-US"/>
        </w:rPr>
        <w:t>identification of linear peptides. For both linear and cross</w:t>
      </w:r>
      <w:r>
        <w:rPr>
          <w:color w:val="000000" w:themeColor="text1"/>
          <w:lang w:val="en-US"/>
        </w:rPr>
        <w:t>-</w:t>
      </w:r>
      <w:r w:rsidRPr="004E2285">
        <w:rPr>
          <w:color w:val="000000" w:themeColor="text1"/>
          <w:lang w:val="en-US"/>
        </w:rPr>
        <w:t>linke</w:t>
      </w:r>
      <w:r>
        <w:rPr>
          <w:color w:val="000000" w:themeColor="text1"/>
          <w:lang w:val="en-US"/>
        </w:rPr>
        <w:t xml:space="preserve">d peptides searches, Cystein </w:t>
      </w:r>
      <w:r w:rsidRPr="004E2285">
        <w:rPr>
          <w:color w:val="000000" w:themeColor="text1"/>
          <w:lang w:val="en-US"/>
        </w:rPr>
        <w:t>carbamidomethylation was set as fixed modification. Methionine oxida</w:t>
      </w:r>
      <w:r>
        <w:rPr>
          <w:color w:val="000000" w:themeColor="text1"/>
          <w:lang w:val="en-US"/>
        </w:rPr>
        <w:t>tion, N-term acetylation, tris-</w:t>
      </w:r>
      <w:r w:rsidRPr="004E2285">
        <w:rPr>
          <w:color w:val="000000" w:themeColor="text1"/>
          <w:lang w:val="en-US"/>
        </w:rPr>
        <w:t>quenched mono</w:t>
      </w:r>
      <w:r>
        <w:rPr>
          <w:color w:val="000000" w:themeColor="text1"/>
          <w:lang w:val="en-US"/>
        </w:rPr>
        <w:t>-</w:t>
      </w:r>
      <w:r w:rsidRPr="004E2285">
        <w:rPr>
          <w:color w:val="000000" w:themeColor="text1"/>
          <w:lang w:val="en-US"/>
        </w:rPr>
        <w:t>links and water-quenched mono</w:t>
      </w:r>
      <w:r>
        <w:rPr>
          <w:color w:val="000000" w:themeColor="text1"/>
          <w:lang w:val="en-US"/>
        </w:rPr>
        <w:t>-</w:t>
      </w:r>
      <w:r w:rsidRPr="004E2285">
        <w:rPr>
          <w:color w:val="000000" w:themeColor="text1"/>
          <w:lang w:val="en-US"/>
        </w:rPr>
        <w:t>links were set as dynamic modifications. Trypsin was</w:t>
      </w:r>
      <w:r>
        <w:rPr>
          <w:color w:val="000000" w:themeColor="text1"/>
          <w:lang w:val="en-US"/>
        </w:rPr>
        <w:t xml:space="preserve"> </w:t>
      </w:r>
      <w:r w:rsidRPr="004E2285">
        <w:rPr>
          <w:color w:val="000000" w:themeColor="text1"/>
          <w:lang w:val="en-US"/>
        </w:rPr>
        <w:t>set as the cleavage enzymes with minimal length of 7 amino a</w:t>
      </w:r>
      <w:r>
        <w:rPr>
          <w:color w:val="000000" w:themeColor="text1"/>
          <w:lang w:val="en-US"/>
        </w:rPr>
        <w:t xml:space="preserve">cids, 2 (linear peptides) and 3 </w:t>
      </w:r>
      <w:r w:rsidRPr="004E2285">
        <w:rPr>
          <w:color w:val="000000" w:themeColor="text1"/>
          <w:lang w:val="en-US"/>
        </w:rPr>
        <w:t>(cross</w:t>
      </w:r>
      <w:r>
        <w:rPr>
          <w:color w:val="000000" w:themeColor="text1"/>
          <w:lang w:val="en-US"/>
        </w:rPr>
        <w:t>-</w:t>
      </w:r>
      <w:r w:rsidRPr="004E2285">
        <w:rPr>
          <w:color w:val="000000" w:themeColor="text1"/>
          <w:lang w:val="en-US"/>
        </w:rPr>
        <w:t xml:space="preserve">linked peptides) missed cleavages were allowed. To increase </w:t>
      </w:r>
      <w:r>
        <w:rPr>
          <w:color w:val="000000" w:themeColor="text1"/>
          <w:lang w:val="en-US"/>
        </w:rPr>
        <w:t xml:space="preserve">confidence, identification were </w:t>
      </w:r>
      <w:r w:rsidRPr="004E2285">
        <w:rPr>
          <w:color w:val="000000" w:themeColor="text1"/>
          <w:lang w:val="en-US"/>
        </w:rPr>
        <w:t>only acc</w:t>
      </w:r>
      <w:r>
        <w:rPr>
          <w:color w:val="000000" w:themeColor="text1"/>
          <w:lang w:val="en-US"/>
        </w:rPr>
        <w:t xml:space="preserve">epted for Maximal XlinkX scores &gt; 40. A 1% false discovery rate </w:t>
      </w:r>
      <w:r w:rsidRPr="004E2285">
        <w:rPr>
          <w:color w:val="000000" w:themeColor="text1"/>
          <w:lang w:val="en-US"/>
        </w:rPr>
        <w:t xml:space="preserve">was applied at </w:t>
      </w:r>
      <w:r>
        <w:rPr>
          <w:color w:val="000000" w:themeColor="text1"/>
          <w:lang w:val="en-US"/>
        </w:rPr>
        <w:t>the</w:t>
      </w:r>
      <w:r w:rsidRPr="004E2285">
        <w:rPr>
          <w:color w:val="000000" w:themeColor="text1"/>
          <w:lang w:val="en-US"/>
        </w:rPr>
        <w:t xml:space="preserve"> cross</w:t>
      </w:r>
      <w:r>
        <w:rPr>
          <w:color w:val="000000" w:themeColor="text1"/>
          <w:lang w:val="en-US"/>
        </w:rPr>
        <w:t>-</w:t>
      </w:r>
      <w:r w:rsidRPr="004E2285">
        <w:rPr>
          <w:color w:val="000000" w:themeColor="text1"/>
          <w:lang w:val="en-US"/>
        </w:rPr>
        <w:t>linked peptides level (XlinkX validator node</w:t>
      </w:r>
      <w:r>
        <w:rPr>
          <w:color w:val="000000" w:themeColor="text1"/>
          <w:lang w:val="en-US"/>
        </w:rPr>
        <w:t xml:space="preserve">). </w:t>
      </w:r>
      <w:r w:rsidRPr="004E2285">
        <w:rPr>
          <w:color w:val="000000" w:themeColor="text1"/>
          <w:lang w:val="en-US"/>
        </w:rPr>
        <w:t>For the consensus step, proteins</w:t>
      </w:r>
      <w:r>
        <w:rPr>
          <w:color w:val="000000" w:themeColor="text1"/>
          <w:lang w:val="en-US"/>
        </w:rPr>
        <w:t xml:space="preserve"> </w:t>
      </w:r>
      <w:r w:rsidRPr="004E2285">
        <w:rPr>
          <w:color w:val="000000" w:themeColor="text1"/>
          <w:lang w:val="en-US"/>
        </w:rPr>
        <w:t>identifications were controlled at a 1% FDR in the protein validator no</w:t>
      </w:r>
      <w:r>
        <w:rPr>
          <w:color w:val="000000" w:themeColor="text1"/>
          <w:lang w:val="en-US"/>
        </w:rPr>
        <w:t xml:space="preserve">de. Out of the three replicates </w:t>
      </w:r>
      <w:r w:rsidRPr="004E2285">
        <w:rPr>
          <w:color w:val="000000" w:themeColor="text1"/>
          <w:lang w:val="en-US"/>
        </w:rPr>
        <w:t>performed</w:t>
      </w:r>
      <w:r>
        <w:rPr>
          <w:color w:val="000000" w:themeColor="text1"/>
          <w:lang w:val="en-US"/>
        </w:rPr>
        <w:t xml:space="preserve"> for each molar excess of DSBU</w:t>
      </w:r>
      <w:r w:rsidRPr="004E2285">
        <w:rPr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>unique cross-link sites</w:t>
      </w:r>
      <w:r w:rsidRPr="004E2285">
        <w:rPr>
          <w:color w:val="000000" w:themeColor="text1"/>
          <w:lang w:val="en-US"/>
        </w:rPr>
        <w:t xml:space="preserve"> were validated when </w:t>
      </w:r>
      <w:r>
        <w:rPr>
          <w:color w:val="000000" w:themeColor="text1"/>
          <w:lang w:val="en-US"/>
        </w:rPr>
        <w:t>present</w:t>
      </w:r>
      <w:r w:rsidRPr="004E2285">
        <w:rPr>
          <w:color w:val="000000" w:themeColor="text1"/>
          <w:lang w:val="en-US"/>
        </w:rPr>
        <w:t xml:space="preserve"> in at least 2 out of 3 replicates.</w:t>
      </w:r>
    </w:p>
    <w:p w14:paraId="06F559CC" w14:textId="77777777" w:rsidR="003176C7" w:rsidRDefault="003176C7" w:rsidP="003176C7">
      <w:pPr>
        <w:jc w:val="both"/>
        <w:rPr>
          <w:b/>
          <w:color w:val="000000" w:themeColor="text1"/>
          <w:lang w:val="en-US"/>
        </w:rPr>
      </w:pPr>
    </w:p>
    <w:p w14:paraId="0D828DED" w14:textId="77777777" w:rsidR="003176C7" w:rsidRPr="006246F8" w:rsidRDefault="003176C7" w:rsidP="003176C7">
      <w:pPr>
        <w:jc w:val="both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Supplementary Figures.</w:t>
      </w:r>
    </w:p>
    <w:p w14:paraId="648B7405" w14:textId="77777777" w:rsidR="003176C7" w:rsidRDefault="003176C7" w:rsidP="003176C7">
      <w:pPr>
        <w:spacing w:after="0" w:line="276" w:lineRule="auto"/>
        <w:jc w:val="center"/>
        <w:rPr>
          <w:b/>
          <w:iCs/>
          <w:color w:val="000000" w:themeColor="text1"/>
          <w:szCs w:val="18"/>
          <w:lang w:val="en-US"/>
        </w:rPr>
      </w:pPr>
      <w:r>
        <w:rPr>
          <w:b/>
          <w:iCs/>
          <w:noProof/>
          <w:color w:val="000000" w:themeColor="text1"/>
          <w:szCs w:val="18"/>
          <w:lang w:eastAsia="fr-FR"/>
        </w:rPr>
        <w:lastRenderedPageBreak/>
        <w:drawing>
          <wp:inline distT="0" distB="0" distL="0" distR="0" wp14:anchorId="7A41CAAA" wp14:editId="4908E4A7">
            <wp:extent cx="5619750" cy="4717519"/>
            <wp:effectExtent l="0" t="0" r="0" b="698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4719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EC320" w14:textId="77777777" w:rsidR="003176C7" w:rsidRPr="005D076D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  <w:r>
        <w:rPr>
          <w:b/>
          <w:iCs/>
          <w:color w:val="000000" w:themeColor="text1"/>
          <w:szCs w:val="18"/>
          <w:lang w:val="en-US"/>
        </w:rPr>
        <w:t xml:space="preserve">Figure S1. GLDH refolding study results mimicking a PBS droplet dilution. A) </w:t>
      </w:r>
      <w:r>
        <w:rPr>
          <w:iCs/>
          <w:color w:val="000000" w:themeColor="text1"/>
          <w:szCs w:val="18"/>
          <w:lang w:val="en-US"/>
        </w:rPr>
        <w:t xml:space="preserve">GLDH has been first denatured, then diluted to the tenth in a PBS tube. After 0 min, 5 min and 10 min this solution was directly analyzed in MP using the buffer-free focusing mode. </w:t>
      </w:r>
      <w:r w:rsidRPr="006246F8">
        <w:rPr>
          <w:b/>
          <w:iCs/>
          <w:color w:val="000000" w:themeColor="text1"/>
          <w:szCs w:val="18"/>
          <w:lang w:val="en-US"/>
        </w:rPr>
        <w:t>B)</w:t>
      </w:r>
      <w:r>
        <w:rPr>
          <w:iCs/>
          <w:color w:val="000000" w:themeColor="text1"/>
          <w:szCs w:val="18"/>
          <w:lang w:val="en-US"/>
        </w:rPr>
        <w:t xml:space="preserve"> MP profiles of native GLDH, GLDH right after denaturation and after 5 and 10 min dilution in PBS.</w:t>
      </w:r>
    </w:p>
    <w:p w14:paraId="66C07E43" w14:textId="77777777" w:rsidR="003176C7" w:rsidRDefault="003176C7" w:rsidP="003176C7">
      <w:pPr>
        <w:jc w:val="center"/>
        <w:rPr>
          <w:lang w:val="en-GB"/>
        </w:rPr>
      </w:pPr>
    </w:p>
    <w:p w14:paraId="01B8AFCD" w14:textId="77777777" w:rsidR="003176C7" w:rsidRDefault="003176C7" w:rsidP="003176C7">
      <w:pPr>
        <w:jc w:val="center"/>
        <w:rPr>
          <w:lang w:val="en-GB"/>
        </w:rPr>
      </w:pPr>
    </w:p>
    <w:p w14:paraId="253D0EAF" w14:textId="77777777" w:rsidR="003176C7" w:rsidRDefault="003176C7" w:rsidP="003176C7">
      <w:pPr>
        <w:rPr>
          <w:lang w:val="en-GB"/>
        </w:rPr>
      </w:pPr>
      <w:r>
        <w:rPr>
          <w:noProof/>
          <w:lang w:eastAsia="fr-FR"/>
        </w:rPr>
        <w:lastRenderedPageBreak/>
        <w:drawing>
          <wp:inline distT="0" distB="0" distL="0" distR="0" wp14:anchorId="7538AF1C" wp14:editId="1AA2BA36">
            <wp:extent cx="5771246" cy="7463790"/>
            <wp:effectExtent l="0" t="0" r="1270" b="381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02" cy="7470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926CB" w14:textId="77777777" w:rsidR="003176C7" w:rsidRPr="00354272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  <w:r>
        <w:rPr>
          <w:b/>
          <w:iCs/>
          <w:color w:val="000000" w:themeColor="text1"/>
          <w:szCs w:val="18"/>
          <w:lang w:val="en-US"/>
        </w:rPr>
        <w:t xml:space="preserve">Figure S2. SDS-PAGE migrations of A) </w:t>
      </w:r>
      <w:r w:rsidRPr="006246F8">
        <w:rPr>
          <w:iCs/>
          <w:color w:val="000000" w:themeColor="text1"/>
          <w:szCs w:val="18"/>
          <w:lang w:val="en-US"/>
        </w:rPr>
        <w:t>BSA, ADH, GLDH cross-linked with 25, 100, 400 molar excesses of</w:t>
      </w:r>
      <w:r>
        <w:rPr>
          <w:iCs/>
          <w:color w:val="000000" w:themeColor="text1"/>
          <w:szCs w:val="18"/>
          <w:lang w:val="en-US"/>
        </w:rPr>
        <w:t xml:space="preserve"> PhoX, DSAU, DSBU</w:t>
      </w:r>
      <w:r>
        <w:rPr>
          <w:b/>
          <w:iCs/>
          <w:color w:val="000000" w:themeColor="text1"/>
          <w:szCs w:val="18"/>
          <w:lang w:val="en-US"/>
        </w:rPr>
        <w:t xml:space="preserve">. B) </w:t>
      </w:r>
      <w:r w:rsidRPr="006246F8">
        <w:rPr>
          <w:iCs/>
          <w:color w:val="000000" w:themeColor="text1"/>
          <w:szCs w:val="18"/>
          <w:lang w:val="en-US"/>
        </w:rPr>
        <w:t>20S proteasome cross-linked with 25, 100, 400 molar excesses of PhoX, DSAU, DSBU.</w:t>
      </w:r>
    </w:p>
    <w:p w14:paraId="070214B6" w14:textId="77777777" w:rsidR="003176C7" w:rsidRDefault="003176C7" w:rsidP="003176C7">
      <w:pPr>
        <w:rPr>
          <w:lang w:val="en-GB"/>
        </w:rPr>
      </w:pPr>
    </w:p>
    <w:p w14:paraId="75E15139" w14:textId="77777777" w:rsidR="003176C7" w:rsidRDefault="003176C7" w:rsidP="003176C7">
      <w:pPr>
        <w:jc w:val="center"/>
        <w:rPr>
          <w:lang w:val="en-GB"/>
        </w:rPr>
      </w:pPr>
      <w:r>
        <w:rPr>
          <w:noProof/>
          <w:lang w:eastAsia="fr-FR"/>
        </w:rPr>
        <w:lastRenderedPageBreak/>
        <w:drawing>
          <wp:inline distT="0" distB="0" distL="0" distR="0" wp14:anchorId="6FCE78F7" wp14:editId="5F038348">
            <wp:extent cx="5691116" cy="3509518"/>
            <wp:effectExtent l="0" t="0" r="508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352" cy="3520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5E001" w14:textId="77777777" w:rsidR="003176C7" w:rsidRPr="00354272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  <w:r>
        <w:rPr>
          <w:b/>
          <w:iCs/>
          <w:color w:val="000000" w:themeColor="text1"/>
          <w:szCs w:val="18"/>
          <w:lang w:val="en-US"/>
        </w:rPr>
        <w:t xml:space="preserve">Figure S3. </w:t>
      </w:r>
      <w:r w:rsidRPr="009A5095">
        <w:rPr>
          <w:b/>
          <w:iCs/>
          <w:color w:val="000000" w:themeColor="text1"/>
          <w:szCs w:val="18"/>
          <w:lang w:val="en-US"/>
        </w:rPr>
        <w:t xml:space="preserve">Effect of cross-linking reagent (size, flexibility) on oligomeric states stabilized, measured in dMP: presented results are probability densities (KD) of </w:t>
      </w:r>
      <w:r>
        <w:rPr>
          <w:b/>
          <w:iCs/>
          <w:color w:val="000000" w:themeColor="text1"/>
          <w:szCs w:val="18"/>
          <w:lang w:val="en-US"/>
        </w:rPr>
        <w:t xml:space="preserve">A) </w:t>
      </w:r>
      <w:r>
        <w:rPr>
          <w:iCs/>
          <w:color w:val="000000" w:themeColor="text1"/>
          <w:szCs w:val="18"/>
          <w:lang w:val="en-US"/>
        </w:rPr>
        <w:t xml:space="preserve">ADH and </w:t>
      </w:r>
      <w:r w:rsidRPr="006246F8">
        <w:rPr>
          <w:b/>
          <w:iCs/>
          <w:color w:val="000000" w:themeColor="text1"/>
          <w:szCs w:val="18"/>
          <w:lang w:val="en-US"/>
        </w:rPr>
        <w:t>B)</w:t>
      </w:r>
      <w:r>
        <w:rPr>
          <w:iCs/>
          <w:color w:val="000000" w:themeColor="text1"/>
          <w:szCs w:val="18"/>
          <w:lang w:val="en-US"/>
        </w:rPr>
        <w:t xml:space="preserve"> 20S proteasome, </w:t>
      </w:r>
      <w:r w:rsidRPr="006246F8">
        <w:rPr>
          <w:iCs/>
          <w:color w:val="000000" w:themeColor="text1"/>
          <w:szCs w:val="18"/>
          <w:lang w:val="en-US"/>
        </w:rPr>
        <w:t>cross-linked with increasing molar ratios of PhoX, DSAU, DSBU</w:t>
      </w:r>
      <w:r w:rsidRPr="009A5095">
        <w:rPr>
          <w:iCs/>
          <w:color w:val="000000" w:themeColor="text1"/>
          <w:szCs w:val="18"/>
          <w:lang w:val="en-US"/>
        </w:rPr>
        <w:t>.</w:t>
      </w:r>
    </w:p>
    <w:p w14:paraId="769F8091" w14:textId="77777777" w:rsidR="003176C7" w:rsidRDefault="003176C7" w:rsidP="003176C7">
      <w:pPr>
        <w:jc w:val="center"/>
        <w:rPr>
          <w:lang w:val="en-GB"/>
        </w:rPr>
      </w:pPr>
    </w:p>
    <w:p w14:paraId="601444B1" w14:textId="77777777" w:rsidR="003176C7" w:rsidRDefault="003176C7" w:rsidP="003176C7">
      <w:pPr>
        <w:jc w:val="center"/>
        <w:rPr>
          <w:lang w:val="en-GB"/>
        </w:rPr>
      </w:pPr>
    </w:p>
    <w:p w14:paraId="049C2A9F" w14:textId="77777777" w:rsidR="003176C7" w:rsidRDefault="003176C7" w:rsidP="003176C7">
      <w:pPr>
        <w:jc w:val="center"/>
        <w:rPr>
          <w:lang w:val="en-GB"/>
        </w:rPr>
      </w:pPr>
      <w:r>
        <w:rPr>
          <w:noProof/>
          <w:lang w:eastAsia="fr-FR"/>
        </w:rPr>
        <w:drawing>
          <wp:inline distT="0" distB="0" distL="0" distR="0" wp14:anchorId="24D03C32" wp14:editId="63A2183D">
            <wp:extent cx="4653887" cy="3804260"/>
            <wp:effectExtent l="0" t="0" r="0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81" cy="3816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BD3F3" w14:textId="77777777" w:rsidR="003176C7" w:rsidRPr="00354272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  <w:r>
        <w:rPr>
          <w:b/>
          <w:iCs/>
          <w:color w:val="000000" w:themeColor="text1"/>
          <w:szCs w:val="18"/>
          <w:lang w:val="en-US"/>
        </w:rPr>
        <w:t xml:space="preserve">Figure S4. Oligomeric states of R2SP complex A) </w:t>
      </w:r>
      <w:r w:rsidRPr="006246F8">
        <w:rPr>
          <w:iCs/>
          <w:color w:val="000000" w:themeColor="text1"/>
          <w:szCs w:val="18"/>
          <w:lang w:val="en-US"/>
        </w:rPr>
        <w:t>nMP profile of R2SP complex represented as Kernel Density</w:t>
      </w:r>
      <w:r>
        <w:rPr>
          <w:b/>
          <w:iCs/>
          <w:color w:val="000000" w:themeColor="text1"/>
          <w:szCs w:val="18"/>
          <w:lang w:val="en-US"/>
        </w:rPr>
        <w:t xml:space="preserve">. B) </w:t>
      </w:r>
      <w:r>
        <w:rPr>
          <w:iCs/>
          <w:color w:val="000000" w:themeColor="text1"/>
          <w:szCs w:val="18"/>
          <w:lang w:val="en-US"/>
        </w:rPr>
        <w:t>Native-</w:t>
      </w:r>
      <w:r w:rsidRPr="006246F8">
        <w:rPr>
          <w:iCs/>
          <w:color w:val="000000" w:themeColor="text1"/>
          <w:szCs w:val="18"/>
          <w:lang w:val="en-US"/>
        </w:rPr>
        <w:t>MS spectrum of R2SP complex</w:t>
      </w:r>
      <w:r>
        <w:rPr>
          <w:iCs/>
          <w:color w:val="000000" w:themeColor="text1"/>
          <w:szCs w:val="18"/>
          <w:lang w:val="en-US"/>
        </w:rPr>
        <w:t>.</w:t>
      </w:r>
    </w:p>
    <w:p w14:paraId="249F0857" w14:textId="77777777" w:rsidR="003176C7" w:rsidRDefault="003176C7" w:rsidP="003176C7">
      <w:pPr>
        <w:rPr>
          <w:lang w:val="en-GB"/>
        </w:rPr>
      </w:pPr>
    </w:p>
    <w:p w14:paraId="040FBD36" w14:textId="77777777" w:rsidR="003176C7" w:rsidRDefault="003176C7" w:rsidP="003176C7">
      <w:pPr>
        <w:jc w:val="center"/>
        <w:rPr>
          <w:lang w:val="en-GB"/>
        </w:rPr>
      </w:pPr>
      <w:r>
        <w:rPr>
          <w:noProof/>
          <w:lang w:eastAsia="fr-FR"/>
        </w:rPr>
        <w:drawing>
          <wp:inline distT="0" distB="0" distL="0" distR="0" wp14:anchorId="5C88C056" wp14:editId="05479DD4">
            <wp:extent cx="6400800" cy="4466803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" r="776"/>
                    <a:stretch/>
                  </pic:blipFill>
                  <pic:spPr bwMode="auto">
                    <a:xfrm>
                      <a:off x="0" y="0"/>
                      <a:ext cx="6417533" cy="44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A7EA8" w14:textId="77777777" w:rsidR="003176C7" w:rsidRPr="00354272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  <w:r>
        <w:rPr>
          <w:b/>
          <w:iCs/>
          <w:color w:val="000000" w:themeColor="text1"/>
          <w:szCs w:val="18"/>
          <w:lang w:val="en-US"/>
        </w:rPr>
        <w:t xml:space="preserve">Figure S5. SDS-PAGE of R2SP complex cross-linked with 25, 50, 100, 200, 400 molar excesses of A) </w:t>
      </w:r>
      <w:r w:rsidRPr="006246F8">
        <w:rPr>
          <w:iCs/>
          <w:color w:val="000000" w:themeColor="text1"/>
          <w:szCs w:val="18"/>
          <w:lang w:val="en-US"/>
        </w:rPr>
        <w:t>PhoX</w:t>
      </w:r>
      <w:r>
        <w:rPr>
          <w:b/>
          <w:iCs/>
          <w:color w:val="000000" w:themeColor="text1"/>
          <w:szCs w:val="18"/>
          <w:lang w:val="en-US"/>
        </w:rPr>
        <w:t xml:space="preserve">, B) </w:t>
      </w:r>
      <w:r w:rsidRPr="006246F8">
        <w:rPr>
          <w:iCs/>
          <w:color w:val="000000" w:themeColor="text1"/>
          <w:szCs w:val="18"/>
          <w:lang w:val="en-US"/>
        </w:rPr>
        <w:t>DSAU</w:t>
      </w:r>
      <w:r>
        <w:rPr>
          <w:b/>
          <w:iCs/>
          <w:color w:val="000000" w:themeColor="text1"/>
          <w:szCs w:val="18"/>
          <w:lang w:val="en-US"/>
        </w:rPr>
        <w:t xml:space="preserve">, C) </w:t>
      </w:r>
      <w:r w:rsidRPr="006246F8">
        <w:rPr>
          <w:iCs/>
          <w:color w:val="000000" w:themeColor="text1"/>
          <w:szCs w:val="18"/>
          <w:lang w:val="en-US"/>
        </w:rPr>
        <w:t>DSSO</w:t>
      </w:r>
      <w:r>
        <w:rPr>
          <w:b/>
          <w:iCs/>
          <w:color w:val="000000" w:themeColor="text1"/>
          <w:szCs w:val="18"/>
          <w:lang w:val="en-US"/>
        </w:rPr>
        <w:t xml:space="preserve">, D) </w:t>
      </w:r>
      <w:r w:rsidRPr="006246F8">
        <w:rPr>
          <w:iCs/>
          <w:color w:val="000000" w:themeColor="text1"/>
          <w:szCs w:val="18"/>
          <w:lang w:val="en-US"/>
        </w:rPr>
        <w:t>DSBU</w:t>
      </w:r>
      <w:r>
        <w:rPr>
          <w:b/>
          <w:iCs/>
          <w:color w:val="000000" w:themeColor="text1"/>
          <w:szCs w:val="18"/>
          <w:lang w:val="en-US"/>
        </w:rPr>
        <w:t>.</w:t>
      </w:r>
    </w:p>
    <w:p w14:paraId="5B39DC28" w14:textId="77777777" w:rsidR="003176C7" w:rsidRDefault="003176C7" w:rsidP="003176C7">
      <w:pPr>
        <w:jc w:val="center"/>
        <w:rPr>
          <w:lang w:val="en-GB"/>
        </w:rPr>
      </w:pPr>
    </w:p>
    <w:p w14:paraId="55BFBE60" w14:textId="77777777" w:rsidR="003176C7" w:rsidRDefault="003176C7" w:rsidP="003176C7">
      <w:pPr>
        <w:jc w:val="center"/>
        <w:rPr>
          <w:lang w:val="en-GB"/>
        </w:rPr>
      </w:pPr>
      <w:r>
        <w:rPr>
          <w:noProof/>
          <w:lang w:eastAsia="fr-FR"/>
        </w:rPr>
        <w:lastRenderedPageBreak/>
        <w:drawing>
          <wp:inline distT="0" distB="0" distL="0" distR="0" wp14:anchorId="277E87CA" wp14:editId="3C2C0595">
            <wp:extent cx="5225816" cy="5618575"/>
            <wp:effectExtent l="0" t="0" r="0" b="127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76" cy="563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F74C88" w14:textId="77777777" w:rsidR="003176C7" w:rsidRPr="00E05F65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  <w:r>
        <w:rPr>
          <w:b/>
          <w:iCs/>
          <w:color w:val="000000" w:themeColor="text1"/>
          <w:szCs w:val="18"/>
          <w:lang w:val="en-US"/>
        </w:rPr>
        <w:t xml:space="preserve">Figure S6. A) Example of MP mass histogram integration of a mix BSA/Bevacizumab/GLDH. </w:t>
      </w:r>
      <w:r>
        <w:rPr>
          <w:iCs/>
          <w:color w:val="000000" w:themeColor="text1"/>
          <w:szCs w:val="18"/>
          <w:lang w:val="en-US"/>
        </w:rPr>
        <w:t xml:space="preserve">Peak have been integrated at their half-height. </w:t>
      </w:r>
      <w:r w:rsidRPr="006246F8">
        <w:rPr>
          <w:b/>
          <w:iCs/>
          <w:color w:val="000000" w:themeColor="text1"/>
          <w:szCs w:val="18"/>
          <w:lang w:val="en-US"/>
        </w:rPr>
        <w:t>B)</w:t>
      </w:r>
      <w:r>
        <w:rPr>
          <w:iCs/>
          <w:color w:val="000000" w:themeColor="text1"/>
          <w:szCs w:val="18"/>
          <w:lang w:val="en-US"/>
        </w:rPr>
        <w:t xml:space="preserve"> </w:t>
      </w:r>
      <w:r w:rsidRPr="006246F8">
        <w:rPr>
          <w:iCs/>
          <w:color w:val="000000" w:themeColor="text1"/>
          <w:szCs w:val="18"/>
          <w:lang w:val="en-US"/>
        </w:rPr>
        <w:t xml:space="preserve">Example of contrast-to-mass calibration using the mix BSA/Bevacizumab/GLDH. </w:t>
      </w:r>
    </w:p>
    <w:p w14:paraId="253FC736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1ACA393D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5B028BBC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0BB79C71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1DF9592B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01DE905B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52549C58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12FEB909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510D4950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05C26100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0D0FF5CD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385560D0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3E6FCCE7" w14:textId="77777777" w:rsidR="003176C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62147C61" w14:textId="77777777" w:rsidR="003176C7" w:rsidRPr="00F46DB7" w:rsidRDefault="003176C7" w:rsidP="003176C7">
      <w:pPr>
        <w:spacing w:after="0" w:line="276" w:lineRule="auto"/>
        <w:jc w:val="both"/>
        <w:rPr>
          <w:iCs/>
          <w:color w:val="000000" w:themeColor="text1"/>
          <w:szCs w:val="18"/>
          <w:lang w:val="en-US"/>
        </w:rPr>
      </w:pPr>
    </w:p>
    <w:p w14:paraId="46F4737F" w14:textId="77777777" w:rsidR="003176C7" w:rsidRPr="00354272" w:rsidRDefault="003176C7" w:rsidP="003176C7">
      <w:pPr>
        <w:jc w:val="both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Tables.</w:t>
      </w:r>
    </w:p>
    <w:p w14:paraId="2AFFBC4F" w14:textId="77777777" w:rsidR="003176C7" w:rsidRPr="006246F8" w:rsidRDefault="003176C7" w:rsidP="003176C7">
      <w:pPr>
        <w:pStyle w:val="Caption"/>
        <w:keepNext/>
        <w:spacing w:after="0" w:line="276" w:lineRule="auto"/>
        <w:jc w:val="both"/>
        <w:rPr>
          <w:b/>
          <w:color w:val="000000" w:themeColor="text1"/>
          <w:lang w:val="en-US"/>
        </w:rPr>
      </w:pPr>
      <w:r>
        <w:rPr>
          <w:b/>
          <w:i w:val="0"/>
          <w:color w:val="000000" w:themeColor="text1"/>
          <w:sz w:val="22"/>
          <w:lang w:val="en-US"/>
        </w:rPr>
        <w:t xml:space="preserve">Table S1. Protein-free droplet measurements with decreasing denaturant concentrations showing the impact of denaturant droplet concentration on Sharpness, Brightness and Signal parameters.  </w:t>
      </w:r>
    </w:p>
    <w:p w14:paraId="2FE7EF21" w14:textId="77777777" w:rsidR="003176C7" w:rsidRDefault="003176C7" w:rsidP="003176C7">
      <w:pPr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FDEFD9E" wp14:editId="28B48418">
            <wp:extent cx="5105328" cy="1951660"/>
            <wp:effectExtent l="0" t="0" r="63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4"/>
                    <a:stretch/>
                  </pic:blipFill>
                  <pic:spPr bwMode="auto">
                    <a:xfrm>
                      <a:off x="0" y="0"/>
                      <a:ext cx="5122779" cy="195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D82F4" w14:textId="77777777" w:rsidR="003176C7" w:rsidRPr="00B92356" w:rsidRDefault="003176C7" w:rsidP="003176C7">
      <w:pPr>
        <w:jc w:val="center"/>
        <w:rPr>
          <w:lang w:val="en-US"/>
        </w:rPr>
      </w:pPr>
    </w:p>
    <w:p w14:paraId="3A25ACCC" w14:textId="77777777" w:rsidR="003176C7" w:rsidRDefault="003176C7" w:rsidP="003176C7">
      <w:pPr>
        <w:pStyle w:val="Caption"/>
        <w:keepNext/>
        <w:spacing w:after="0" w:line="276" w:lineRule="auto"/>
        <w:jc w:val="both"/>
        <w:rPr>
          <w:b/>
          <w:i w:val="0"/>
          <w:color w:val="000000" w:themeColor="text1"/>
          <w:sz w:val="22"/>
          <w:lang w:val="en-US"/>
        </w:rPr>
      </w:pPr>
      <w:r>
        <w:rPr>
          <w:b/>
          <w:i w:val="0"/>
          <w:color w:val="000000" w:themeColor="text1"/>
          <w:sz w:val="22"/>
          <w:lang w:val="en-US"/>
        </w:rPr>
        <w:t>Table S2. Mass measurements and counts number after nMP and dMP measurements of BSA.</w:t>
      </w:r>
    </w:p>
    <w:p w14:paraId="5262E626" w14:textId="77777777" w:rsidR="003176C7" w:rsidRDefault="003176C7" w:rsidP="003176C7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303C6390" wp14:editId="17C452CC">
            <wp:extent cx="6144219" cy="1106117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90" cy="1115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42A0E" w14:textId="77777777" w:rsidR="003176C7" w:rsidRDefault="003176C7" w:rsidP="003176C7">
      <w:pPr>
        <w:rPr>
          <w:lang w:val="en-US"/>
        </w:rPr>
      </w:pPr>
    </w:p>
    <w:p w14:paraId="016E244C" w14:textId="77777777" w:rsidR="003176C7" w:rsidRPr="00F47F6A" w:rsidRDefault="003176C7" w:rsidP="003176C7">
      <w:pPr>
        <w:rPr>
          <w:lang w:val="en-US"/>
        </w:rPr>
      </w:pPr>
    </w:p>
    <w:p w14:paraId="7973167A" w14:textId="77777777" w:rsidR="003176C7" w:rsidRPr="006246F8" w:rsidRDefault="003176C7" w:rsidP="003176C7">
      <w:pPr>
        <w:pStyle w:val="Caption"/>
        <w:keepNext/>
        <w:spacing w:after="0" w:line="276" w:lineRule="auto"/>
        <w:jc w:val="both"/>
        <w:rPr>
          <w:color w:val="000000" w:themeColor="text1"/>
          <w:lang w:val="en-US"/>
        </w:rPr>
      </w:pPr>
      <w:r>
        <w:rPr>
          <w:b/>
          <w:i w:val="0"/>
          <w:color w:val="000000" w:themeColor="text1"/>
          <w:sz w:val="22"/>
          <w:lang w:val="en-US"/>
        </w:rPr>
        <w:t xml:space="preserve">Table S3. Statistical results after XL-MS of R2SP cross-linked in triplicates at 25, 100, 400 molar excesses of DSBU. </w:t>
      </w:r>
      <w:r>
        <w:rPr>
          <w:i w:val="0"/>
          <w:color w:val="000000" w:themeColor="text1"/>
          <w:sz w:val="22"/>
          <w:lang w:val="en-US"/>
        </w:rPr>
        <w:t>Only validated unique cross-links (present in at least 2 out of 3 replicates) have been taken into account. Unique XL have been differentiated between intra- and inter-protein XL.</w:t>
      </w:r>
    </w:p>
    <w:p w14:paraId="4F32403B" w14:textId="77777777" w:rsidR="003176C7" w:rsidRDefault="003176C7" w:rsidP="003176C7">
      <w:pPr>
        <w:spacing w:after="0" w:line="360" w:lineRule="auto"/>
        <w:jc w:val="center"/>
        <w:rPr>
          <w:b/>
          <w:sz w:val="24"/>
          <w:lang w:val="en-US"/>
        </w:rPr>
      </w:pPr>
      <w:r>
        <w:rPr>
          <w:b/>
          <w:noProof/>
          <w:sz w:val="24"/>
          <w:lang w:eastAsia="fr-FR"/>
        </w:rPr>
        <w:drawing>
          <wp:inline distT="0" distB="0" distL="0" distR="0" wp14:anchorId="61A91A86" wp14:editId="2F6B6C49">
            <wp:extent cx="3711039" cy="933065"/>
            <wp:effectExtent l="0" t="0" r="381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38" cy="96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6EAD4" w14:textId="77777777" w:rsidR="003176C7" w:rsidRDefault="003176C7" w:rsidP="003176C7">
      <w:pPr>
        <w:spacing w:after="0" w:line="360" w:lineRule="auto"/>
        <w:jc w:val="center"/>
        <w:rPr>
          <w:b/>
          <w:sz w:val="24"/>
          <w:lang w:val="en-US"/>
        </w:rPr>
      </w:pPr>
    </w:p>
    <w:p w14:paraId="30FBA73A" w14:textId="77777777" w:rsidR="003176C7" w:rsidRPr="006246F8" w:rsidRDefault="003176C7" w:rsidP="003176C7">
      <w:pPr>
        <w:pStyle w:val="Caption"/>
        <w:keepNext/>
        <w:spacing w:after="0" w:line="276" w:lineRule="auto"/>
        <w:jc w:val="both"/>
        <w:rPr>
          <w:color w:val="000000" w:themeColor="text1"/>
          <w:lang w:val="en-GB"/>
        </w:rPr>
      </w:pPr>
      <w:r>
        <w:rPr>
          <w:b/>
          <w:i w:val="0"/>
          <w:color w:val="000000" w:themeColor="text1"/>
          <w:sz w:val="22"/>
          <w:lang w:val="en-US"/>
        </w:rPr>
        <w:t>Table S4. Example of Eff</w:t>
      </w:r>
      <w:r w:rsidRPr="006246F8">
        <w:rPr>
          <w:b/>
          <w:i w:val="0"/>
          <w:color w:val="000000" w:themeColor="text1"/>
          <w:sz w:val="22"/>
          <w:vertAlign w:val="subscript"/>
          <w:lang w:val="en-US"/>
        </w:rPr>
        <w:t>XL</w:t>
      </w:r>
      <w:r>
        <w:rPr>
          <w:b/>
          <w:i w:val="0"/>
          <w:color w:val="000000" w:themeColor="text1"/>
          <w:sz w:val="22"/>
          <w:lang w:val="en-US"/>
        </w:rPr>
        <w:t xml:space="preserve"> calculation on R2SP complex cross-linked with 400 molar excesses of DSBU</w:t>
      </w:r>
      <w:r>
        <w:rPr>
          <w:i w:val="0"/>
          <w:color w:val="000000" w:themeColor="text1"/>
          <w:sz w:val="22"/>
          <w:lang w:val="en-US"/>
        </w:rPr>
        <w:t>.</w:t>
      </w:r>
    </w:p>
    <w:p w14:paraId="414B183D" w14:textId="77777777" w:rsidR="003176C7" w:rsidRDefault="003176C7" w:rsidP="003176C7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4725EBAF" wp14:editId="14CF7723">
            <wp:extent cx="5978021" cy="1665573"/>
            <wp:effectExtent l="0" t="0" r="381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340" cy="1675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DB087" w14:textId="77777777" w:rsidR="003176C7" w:rsidRPr="006246F8" w:rsidRDefault="003176C7" w:rsidP="003176C7">
      <w:pPr>
        <w:pStyle w:val="Caption"/>
        <w:keepNext/>
        <w:spacing w:after="0" w:line="276" w:lineRule="auto"/>
        <w:jc w:val="both"/>
        <w:rPr>
          <w:b/>
          <w:color w:val="000000" w:themeColor="text1"/>
          <w:lang w:val="en-US"/>
        </w:rPr>
      </w:pPr>
      <w:r>
        <w:rPr>
          <w:b/>
          <w:i w:val="0"/>
          <w:color w:val="000000" w:themeColor="text1"/>
          <w:sz w:val="22"/>
          <w:lang w:val="en-US"/>
        </w:rPr>
        <w:lastRenderedPageBreak/>
        <w:t>Table S5. Example of SF</w:t>
      </w:r>
      <w:r w:rsidRPr="00354272">
        <w:rPr>
          <w:b/>
          <w:i w:val="0"/>
          <w:color w:val="000000" w:themeColor="text1"/>
          <w:sz w:val="22"/>
          <w:vertAlign w:val="subscript"/>
          <w:lang w:val="en-US"/>
        </w:rPr>
        <w:t>XL</w:t>
      </w:r>
      <w:r>
        <w:rPr>
          <w:b/>
          <w:i w:val="0"/>
          <w:color w:val="000000" w:themeColor="text1"/>
          <w:sz w:val="22"/>
          <w:lang w:val="en-US"/>
        </w:rPr>
        <w:t xml:space="preserve"> calculation on R2SP complex cross-linked with 400 molar excesses of DSBU</w:t>
      </w:r>
      <w:r>
        <w:rPr>
          <w:i w:val="0"/>
          <w:color w:val="000000" w:themeColor="text1"/>
          <w:sz w:val="22"/>
          <w:lang w:val="en-US"/>
        </w:rPr>
        <w:t>.</w:t>
      </w:r>
    </w:p>
    <w:p w14:paraId="519A191D" w14:textId="77777777" w:rsidR="003176C7" w:rsidRDefault="003176C7" w:rsidP="003176C7">
      <w:pPr>
        <w:spacing w:line="360" w:lineRule="auto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61A3607" wp14:editId="6697B336">
            <wp:extent cx="3620500" cy="983622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324" cy="1000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C240EF" w14:textId="77777777" w:rsidR="003176C7" w:rsidRPr="0043667F" w:rsidRDefault="003176C7" w:rsidP="003176C7">
      <w:pPr>
        <w:rPr>
          <w:lang w:val="en-US"/>
        </w:rPr>
      </w:pPr>
    </w:p>
    <w:p w14:paraId="072BA301" w14:textId="77777777" w:rsidR="00755780" w:rsidRDefault="00755780"/>
    <w:sectPr w:rsidR="00755780" w:rsidSect="00DF05FB">
      <w:headerReference w:type="default" r:id="rId15"/>
      <w:footerReference w:type="default" r:id="rId16"/>
      <w:pgSz w:w="11906" w:h="16838"/>
      <w:pgMar w:top="1440" w:right="1080" w:bottom="993" w:left="1080" w:header="709" w:footer="454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9298356"/>
      <w:docPartObj>
        <w:docPartGallery w:val="Page Numbers (Bottom of Page)"/>
        <w:docPartUnique/>
      </w:docPartObj>
    </w:sdtPr>
    <w:sdtEndPr/>
    <w:sdtContent>
      <w:p w14:paraId="2A805442" w14:textId="77777777" w:rsidR="006246F8" w:rsidRDefault="003176C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82D2798" w14:textId="77777777" w:rsidR="006246F8" w:rsidRDefault="003176C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6246F8" w14:paraId="74389E53" w14:textId="77777777" w:rsidTr="00DF05FB">
      <w:tc>
        <w:tcPr>
          <w:tcW w:w="3245" w:type="dxa"/>
        </w:tcPr>
        <w:p w14:paraId="64C30471" w14:textId="77777777" w:rsidR="006246F8" w:rsidRDefault="003176C7" w:rsidP="00DF05FB">
          <w:pPr>
            <w:pStyle w:val="Header"/>
            <w:ind w:left="-115"/>
          </w:pPr>
        </w:p>
      </w:tc>
      <w:tc>
        <w:tcPr>
          <w:tcW w:w="3245" w:type="dxa"/>
        </w:tcPr>
        <w:p w14:paraId="288E5D7C" w14:textId="77777777" w:rsidR="006246F8" w:rsidRDefault="003176C7" w:rsidP="00DF05FB">
          <w:pPr>
            <w:pStyle w:val="Header"/>
            <w:jc w:val="center"/>
          </w:pPr>
        </w:p>
      </w:tc>
      <w:tc>
        <w:tcPr>
          <w:tcW w:w="3245" w:type="dxa"/>
        </w:tcPr>
        <w:p w14:paraId="78A5303D" w14:textId="77777777" w:rsidR="006246F8" w:rsidRDefault="003176C7" w:rsidP="00DF05FB">
          <w:pPr>
            <w:pStyle w:val="Header"/>
            <w:ind w:right="-115"/>
            <w:jc w:val="right"/>
          </w:pPr>
        </w:p>
      </w:tc>
    </w:tr>
  </w:tbl>
  <w:p w14:paraId="3B1ED442" w14:textId="77777777" w:rsidR="006246F8" w:rsidRDefault="003176C7" w:rsidP="00DF05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C7"/>
    <w:rsid w:val="003176C7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ED6F"/>
  <w15:chartTrackingRefBased/>
  <w15:docId w15:val="{DE5630D4-D1B5-4A17-8651-62594532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6C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176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Normal"/>
    <w:link w:val="EndNoteBibliographyCar"/>
    <w:rsid w:val="003176C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3176C7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3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6C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3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6C7"/>
    <w:rPr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317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eader" Target="header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1395</Words>
  <Characters>7953</Characters>
  <Application>Microsoft Office Word</Application>
  <DocSecurity>0</DocSecurity>
  <Lines>66</Lines>
  <Paragraphs>18</Paragraphs>
  <ScaleCrop>false</ScaleCrop>
  <Company>Springer Nature</Company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2023-07-12T08:45:00Z</dcterms:created>
  <dcterms:modified xsi:type="dcterms:W3CDTF">2023-07-12T08:45:00Z</dcterms:modified>
</cp:coreProperties>
</file>