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eastAsiaTheme="minorEastAsia"/>
          <w:b/>
          <w:bCs/>
          <w:color w:val="auto"/>
          <w:sz w:val="24"/>
          <w:szCs w:val="24"/>
          <w:lang w:val="en-US" w:eastAsia="zh-CN"/>
        </w:rPr>
      </w:pPr>
      <w:r>
        <w:rPr>
          <w:rFonts w:hint="default" w:ascii="Times New Roman" w:hAnsi="Times New Roman" w:cs="Times New Roman"/>
          <w:b/>
          <w:bCs/>
          <w:color w:val="auto"/>
          <w:sz w:val="24"/>
          <w:szCs w:val="24"/>
          <w:lang w:val="en-US" w:eastAsia="zh-CN"/>
        </w:rPr>
        <w:t>Methods</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scRNA sequencing data download and pre-processing</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 xml:space="preserve">The raw single-cell RNA-seq dataset was obtained from Gene Expression Omnibus (accession number: GSE173252), which may be found at https://www.ncbi.nlm.nih.gov/geo/. The raw sequencing data was split by sra-tools software </w:t>
      </w:r>
      <w:r>
        <w:rPr>
          <w:rFonts w:hint="default" w:ascii="Times New Roman" w:hAnsi="Times New Roman" w:cs="Times New Roman"/>
          <w:color w:val="auto"/>
          <w:sz w:val="24"/>
          <w:szCs w:val="24"/>
          <w:lang w:val="en-US" w:eastAsia="zh-CN"/>
        </w:rPr>
        <w:t>(</w:t>
      </w:r>
      <w:r>
        <w:rPr>
          <w:rFonts w:hint="default" w:ascii="Times New Roman" w:hAnsi="Times New Roman" w:cs="Times New Roman"/>
          <w:color w:val="auto"/>
          <w:sz w:val="24"/>
          <w:szCs w:val="24"/>
        </w:rPr>
        <w:t>version</w:t>
      </w:r>
      <w:r>
        <w:rPr>
          <w:rFonts w:hint="default" w:ascii="Times New Roman" w:hAnsi="Times New Roman" w:cs="Times New Roman"/>
          <w:color w:val="auto"/>
          <w:sz w:val="24"/>
          <w:szCs w:val="24"/>
          <w:lang w:val="en-US" w:eastAsia="zh-CN"/>
        </w:rPr>
        <w:t xml:space="preserve"> </w:t>
      </w:r>
      <w:r>
        <w:rPr>
          <w:rFonts w:hint="default" w:ascii="Times New Roman" w:hAnsi="Times New Roman" w:cs="Times New Roman"/>
          <w:color w:val="auto"/>
          <w:sz w:val="24"/>
          <w:szCs w:val="24"/>
        </w:rPr>
        <w:t>3.0.3</w:t>
      </w:r>
      <w:r>
        <w:rPr>
          <w:rFonts w:hint="default" w:ascii="Times New Roman" w:hAnsi="Times New Roman" w:cs="Times New Roman"/>
          <w:color w:val="auto"/>
          <w:sz w:val="24"/>
          <w:szCs w:val="24"/>
          <w:lang w:val="en-US" w:eastAsia="zh-CN"/>
        </w:rPr>
        <w:t>)</w:t>
      </w:r>
      <w:r>
        <w:rPr>
          <w:rFonts w:hint="default" w:ascii="Times New Roman" w:hAnsi="Times New Roman" w:cs="Times New Roman"/>
          <w:color w:val="auto"/>
          <w:sz w:val="24"/>
          <w:szCs w:val="24"/>
        </w:rPr>
        <w:t xml:space="preserve"> (https://github.com/ncbi/sra-tools) and then processed by the CellRanger</w:t>
      </w:r>
      <w:r>
        <w:rPr>
          <w:rFonts w:hint="default" w:ascii="Times New Roman" w:hAnsi="Times New Roman" w:cs="Times New Roman"/>
          <w:color w:val="auto"/>
          <w:sz w:val="24"/>
          <w:szCs w:val="24"/>
          <w:vertAlign w:val="superscript"/>
        </w:rPr>
        <w:t>TM</w:t>
      </w:r>
      <w:r>
        <w:rPr>
          <w:rFonts w:hint="default" w:ascii="Times New Roman" w:hAnsi="Times New Roman" w:cs="Times New Roman"/>
          <w:color w:val="auto"/>
          <w:sz w:val="24"/>
          <w:szCs w:val="24"/>
        </w:rPr>
        <w:t xml:space="preserve"> pipeline (version 7.1.0), which included demultiplexing of cellular barcodes, calculating the total number of cells, and applying a map read to the </w:t>
      </w:r>
      <w:r>
        <w:rPr>
          <w:rFonts w:hint="eastAsia" w:ascii="Times New Roman" w:hAnsi="Times New Roman" w:cs="Times New Roman"/>
          <w:color w:val="auto"/>
          <w:sz w:val="24"/>
          <w:szCs w:val="24"/>
          <w:lang w:val="en-US" w:eastAsia="zh-CN"/>
        </w:rPr>
        <w:t xml:space="preserve">human reference </w:t>
      </w:r>
      <w:r>
        <w:rPr>
          <w:rFonts w:hint="default" w:ascii="Times New Roman" w:hAnsi="Times New Roman" w:cs="Times New Roman"/>
          <w:color w:val="auto"/>
          <w:sz w:val="24"/>
          <w:szCs w:val="24"/>
        </w:rPr>
        <w:t>genome</w:t>
      </w:r>
      <w:r>
        <w:rPr>
          <w:rFonts w:hint="eastAsia" w:ascii="Times New Roman" w:hAnsi="Times New Roman" w:cs="Times New Roman"/>
          <w:color w:val="auto"/>
          <w:sz w:val="24"/>
          <w:szCs w:val="24"/>
          <w:lang w:val="en-US" w:eastAsia="zh-CN"/>
        </w:rPr>
        <w:t xml:space="preserve"> (GRCh38)</w:t>
      </w:r>
      <w:r>
        <w:rPr>
          <w:rFonts w:hint="default" w:ascii="Times New Roman" w:hAnsi="Times New Roman" w:cs="Times New Roman"/>
          <w:color w:val="auto"/>
          <w:sz w:val="24"/>
          <w:szCs w:val="24"/>
        </w:rPr>
        <w:t>. After demultiplexing cellular barcodes, the total number of cells caught in each sample was calculated using the "cell ranger count" function</w:t>
      </w:r>
      <w:r>
        <w:rPr>
          <w:rFonts w:hint="default" w:ascii="Times New Roman" w:hAnsi="Times New Roman" w:cs="Times New Roman"/>
          <w:color w:val="auto"/>
          <w:sz w:val="24"/>
          <w:szCs w:val="24"/>
          <w:lang w:val="en-US" w:eastAsia="zh-CN"/>
        </w:rPr>
        <w:t xml:space="preserve"> in </w:t>
      </w:r>
      <w:r>
        <w:rPr>
          <w:rFonts w:hint="default" w:ascii="Times New Roman" w:hAnsi="Times New Roman" w:cs="Times New Roman"/>
          <w:color w:val="auto"/>
          <w:sz w:val="24"/>
          <w:szCs w:val="24"/>
        </w:rPr>
        <w:t>CellRanger</w:t>
      </w:r>
      <w:r>
        <w:rPr>
          <w:rFonts w:hint="default" w:ascii="Times New Roman" w:hAnsi="Times New Roman" w:cs="Times New Roman"/>
          <w:color w:val="auto"/>
          <w:sz w:val="24"/>
          <w:szCs w:val="24"/>
        </w:rPr>
        <w:t>. To acquire high-quality cells after using the CellRanger</w:t>
      </w:r>
      <w:r>
        <w:rPr>
          <w:rFonts w:hint="default" w:ascii="Times New Roman" w:hAnsi="Times New Roman" w:cs="Times New Roman"/>
          <w:color w:val="auto"/>
          <w:sz w:val="24"/>
          <w:szCs w:val="24"/>
          <w:vertAlign w:val="superscript"/>
        </w:rPr>
        <w:t>TM</w:t>
      </w:r>
      <w:r>
        <w:rPr>
          <w:rFonts w:hint="default" w:ascii="Times New Roman" w:hAnsi="Times New Roman" w:cs="Times New Roman"/>
          <w:color w:val="auto"/>
          <w:sz w:val="24"/>
          <w:szCs w:val="24"/>
        </w:rPr>
        <w:t xml:space="preserve"> process, a filter criterion was applied. </w:t>
      </w:r>
      <w:r>
        <w:rPr>
          <w:rFonts w:hint="default" w:ascii="Times New Roman" w:hAnsi="Times New Roman" w:cs="Times New Roman"/>
          <w:color w:val="auto"/>
          <w:sz w:val="24"/>
          <w:szCs w:val="24"/>
          <w:lang w:val="en-US" w:eastAsia="zh-CN"/>
        </w:rPr>
        <w:t>Briefly, t</w:t>
      </w:r>
      <w:r>
        <w:rPr>
          <w:rFonts w:hint="default" w:ascii="Times New Roman" w:hAnsi="Times New Roman" w:cs="Times New Roman"/>
          <w:color w:val="auto"/>
          <w:sz w:val="24"/>
          <w:szCs w:val="24"/>
        </w:rPr>
        <w:t>he double cells were detected using the Scrublet python package (version 0.2.3) (Wolock et al. 2019) and then eliminated in Seurat (version 4.2.0)</w:t>
      </w:r>
      <w:r>
        <w:rPr>
          <w:rFonts w:hint="default" w:ascii="Times New Roman" w:hAnsi="Times New Roman" w:cs="Times New Roman"/>
          <w:color w:val="auto"/>
          <w:sz w:val="24"/>
          <w:szCs w:val="24"/>
          <w:lang w:val="en-US" w:eastAsia="zh-CN"/>
        </w:rPr>
        <w:t xml:space="preserve"> </w:t>
      </w:r>
      <w:r>
        <w:rPr>
          <w:rFonts w:hint="default" w:ascii="Times New Roman" w:hAnsi="Times New Roman" w:cs="Times New Roman"/>
          <w:color w:val="auto"/>
          <w:sz w:val="24"/>
          <w:szCs w:val="24"/>
        </w:rPr>
        <w:t>(Hao et al. 2021) since they were formed from two or more cells. We filtered the genes discovered in fewer than three cells and cells with a total number of detected genes (nGenes) of less than 200 and greater than 3000 for each sample. Following a visual evaluation of the cell distribution by the fraction of mitochondrial genes expressed, low-quality cells with more than 50% of the counts belonging to mitochondrial genes were removed.</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Characterization of Cell Clusters</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 xml:space="preserve">The remaining cells and genes were used for cell clustering, and the "NormalizeData" function in Seurat was used to normalize gene expression on the filtered matrix. The FindVariableFeatures program was used to identify variable genes, and the top 2,000 variable genes were chosen after ranking all variable genes in descending order. </w:t>
      </w:r>
      <w:r>
        <w:rPr>
          <w:rFonts w:hint="eastAsia" w:ascii="Times New Roman" w:hAnsi="Times New Roman" w:cs="Times New Roman"/>
          <w:color w:val="auto"/>
          <w:sz w:val="24"/>
          <w:szCs w:val="24"/>
          <w:lang w:val="en-US" w:eastAsia="zh-CN"/>
        </w:rPr>
        <w:t xml:space="preserve">Then </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rPr>
        <w:t>RunHarmony</w:t>
      </w:r>
      <w:r>
        <w:rPr>
          <w:rFonts w:hint="default" w:ascii="Times New Roman" w:hAnsi="Times New Roman" w:cs="Times New Roman"/>
          <w:color w:val="auto"/>
          <w:sz w:val="24"/>
          <w:szCs w:val="24"/>
        </w:rPr>
        <w:t>"</w:t>
      </w:r>
      <w:r>
        <w:rPr>
          <w:rFonts w:hint="eastAsia" w:ascii="Times New Roman" w:hAnsi="Times New Roman" w:cs="Times New Roman"/>
          <w:color w:val="auto"/>
          <w:sz w:val="24"/>
          <w:szCs w:val="24"/>
          <w:lang w:val="en-US" w:eastAsia="zh-CN"/>
        </w:rPr>
        <w:t xml:space="preserve"> function in Harmony (v0.1.1) R package</w:t>
      </w:r>
      <w:r>
        <w:rPr>
          <w:rFonts w:hint="default" w:ascii="Times New Roman" w:hAnsi="Times New Roman" w:cs="Times New Roman"/>
          <w:color w:val="auto"/>
          <w:sz w:val="24"/>
          <w:szCs w:val="24"/>
          <w:lang w:val="en-US" w:eastAsia="zh-CN"/>
        </w:rPr>
        <w:t xml:space="preserve"> </w:t>
      </w:r>
      <w:r>
        <w:rPr>
          <w:rFonts w:hint="default" w:ascii="Times New Roman" w:hAnsi="Times New Roman" w:cs="Times New Roman"/>
          <w:color w:val="auto"/>
          <w:sz w:val="24"/>
          <w:szCs w:val="24"/>
        </w:rPr>
        <w:t xml:space="preserve">(Korsunsky et al. 2019) was used to reduce batch effects across multiple samples. Principal component analysis (PCA) was carried out on cells based on variable gene expression using "RunPCA" in Seurat. The top 30 principle components were chosen for clustering analysis based on the PCA results, and the FindClusters tool was used to cluster the cells. Endothelial cells were identified by the elevated expression of IFI27 and ACKR1 in the clusters. Following that, all Endothelial cells were unsupervised reclustered using the method described above.  </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RNA Velocity Analysis</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RNA velocity predicts future transcriptional cell states by examining the fraction of spliced and unspliced mRNAs in a specific gene</w:t>
      </w:r>
      <w:r>
        <w:rPr>
          <w:rFonts w:hint="default" w:ascii="Times New Roman" w:hAnsi="Times New Roman" w:cs="Times New Roman"/>
          <w:color w:val="auto"/>
          <w:sz w:val="24"/>
          <w:szCs w:val="24"/>
          <w:lang w:val="en-US" w:eastAsia="zh-CN"/>
        </w:rPr>
        <w:t xml:space="preserve"> </w:t>
      </w:r>
      <w:r>
        <w:rPr>
          <w:rFonts w:hint="default" w:ascii="Times New Roman" w:hAnsi="Times New Roman" w:cs="Times New Roman"/>
          <w:color w:val="auto"/>
          <w:sz w:val="24"/>
          <w:szCs w:val="24"/>
        </w:rPr>
        <w:t xml:space="preserve">(La Manno et al. 2018). For each duplicate, CellRanger created position sorted BAM files containing binary versions of aligned sequencing data. These BAM files were fed into velocyto.py, which produces a loom file with spliced and unspliced expression matrices. Each loom file was read using the method "scv.read()" in the scvelo </w:t>
      </w:r>
      <w:r>
        <w:rPr>
          <w:rFonts w:hint="default" w:ascii="Times New Roman" w:hAnsi="Times New Roman" w:cs="Times New Roman"/>
          <w:color w:val="auto"/>
          <w:sz w:val="24"/>
          <w:szCs w:val="24"/>
          <w:lang w:val="en-US" w:eastAsia="zh-CN"/>
        </w:rPr>
        <w:t>p</w:t>
      </w:r>
      <w:r>
        <w:rPr>
          <w:rFonts w:hint="default" w:ascii="Times New Roman" w:hAnsi="Times New Roman" w:cs="Times New Roman"/>
          <w:color w:val="auto"/>
          <w:sz w:val="24"/>
          <w:szCs w:val="24"/>
        </w:rPr>
        <w:t>ython packages</w:t>
      </w:r>
      <w:r>
        <w:rPr>
          <w:rFonts w:hint="default" w:ascii="Times New Roman" w:hAnsi="Times New Roman" w:cs="Times New Roman"/>
          <w:color w:val="auto"/>
          <w:sz w:val="24"/>
          <w:szCs w:val="24"/>
          <w:lang w:val="en-US" w:eastAsia="zh-CN"/>
        </w:rPr>
        <w:t xml:space="preserve"> </w:t>
      </w:r>
      <w:r>
        <w:rPr>
          <w:rFonts w:hint="default" w:ascii="Times New Roman" w:hAnsi="Times New Roman" w:cs="Times New Roman"/>
          <w:color w:val="auto"/>
          <w:sz w:val="24"/>
          <w:szCs w:val="24"/>
        </w:rPr>
        <w:t>(Bergen et al. 2020) and concatenated using the "concatenate()" function in the scvelo Python packages. RNA velocity was calculated using the scVelo tutorial for computing RNA velocity. Velocity estimates were produced in the stochastic mode and shown in the scVelo using the method "scv.pl.velocity_embedding_stream".</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Trajectory inference analysis</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The R package Monocle2 (version 2.26.0) (Qiu</w:t>
      </w:r>
      <w:r>
        <w:rPr>
          <w:rFonts w:hint="default" w:ascii="Times New Roman" w:hAnsi="Times New Roman" w:cs="Times New Roman"/>
          <w:color w:val="auto"/>
          <w:sz w:val="24"/>
          <w:szCs w:val="24"/>
          <w:lang w:val="en-US" w:eastAsia="zh-CN"/>
        </w:rPr>
        <w:t xml:space="preserve"> et al.</w:t>
      </w:r>
      <w:r>
        <w:rPr>
          <w:rFonts w:hint="default" w:ascii="Times New Roman" w:hAnsi="Times New Roman" w:cs="Times New Roman"/>
          <w:color w:val="auto"/>
          <w:sz w:val="24"/>
          <w:szCs w:val="24"/>
        </w:rPr>
        <w:t xml:space="preserve"> 2017) was used to calculate the pseudotime trajectories of </w:t>
      </w:r>
      <w:r>
        <w:rPr>
          <w:rFonts w:hint="eastAsia" w:ascii="Times New Roman" w:hAnsi="Times New Roman" w:cs="Times New Roman"/>
          <w:color w:val="auto"/>
          <w:sz w:val="24"/>
          <w:szCs w:val="24"/>
          <w:lang w:val="en-US" w:eastAsia="zh-CN"/>
        </w:rPr>
        <w:t>E</w:t>
      </w:r>
      <w:r>
        <w:rPr>
          <w:rFonts w:hint="default" w:ascii="Times New Roman" w:hAnsi="Times New Roman" w:cs="Times New Roman"/>
          <w:color w:val="auto"/>
          <w:sz w:val="24"/>
          <w:szCs w:val="24"/>
        </w:rPr>
        <w:t xml:space="preserve">C1 (IL6+ ECs) and </w:t>
      </w:r>
      <w:r>
        <w:rPr>
          <w:rFonts w:hint="eastAsia" w:ascii="Times New Roman" w:hAnsi="Times New Roman" w:cs="Times New Roman"/>
          <w:color w:val="auto"/>
          <w:sz w:val="24"/>
          <w:szCs w:val="24"/>
          <w:lang w:val="en-US" w:eastAsia="zh-CN"/>
        </w:rPr>
        <w:t>E</w:t>
      </w:r>
      <w:r>
        <w:rPr>
          <w:rFonts w:hint="default" w:ascii="Times New Roman" w:hAnsi="Times New Roman" w:cs="Times New Roman"/>
          <w:color w:val="auto"/>
          <w:sz w:val="24"/>
          <w:szCs w:val="24"/>
        </w:rPr>
        <w:t xml:space="preserve">C2 (RGCC+ ECs) to capture the potential trace of differentiation among different ECs subtypes. With the default settings, the "reduceDimension" and "orderCells" </w:t>
      </w:r>
      <w:r>
        <w:rPr>
          <w:rFonts w:hint="default" w:ascii="Times New Roman" w:hAnsi="Times New Roman" w:cs="Times New Roman"/>
          <w:color w:val="auto"/>
          <w:sz w:val="24"/>
          <w:szCs w:val="24"/>
        </w:rPr>
        <w:t>function</w:t>
      </w:r>
      <w:r>
        <w:rPr>
          <w:rFonts w:hint="eastAsia" w:ascii="Times New Roman" w:hAnsi="Times New Roman" w:cs="Times New Roman"/>
          <w:color w:val="auto"/>
          <w:sz w:val="24"/>
          <w:szCs w:val="24"/>
          <w:lang w:val="en-US" w:eastAsia="zh-CN"/>
        </w:rPr>
        <w:t xml:space="preserve">s were used to </w:t>
      </w:r>
      <w:r>
        <w:rPr>
          <w:rFonts w:hint="default" w:ascii="Times New Roman" w:hAnsi="Times New Roman" w:cs="Times New Roman"/>
          <w:color w:val="auto"/>
          <w:sz w:val="24"/>
          <w:szCs w:val="24"/>
        </w:rPr>
        <w:t>infer the cell trajectory.</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Differential gene expression and functional enrichment analysis</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The Seurat package's "FindMarkers" function was used with the default parameters to perform differential gene expression analysis between Dupuytren's disease and healthy controls (DE/SF). Using the clusterProfiler software</w:t>
      </w:r>
      <w:r>
        <w:rPr>
          <w:rFonts w:hint="default" w:ascii="Times New Roman" w:hAnsi="Times New Roman" w:cs="Times New Roman"/>
          <w:color w:val="auto"/>
          <w:sz w:val="24"/>
          <w:szCs w:val="24"/>
          <w:lang w:val="en-US" w:eastAsia="zh-CN"/>
        </w:rPr>
        <w:t xml:space="preserve"> </w:t>
      </w:r>
      <w:r>
        <w:rPr>
          <w:rFonts w:hint="default" w:ascii="Times New Roman" w:hAnsi="Times New Roman" w:cs="Times New Roman"/>
          <w:color w:val="auto"/>
          <w:sz w:val="24"/>
          <w:szCs w:val="24"/>
        </w:rPr>
        <w:t xml:space="preserve">(Wu et al. 2021), the results of the differential gene expression study were further analyzed for functional enrichment. The gene lists derived from the analysis were </w:t>
      </w:r>
      <w:r>
        <w:rPr>
          <w:rFonts w:hint="default" w:ascii="Times New Roman" w:hAnsi="Times New Roman" w:cs="Times New Roman"/>
          <w:color w:val="auto"/>
          <w:sz w:val="24"/>
          <w:szCs w:val="24"/>
          <w:lang w:val="en-US" w:eastAsia="zh-CN"/>
        </w:rPr>
        <w:t xml:space="preserve">further </w:t>
      </w:r>
      <w:r>
        <w:rPr>
          <w:rFonts w:hint="default" w:ascii="Times New Roman" w:hAnsi="Times New Roman" w:cs="Times New Roman"/>
          <w:color w:val="auto"/>
          <w:sz w:val="24"/>
          <w:szCs w:val="24"/>
        </w:rPr>
        <w:t>assessed for enrichment in biological process (BP) terms.</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SCENIC Analysis and Gene Regulatory Network Construction</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 xml:space="preserve">pySCENIC (version 0.12.1) (Aibar et al., 2017;Van de Sande et al., 2020), a computational technique for identifying cell states and generating gene regulatory networks from scRNA-seq data, was used to infer transcription factors (TFs) in scRNA-seq data. </w:t>
      </w:r>
      <w:r>
        <w:rPr>
          <w:rFonts w:hint="default" w:ascii="Times New Roman" w:hAnsi="Times New Roman" w:cs="Times New Roman"/>
          <w:color w:val="auto"/>
          <w:sz w:val="24"/>
          <w:szCs w:val="24"/>
          <w:lang w:val="en-US" w:eastAsia="zh-CN"/>
        </w:rPr>
        <w:t xml:space="preserve">In brief, </w:t>
      </w:r>
      <w:r>
        <w:rPr>
          <w:rFonts w:hint="default" w:ascii="Times New Roman" w:hAnsi="Times New Roman" w:cs="Times New Roman"/>
          <w:color w:val="auto"/>
          <w:sz w:val="24"/>
          <w:szCs w:val="24"/>
        </w:rPr>
        <w:t xml:space="preserve">a gene co-expression network was </w:t>
      </w:r>
      <w:r>
        <w:rPr>
          <w:rFonts w:hint="default" w:ascii="Times New Roman" w:hAnsi="Times New Roman" w:cs="Times New Roman"/>
          <w:color w:val="auto"/>
          <w:sz w:val="24"/>
          <w:szCs w:val="24"/>
          <w:lang w:val="en-US" w:eastAsia="zh-CN"/>
        </w:rPr>
        <w:t xml:space="preserve">initially </w:t>
      </w:r>
      <w:r>
        <w:rPr>
          <w:rFonts w:hint="default" w:ascii="Times New Roman" w:hAnsi="Times New Roman" w:cs="Times New Roman"/>
          <w:color w:val="auto"/>
          <w:sz w:val="24"/>
          <w:szCs w:val="24"/>
        </w:rPr>
        <w:t xml:space="preserve">built utilizing data from an EC gene expression matrix. Following that, the "pyscenic ctx" </w:t>
      </w:r>
      <w:r>
        <w:rPr>
          <w:rFonts w:hint="default" w:ascii="Times New Roman" w:hAnsi="Times New Roman" w:cs="Times New Roman"/>
          <w:color w:val="auto"/>
          <w:sz w:val="24"/>
          <w:szCs w:val="24"/>
          <w:lang w:val="en-US" w:eastAsia="zh-CN"/>
        </w:rPr>
        <w:t xml:space="preserve">function </w:t>
      </w:r>
      <w:r>
        <w:rPr>
          <w:rFonts w:hint="default" w:ascii="Times New Roman" w:hAnsi="Times New Roman" w:cs="Times New Roman"/>
          <w:color w:val="auto"/>
          <w:sz w:val="24"/>
          <w:szCs w:val="24"/>
        </w:rPr>
        <w:t xml:space="preserve">in the pySCENIC python package was used to find TF-mRNA regulatory networks with direct regulatory links, and these TFs were classed as regulons. Finally, for each cell corresponding to each regulon, a regulon activity score was calculated, which represents the regulatory activity of the associated regulon in each cell. </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Complex Cell-Cell Communication Networks</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 xml:space="preserve">CellPhoneDB (version 4) (Garcia-Alenso et al. 2023), a publicly available collection of curated receptors and ligands and their interactions, was utilized to detect intercellular communication between ECs to characterize the cell contact between Dupuytren's disease and healthy controls. The enriched receptor-ligand connections across cell types were based on the expression of the receptor on one cell type and the expression of the matching ligand by another cell type. The visualization was built on the significant cell type-specific interactions between ligands and receptors. </w:t>
      </w:r>
      <w:r>
        <w:rPr>
          <w:rFonts w:hint="default" w:ascii="Times New Roman" w:hAnsi="Times New Roman" w:cs="Times New Roman"/>
          <w:color w:val="auto"/>
          <w:sz w:val="24"/>
          <w:szCs w:val="24"/>
        </w:rPr>
        <w:t>Circle plots representing the number of interactions between cell types were created with the "plot_cpdb3" function in the ktplots R package</w:t>
      </w:r>
      <w:r>
        <w:rPr>
          <w:rFonts w:hint="default" w:ascii="Times New Roman" w:hAnsi="Times New Roman" w:cs="Times New Roman"/>
          <w:color w:val="auto"/>
          <w:sz w:val="24"/>
          <w:szCs w:val="24"/>
          <w:lang w:val="en-US" w:eastAsia="zh-CN"/>
        </w:rPr>
        <w:t xml:space="preserve"> </w:t>
      </w:r>
      <w:r>
        <w:rPr>
          <w:rFonts w:hint="default" w:ascii="Times New Roman" w:hAnsi="Times New Roman" w:cs="Times New Roman"/>
          <w:color w:val="auto"/>
          <w:sz w:val="24"/>
          <w:szCs w:val="24"/>
        </w:rPr>
        <w:t>(</w:t>
      </w:r>
      <w:r>
        <w:rPr>
          <w:rStyle w:val="10"/>
          <w:rFonts w:hint="default" w:ascii="Times New Roman" w:hAnsi="Times New Roman" w:eastAsia="Consolas" w:cs="Times New Roman"/>
          <w:color w:val="auto"/>
          <w:sz w:val="24"/>
          <w:szCs w:val="24"/>
          <w:lang w:val="nl-NL"/>
        </w:rPr>
        <w:t>Tuong</w:t>
      </w:r>
      <w:r>
        <w:rPr>
          <w:rFonts w:hint="default" w:ascii="Times New Roman" w:hAnsi="Times New Roman" w:cs="Times New Roman"/>
          <w:color w:val="auto"/>
          <w:sz w:val="24"/>
          <w:szCs w:val="24"/>
        </w:rPr>
        <w:t xml:space="preserve"> et al. 202</w:t>
      </w:r>
      <w:r>
        <w:rPr>
          <w:rFonts w:hint="default" w:ascii="Times New Roman" w:hAnsi="Times New Roman" w:cs="Times New Roman"/>
          <w:color w:val="auto"/>
          <w:sz w:val="24"/>
          <w:szCs w:val="24"/>
          <w:lang w:val="en-US" w:eastAsia="zh-CN"/>
        </w:rPr>
        <w:t>1</w:t>
      </w:r>
      <w:r>
        <w:rPr>
          <w:rFonts w:hint="default" w:ascii="Times New Roman" w:hAnsi="Times New Roman" w:cs="Times New Roman"/>
          <w:color w:val="auto"/>
          <w:sz w:val="24"/>
          <w:szCs w:val="24"/>
        </w:rPr>
        <w:t xml:space="preserve">). </w:t>
      </w:r>
      <w:r>
        <w:rPr>
          <w:rFonts w:hint="eastAsia" w:ascii="Times New Roman" w:hAnsi="Times New Roman" w:cs="Times New Roman"/>
          <w:color w:val="auto"/>
          <w:sz w:val="24"/>
          <w:szCs w:val="24"/>
          <w:lang w:val="en-US" w:eastAsia="zh-CN"/>
        </w:rPr>
        <w:t>In addition, l</w:t>
      </w:r>
      <w:r>
        <w:rPr>
          <w:rFonts w:hint="default" w:ascii="Times New Roman" w:hAnsi="Times New Roman" w:cs="Times New Roman"/>
          <w:color w:val="auto"/>
          <w:sz w:val="24"/>
          <w:szCs w:val="24"/>
        </w:rPr>
        <w:t xml:space="preserve">og10 of </w:t>
      </w:r>
      <w:r>
        <w:rPr>
          <w:rFonts w:hint="default" w:ascii="Times New Roman" w:hAnsi="Times New Roman" w:cs="Times New Roman"/>
          <w:i/>
          <w:iCs/>
          <w:color w:val="auto"/>
          <w:sz w:val="24"/>
          <w:szCs w:val="24"/>
        </w:rPr>
        <w:t>p</w:t>
      </w:r>
      <w:r>
        <w:rPr>
          <w:rFonts w:hint="default" w:ascii="Times New Roman" w:hAnsi="Times New Roman" w:cs="Times New Roman"/>
          <w:color w:val="auto"/>
          <w:sz w:val="24"/>
          <w:szCs w:val="24"/>
        </w:rPr>
        <w:t xml:space="preserve">-values+0.001 and mean expression were calculated and plotted on dotplots. </w:t>
      </w:r>
      <w:r>
        <w:rPr>
          <w:rFonts w:hint="default" w:ascii="Times New Roman" w:hAnsi="Times New Roman" w:cs="Times New Roman"/>
          <w:color w:val="auto"/>
          <w:sz w:val="24"/>
          <w:szCs w:val="24"/>
        </w:rPr>
        <w:t>To forecast potential ligand-receptor communication between cell types in Dupuytren's disease and healthy controls, we utilized the NicheNet approach</w:t>
      </w:r>
      <w:r>
        <w:rPr>
          <w:rFonts w:hint="default" w:ascii="Times New Roman" w:hAnsi="Times New Roman" w:cs="Times New Roman"/>
          <w:color w:val="auto"/>
          <w:sz w:val="24"/>
          <w:szCs w:val="24"/>
          <w:lang w:val="en-US" w:eastAsia="zh-CN"/>
        </w:rPr>
        <w:t xml:space="preserve"> </w:t>
      </w:r>
      <w:r>
        <w:rPr>
          <w:rFonts w:hint="default" w:ascii="Times New Roman" w:hAnsi="Times New Roman" w:cs="Times New Roman"/>
          <w:color w:val="auto"/>
          <w:sz w:val="24"/>
          <w:szCs w:val="24"/>
        </w:rPr>
        <w:t>(</w:t>
      </w:r>
      <w:r>
        <w:rPr>
          <w:rFonts w:hint="default" w:ascii="Times New Roman" w:hAnsi="Times New Roman" w:eastAsia="Segoe UI" w:cs="Times New Roman"/>
          <w:color w:val="auto"/>
          <w:sz w:val="24"/>
          <w:szCs w:val="24"/>
          <w:shd w:val="clear" w:color="auto" w:fill="FFFFFF"/>
        </w:rPr>
        <w:t>Browaeys</w:t>
      </w:r>
      <w:r>
        <w:rPr>
          <w:rFonts w:hint="default" w:ascii="Times New Roman" w:hAnsi="Times New Roman" w:cs="Times New Roman"/>
          <w:color w:val="auto"/>
          <w:sz w:val="24"/>
          <w:szCs w:val="24"/>
        </w:rPr>
        <w:t xml:space="preserve"> et al. 20</w:t>
      </w:r>
      <w:r>
        <w:rPr>
          <w:rFonts w:hint="default" w:ascii="Times New Roman" w:hAnsi="Times New Roman" w:cs="Times New Roman"/>
          <w:color w:val="auto"/>
          <w:sz w:val="24"/>
          <w:szCs w:val="24"/>
          <w:lang w:val="en-US" w:eastAsia="zh-CN"/>
        </w:rPr>
        <w:t>19</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rPr>
        <w:t xml:space="preserve">, a computational modeling tool based on gene expression data that is employed in models of cell-cell communication that link ligands to target genes. The nichenetr package's "nichenet_seuratobj_aggregate" function was used for the analysis. The receiver cell type is </w:t>
      </w:r>
      <w:r>
        <w:rPr>
          <w:rFonts w:hint="default" w:ascii="Times New Roman" w:hAnsi="Times New Roman" w:cs="Times New Roman"/>
          <w:color w:val="auto"/>
          <w:sz w:val="24"/>
          <w:szCs w:val="24"/>
          <w:lang w:val="en-US" w:eastAsia="zh-CN"/>
        </w:rPr>
        <w:t>E</w:t>
      </w:r>
      <w:r>
        <w:rPr>
          <w:rFonts w:hint="default" w:ascii="Times New Roman" w:hAnsi="Times New Roman" w:cs="Times New Roman"/>
          <w:color w:val="auto"/>
          <w:sz w:val="24"/>
          <w:szCs w:val="24"/>
        </w:rPr>
        <w:t xml:space="preserve">C2 (RGCC + ECs), while the sender cell type is </w:t>
      </w:r>
      <w:r>
        <w:rPr>
          <w:rFonts w:hint="default" w:ascii="Times New Roman" w:hAnsi="Times New Roman" w:cs="Times New Roman"/>
          <w:color w:val="auto"/>
          <w:sz w:val="24"/>
          <w:szCs w:val="24"/>
          <w:lang w:val="en-US" w:eastAsia="zh-CN"/>
        </w:rPr>
        <w:t>E</w:t>
      </w:r>
      <w:r>
        <w:rPr>
          <w:rFonts w:hint="default" w:ascii="Times New Roman" w:hAnsi="Times New Roman" w:cs="Times New Roman"/>
          <w:color w:val="auto"/>
          <w:sz w:val="24"/>
          <w:szCs w:val="24"/>
        </w:rPr>
        <w:t>C1 (IL6+ ECs), with "group" as the condition of interest. Dupuytren's disease and health controls (DE/SF) characterize this category. Finally, nichenet$ligand_receptor_heatmap and nichenet$ligand_activity_target_heatmap were used to generate heatmaps.</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hdWGCNA analysis</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default" w:ascii="Times New Roman" w:hAnsi="Times New Roman" w:cs="Times New Roman"/>
          <w:b/>
          <w:bCs/>
          <w:color w:val="auto"/>
          <w:sz w:val="24"/>
          <w:szCs w:val="24"/>
          <w:lang w:val="en-US" w:eastAsia="zh-CN"/>
        </w:rPr>
      </w:pPr>
      <w:r>
        <w:rPr>
          <w:rFonts w:hint="default" w:ascii="Times New Roman" w:hAnsi="Times New Roman" w:cs="Times New Roman"/>
          <w:color w:val="auto"/>
          <w:sz w:val="24"/>
          <w:szCs w:val="24"/>
        </w:rPr>
        <w:t xml:space="preserve">The R package "hdWGCNA" was used to build a scale-free network at the single cell level using high dimensional weighted gene co-expression network analysis (hdWGCNA) (Morabito et al. 2022). After determining that the scale-free topology model fit threshold was greater than 0.79, the soft threshold of 9 was chosen for the best connectivity. The Spearman test was used to assess correlations between modules and illness states. A protein-protein interaction (PPI) network was created using the "HubGeneNetworkPlot" </w:t>
      </w:r>
      <w:r>
        <w:rPr>
          <w:rFonts w:hint="eastAsia" w:ascii="Times New Roman" w:hAnsi="Times New Roman" w:cs="Times New Roman"/>
          <w:color w:val="auto"/>
          <w:sz w:val="24"/>
          <w:szCs w:val="24"/>
          <w:lang w:val="en-US" w:eastAsia="zh-CN"/>
        </w:rPr>
        <w:t xml:space="preserve">function in </w:t>
      </w:r>
      <w:r>
        <w:rPr>
          <w:rFonts w:hint="default" w:ascii="Times New Roman" w:hAnsi="Times New Roman" w:cs="Times New Roman"/>
          <w:color w:val="auto"/>
          <w:sz w:val="24"/>
          <w:szCs w:val="24"/>
        </w:rPr>
        <w:t>R package "hdWGCNA"</w:t>
      </w:r>
      <w:r>
        <w:rPr>
          <w:rFonts w:hint="default" w:ascii="Times New Roman" w:hAnsi="Times New Roman" w:cs="Times New Roman"/>
          <w:color w:val="auto"/>
          <w:sz w:val="24"/>
          <w:szCs w:val="24"/>
        </w:rPr>
        <w:t>.</w:t>
      </w:r>
      <w:bookmarkStart w:id="0" w:name="_GoBack"/>
      <w:bookmarkEnd w:id="0"/>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auto"/>
          <w:sz w:val="24"/>
          <w:szCs w:val="24"/>
        </w:rPr>
      </w:pPr>
      <w:r>
        <w:rPr>
          <w:rFonts w:hint="default" w:ascii="Times New Roman" w:hAnsi="Times New Roman" w:cs="Times New Roman"/>
          <w:b/>
          <w:bCs/>
          <w:color w:val="auto"/>
          <w:sz w:val="24"/>
          <w:szCs w:val="24"/>
          <w:lang w:val="en-US" w:eastAsia="zh-CN"/>
        </w:rPr>
        <w:t>Reference</w:t>
      </w:r>
    </w:p>
    <w:p>
      <w:pPr>
        <w:pStyle w:val="4"/>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b/>
          <w:bCs/>
          <w:color w:val="auto"/>
          <w:sz w:val="24"/>
          <w:szCs w:val="24"/>
          <w:lang w:val="en-US" w:eastAsia="zh-CN"/>
        </w:rPr>
      </w:pPr>
      <w:r>
        <w:rPr>
          <w:rFonts w:hint="default" w:ascii="Times New Roman" w:hAnsi="Times New Roman" w:cs="Times New Roman"/>
          <w:color w:val="auto"/>
          <w:sz w:val="24"/>
          <w:szCs w:val="24"/>
        </w:rPr>
        <w:t>Aibar</w:t>
      </w:r>
      <w:r>
        <w:rPr>
          <w:rFonts w:hint="default" w:ascii="Times New Roman" w:hAnsi="Times New Roman" w:cs="Times New Roman"/>
          <w:color w:val="auto"/>
          <w:sz w:val="24"/>
          <w:szCs w:val="24"/>
        </w:rPr>
        <w:t xml:space="preserve"> S</w:t>
      </w:r>
      <w:r>
        <w:rPr>
          <w:rFonts w:hint="default" w:ascii="Times New Roman" w:hAnsi="Times New Roman" w:cs="Times New Roman"/>
          <w:color w:val="auto"/>
          <w:sz w:val="24"/>
          <w:szCs w:val="24"/>
        </w:rPr>
        <w:t>, González-Blas</w:t>
      </w:r>
      <w:r>
        <w:rPr>
          <w:rFonts w:hint="default" w:ascii="Times New Roman" w:hAnsi="Times New Roman" w:cs="Times New Roman"/>
          <w:color w:val="auto"/>
          <w:sz w:val="24"/>
          <w:szCs w:val="24"/>
        </w:rPr>
        <w:t xml:space="preserve"> CB</w:t>
      </w:r>
      <w:r>
        <w:rPr>
          <w:rFonts w:hint="default" w:ascii="Times New Roman" w:hAnsi="Times New Roman" w:cs="Times New Roman"/>
          <w:color w:val="auto"/>
          <w:sz w:val="24"/>
          <w:szCs w:val="24"/>
        </w:rPr>
        <w:t>, Moerman</w:t>
      </w:r>
      <w:r>
        <w:rPr>
          <w:rFonts w:hint="default" w:ascii="Times New Roman" w:hAnsi="Times New Roman" w:cs="Times New Roman"/>
          <w:color w:val="auto"/>
          <w:sz w:val="24"/>
          <w:szCs w:val="24"/>
        </w:rPr>
        <w:t xml:space="preserve"> T</w:t>
      </w:r>
      <w:r>
        <w:rPr>
          <w:rFonts w:hint="default" w:ascii="Times New Roman" w:hAnsi="Times New Roman" w:cs="Times New Roman"/>
          <w:color w:val="auto"/>
          <w:sz w:val="24"/>
          <w:szCs w:val="24"/>
        </w:rPr>
        <w:t>, Huynh-Thu</w:t>
      </w:r>
      <w:r>
        <w:rPr>
          <w:rFonts w:hint="default" w:ascii="Times New Roman" w:hAnsi="Times New Roman" w:cs="Times New Roman"/>
          <w:color w:val="auto"/>
          <w:sz w:val="24"/>
          <w:szCs w:val="24"/>
        </w:rPr>
        <w:t xml:space="preserve"> VA</w:t>
      </w:r>
      <w:r>
        <w:rPr>
          <w:rFonts w:hint="default" w:ascii="Times New Roman" w:hAnsi="Times New Roman" w:cs="Times New Roman"/>
          <w:color w:val="auto"/>
          <w:sz w:val="24"/>
          <w:szCs w:val="24"/>
        </w:rPr>
        <w:t>, Imrichova</w:t>
      </w:r>
      <w:r>
        <w:rPr>
          <w:rFonts w:hint="default" w:ascii="Times New Roman" w:hAnsi="Times New Roman" w:cs="Times New Roman"/>
          <w:color w:val="auto"/>
          <w:sz w:val="24"/>
          <w:szCs w:val="24"/>
        </w:rPr>
        <w:t xml:space="preserve"> H</w:t>
      </w:r>
      <w:r>
        <w:rPr>
          <w:rFonts w:hint="default" w:ascii="Times New Roman" w:hAnsi="Times New Roman" w:cs="Times New Roman"/>
          <w:color w:val="auto"/>
          <w:sz w:val="24"/>
          <w:szCs w:val="24"/>
        </w:rPr>
        <w:t>, Hulselmans</w:t>
      </w:r>
      <w:r>
        <w:rPr>
          <w:rFonts w:hint="default" w:ascii="Times New Roman" w:hAnsi="Times New Roman" w:cs="Times New Roman"/>
          <w:color w:val="auto"/>
          <w:sz w:val="24"/>
          <w:szCs w:val="24"/>
        </w:rPr>
        <w:t xml:space="preserve"> G</w:t>
      </w:r>
      <w:r>
        <w:rPr>
          <w:rFonts w:hint="default" w:ascii="Times New Roman" w:hAnsi="Times New Roman" w:cs="Times New Roman"/>
          <w:color w:val="auto"/>
          <w:sz w:val="24"/>
          <w:szCs w:val="24"/>
        </w:rPr>
        <w:t>, Rambow</w:t>
      </w:r>
      <w:r>
        <w:rPr>
          <w:rFonts w:hint="default" w:ascii="Times New Roman" w:hAnsi="Times New Roman" w:cs="Times New Roman"/>
          <w:color w:val="auto"/>
          <w:sz w:val="24"/>
          <w:szCs w:val="24"/>
        </w:rPr>
        <w:t xml:space="preserve"> F</w:t>
      </w:r>
      <w:r>
        <w:rPr>
          <w:rFonts w:hint="default" w:ascii="Times New Roman" w:hAnsi="Times New Roman" w:cs="Times New Roman"/>
          <w:color w:val="auto"/>
          <w:sz w:val="24"/>
          <w:szCs w:val="24"/>
        </w:rPr>
        <w:t>, et al.</w:t>
      </w:r>
      <w:r>
        <w:rPr>
          <w:rFonts w:hint="default" w:ascii="Times New Roman" w:hAnsi="Times New Roman" w:cs="Times New Roman"/>
          <w:color w:val="auto"/>
          <w:sz w:val="24"/>
          <w:szCs w:val="24"/>
        </w:rPr>
        <w:t xml:space="preserve"> </w:t>
      </w:r>
      <w:r>
        <w:rPr>
          <w:rFonts w:hint="default" w:ascii="Times New Roman" w:hAnsi="Times New Roman" w:cs="Times New Roman"/>
          <w:color w:val="auto"/>
          <w:sz w:val="24"/>
          <w:szCs w:val="24"/>
        </w:rPr>
        <w:t>SCENIC: single-cell regulatory network inference and clustering</w:t>
      </w:r>
      <w:r>
        <w:rPr>
          <w:rFonts w:hint="default" w:ascii="Times New Roman" w:hAnsi="Times New Roman" w:cs="Times New Roman"/>
          <w:color w:val="auto"/>
          <w:sz w:val="24"/>
          <w:szCs w:val="24"/>
        </w:rPr>
        <w:t xml:space="preserve">. </w:t>
      </w:r>
      <w:r>
        <w:rPr>
          <w:rFonts w:hint="default" w:ascii="Times New Roman" w:hAnsi="Times New Roman" w:cs="Times New Roman"/>
          <w:color w:val="auto"/>
          <w:sz w:val="24"/>
          <w:szCs w:val="24"/>
        </w:rPr>
        <w:t>Nat Methods</w:t>
      </w:r>
      <w:r>
        <w:rPr>
          <w:rFonts w:hint="default" w:ascii="Times New Roman" w:hAnsi="Times New Roman" w:cs="Times New Roman"/>
          <w:color w:val="auto"/>
          <w:sz w:val="24"/>
          <w:szCs w:val="24"/>
          <w:lang w:val="en-US" w:eastAsia="zh-CN"/>
        </w:rPr>
        <w:t xml:space="preserve"> </w:t>
      </w:r>
      <w:r>
        <w:rPr>
          <w:rFonts w:hint="default" w:ascii="Times New Roman" w:hAnsi="Times New Roman" w:cs="Times New Roman"/>
          <w:color w:val="auto"/>
          <w:sz w:val="24"/>
          <w:szCs w:val="24"/>
        </w:rPr>
        <w:t>2017</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rPr>
        <w:t>14</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rPr>
        <w:t>1083-1086</w:t>
      </w:r>
      <w:r>
        <w:rPr>
          <w:rFonts w:hint="default" w:ascii="Times New Roman" w:hAnsi="Times New Roman" w:cs="Times New Roman"/>
          <w:color w:val="auto"/>
          <w:sz w:val="24"/>
          <w:szCs w:val="24"/>
        </w:rPr>
        <w:t>.</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rPr>
        <w:t>Bergen V, Lange M, Peidli S, Wolf FA, Theis FJ. Generalizing RNA velocity to transient cell states through dynamical modeling. Nat Biotechnol</w:t>
      </w:r>
      <w:r>
        <w:rPr>
          <w:rFonts w:hint="default" w:ascii="Times New Roman" w:hAnsi="Times New Roman" w:cs="Times New Roman"/>
          <w:color w:val="auto"/>
          <w:sz w:val="24"/>
          <w:szCs w:val="24"/>
          <w:lang w:val="en-US" w:eastAsia="zh-CN"/>
        </w:rPr>
        <w:t xml:space="preserve"> </w:t>
      </w:r>
      <w:r>
        <w:rPr>
          <w:rFonts w:hint="default" w:ascii="Times New Roman" w:hAnsi="Times New Roman" w:cs="Times New Roman"/>
          <w:color w:val="auto"/>
          <w:sz w:val="24"/>
          <w:szCs w:val="24"/>
        </w:rPr>
        <w:t xml:space="preserve"> 2020;38:1408</w:t>
      </w:r>
      <w:r>
        <w:rPr>
          <w:rFonts w:hint="default" w:ascii="Times New Roman" w:hAnsi="Times New Roman" w:cs="Times New Roman"/>
          <w:color w:val="auto"/>
          <w:sz w:val="24"/>
          <w:szCs w:val="24"/>
          <w:lang w:val="en-US" w:eastAsia="zh-CN"/>
        </w:rPr>
        <w:t>-</w:t>
      </w:r>
      <w:r>
        <w:rPr>
          <w:rFonts w:hint="default" w:ascii="Times New Roman" w:hAnsi="Times New Roman" w:cs="Times New Roman"/>
          <w:color w:val="auto"/>
          <w:sz w:val="24"/>
          <w:szCs w:val="24"/>
        </w:rPr>
        <w:t>14</w:t>
      </w:r>
      <w:r>
        <w:rPr>
          <w:rFonts w:hint="default" w:ascii="Times New Roman" w:hAnsi="Times New Roman" w:cs="Times New Roman"/>
          <w:color w:val="auto"/>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Browaeys R, Saelens W &amp; Saeys Y. NicheNet: modeling intercellular communication by linking ligands to target genes. Nat Methods 2019;17:159-162.</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 xml:space="preserve">Garcia-Alonso L, Lorenzi V, Mazzeo CI, Alves-Lopes J P, Roberts K, Sancho-Serra C, et al. Single-cell roadmap of human gonadal development. Nature </w:t>
      </w:r>
      <w:r>
        <w:rPr>
          <w:rFonts w:hint="default" w:ascii="Times New Roman" w:hAnsi="Times New Roman" w:cs="Times New Roman"/>
          <w:color w:val="auto"/>
          <w:sz w:val="24"/>
          <w:szCs w:val="24"/>
          <w:lang w:val="en-US" w:eastAsia="zh-CN"/>
        </w:rPr>
        <w:t>2022;</w:t>
      </w:r>
      <w:r>
        <w:rPr>
          <w:rFonts w:hint="default" w:ascii="Times New Roman" w:hAnsi="Times New Roman" w:cs="Times New Roman"/>
          <w:color w:val="auto"/>
          <w:sz w:val="24"/>
          <w:szCs w:val="24"/>
        </w:rPr>
        <w:t>607, 540</w:t>
      </w:r>
      <w:r>
        <w:rPr>
          <w:rFonts w:hint="default" w:ascii="Times New Roman" w:hAnsi="Times New Roman" w:cs="Times New Roman"/>
          <w:color w:val="auto"/>
          <w:sz w:val="24"/>
          <w:szCs w:val="24"/>
          <w:lang w:val="en-US" w:eastAsia="zh-CN"/>
        </w:rPr>
        <w:t>-</w:t>
      </w:r>
      <w:r>
        <w:rPr>
          <w:rFonts w:hint="default" w:ascii="Times New Roman" w:hAnsi="Times New Roman" w:cs="Times New Roman"/>
          <w:color w:val="auto"/>
          <w:sz w:val="24"/>
          <w:szCs w:val="24"/>
        </w:rPr>
        <w:t>547.</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color w:val="auto"/>
          <w:sz w:val="24"/>
          <w:szCs w:val="24"/>
        </w:rPr>
        <w:t>Hao Y, Hao S, Andersen-Nissen E, Mauck WM, Zheng S, Butler A, et al. Integrated analysis of multimodal single-cell data. Cell 2021;184:3573-3587</w:t>
      </w:r>
      <w:r>
        <w:rPr>
          <w:rFonts w:hint="default" w:ascii="Times New Roman" w:hAnsi="Times New Roman" w:cs="Times New Roman"/>
          <w:color w:val="auto"/>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Korsunsky I, Millard N, Fan J, Slowikowski K, Zhang F, Wei K, et al. Fast, sensitive and accurate integration of single-cell data with Harmony. Nat Methods 2019;16:1289</w:t>
      </w:r>
      <w:r>
        <w:rPr>
          <w:rFonts w:hint="default" w:ascii="Times New Roman" w:hAnsi="Times New Roman" w:cs="Times New Roman"/>
          <w:color w:val="auto"/>
          <w:sz w:val="24"/>
          <w:szCs w:val="24"/>
          <w:lang w:val="en-US" w:eastAsia="zh-CN"/>
        </w:rPr>
        <w:t>-</w:t>
      </w:r>
      <w:r>
        <w:rPr>
          <w:rFonts w:hint="default" w:ascii="Times New Roman" w:hAnsi="Times New Roman" w:cs="Times New Roman"/>
          <w:color w:val="auto"/>
          <w:sz w:val="24"/>
          <w:szCs w:val="24"/>
        </w:rPr>
        <w:t>96</w:t>
      </w:r>
      <w:r>
        <w:rPr>
          <w:rFonts w:hint="default" w:ascii="Times New Roman" w:hAnsi="Times New Roman" w:cs="Times New Roman"/>
          <w:color w:val="auto"/>
          <w:sz w:val="24"/>
          <w:szCs w:val="24"/>
          <w:lang w:val="en-US" w:eastAsia="zh-CN"/>
        </w:rPr>
        <w:t>.</w:t>
      </w:r>
      <w:r>
        <w:rPr>
          <w:rFonts w:hint="default" w:ascii="Times New Roman" w:hAnsi="Times New Roman" w:cs="Times New Roman"/>
          <w:color w:val="auto"/>
          <w:sz w:val="24"/>
          <w:szCs w:val="24"/>
        </w:rPr>
        <w:t xml:space="preserve"> </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La Manno G, Soldatov R, Zeisel A, Braun E, Hochgerner H, Petukhov V, et al. RNA velocity of single cells. Nature</w:t>
      </w:r>
      <w:r>
        <w:rPr>
          <w:rFonts w:hint="default" w:ascii="Times New Roman" w:hAnsi="Times New Roman" w:cs="Times New Roman"/>
          <w:color w:val="auto"/>
          <w:sz w:val="24"/>
          <w:szCs w:val="24"/>
          <w:lang w:val="en-US" w:eastAsia="zh-CN"/>
        </w:rPr>
        <w:t xml:space="preserve"> </w:t>
      </w:r>
      <w:r>
        <w:rPr>
          <w:rFonts w:hint="default" w:ascii="Times New Roman" w:hAnsi="Times New Roman" w:cs="Times New Roman"/>
          <w:color w:val="auto"/>
          <w:sz w:val="24"/>
          <w:szCs w:val="24"/>
        </w:rPr>
        <w:t>2018;560:494</w:t>
      </w:r>
      <w:r>
        <w:rPr>
          <w:rFonts w:hint="default" w:ascii="Times New Roman" w:hAnsi="Times New Roman" w:cs="Times New Roman"/>
          <w:color w:val="auto"/>
          <w:sz w:val="24"/>
          <w:szCs w:val="24"/>
          <w:lang w:val="en-US" w:eastAsia="zh-CN"/>
        </w:rPr>
        <w:t>-</w:t>
      </w:r>
      <w:r>
        <w:rPr>
          <w:rFonts w:hint="default" w:ascii="Times New Roman" w:hAnsi="Times New Roman" w:cs="Times New Roman"/>
          <w:color w:val="auto"/>
          <w:sz w:val="24"/>
          <w:szCs w:val="24"/>
        </w:rPr>
        <w:t>8</w:t>
      </w:r>
      <w:r>
        <w:rPr>
          <w:rFonts w:hint="default" w:ascii="Times New Roman" w:hAnsi="Times New Roman" w:cs="Times New Roman"/>
          <w:color w:val="auto"/>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color w:val="auto"/>
          <w:sz w:val="24"/>
          <w:szCs w:val="24"/>
        </w:rPr>
        <w:t>Morabito</w:t>
      </w:r>
      <w:r>
        <w:rPr>
          <w:rFonts w:hint="default" w:ascii="Times New Roman" w:hAnsi="Times New Roman" w:cs="Times New Roman"/>
          <w:color w:val="auto"/>
          <w:sz w:val="24"/>
          <w:szCs w:val="24"/>
          <w:lang w:val="en-US" w:eastAsia="zh-CN"/>
        </w:rPr>
        <w:t xml:space="preserve"> S</w:t>
      </w:r>
      <w:r>
        <w:rPr>
          <w:rFonts w:hint="default" w:ascii="Times New Roman" w:hAnsi="Times New Roman" w:cs="Times New Roman"/>
          <w:color w:val="auto"/>
          <w:sz w:val="24"/>
          <w:szCs w:val="24"/>
        </w:rPr>
        <w:t>, Reese</w:t>
      </w:r>
      <w:r>
        <w:rPr>
          <w:rFonts w:hint="default" w:ascii="Times New Roman" w:hAnsi="Times New Roman" w:cs="Times New Roman"/>
          <w:color w:val="auto"/>
          <w:sz w:val="24"/>
          <w:szCs w:val="24"/>
          <w:lang w:val="en-US" w:eastAsia="zh-CN"/>
        </w:rPr>
        <w:t xml:space="preserve"> F</w:t>
      </w:r>
      <w:r>
        <w:rPr>
          <w:rFonts w:hint="default" w:ascii="Times New Roman" w:hAnsi="Times New Roman" w:cs="Times New Roman"/>
          <w:color w:val="auto"/>
          <w:sz w:val="24"/>
          <w:szCs w:val="24"/>
        </w:rPr>
        <w:t>, Rahimzadeh</w:t>
      </w:r>
      <w:r>
        <w:rPr>
          <w:rFonts w:hint="default" w:ascii="Times New Roman" w:hAnsi="Times New Roman" w:cs="Times New Roman"/>
          <w:color w:val="auto"/>
          <w:sz w:val="24"/>
          <w:szCs w:val="24"/>
          <w:lang w:val="en-US" w:eastAsia="zh-CN"/>
        </w:rPr>
        <w:t xml:space="preserve"> N</w:t>
      </w:r>
      <w:r>
        <w:rPr>
          <w:rFonts w:hint="default" w:ascii="Times New Roman" w:hAnsi="Times New Roman" w:cs="Times New Roman"/>
          <w:color w:val="auto"/>
          <w:sz w:val="24"/>
          <w:szCs w:val="24"/>
        </w:rPr>
        <w:t>, Miyoshi</w:t>
      </w:r>
      <w:r>
        <w:rPr>
          <w:rFonts w:hint="default" w:ascii="Times New Roman" w:hAnsi="Times New Roman" w:cs="Times New Roman"/>
          <w:color w:val="auto"/>
          <w:sz w:val="24"/>
          <w:szCs w:val="24"/>
          <w:lang w:val="en-US" w:eastAsia="zh-CN"/>
        </w:rPr>
        <w:t xml:space="preserve"> E</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 xml:space="preserve"> </w:t>
      </w:r>
      <w:r>
        <w:rPr>
          <w:rFonts w:hint="default" w:ascii="Times New Roman" w:hAnsi="Times New Roman" w:cs="Times New Roman"/>
          <w:color w:val="auto"/>
          <w:sz w:val="24"/>
          <w:szCs w:val="24"/>
        </w:rPr>
        <w:t>Swarup</w:t>
      </w:r>
      <w:r>
        <w:rPr>
          <w:rFonts w:hint="default" w:ascii="Times New Roman" w:hAnsi="Times New Roman" w:cs="Times New Roman"/>
          <w:color w:val="auto"/>
          <w:sz w:val="24"/>
          <w:szCs w:val="24"/>
          <w:lang w:val="en-US" w:eastAsia="zh-CN"/>
        </w:rPr>
        <w:t xml:space="preserve"> V. High dimensional co-expression networks enable discovery of transcriptomic drivers in complex biological systems.bioRxiv 2022.</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rPr>
        <w:t>Qiu</w:t>
      </w:r>
      <w:r>
        <w:rPr>
          <w:rFonts w:hint="default" w:ascii="Times New Roman" w:hAnsi="Times New Roman" w:cs="Times New Roman"/>
          <w:color w:val="auto"/>
          <w:sz w:val="24"/>
          <w:szCs w:val="24"/>
          <w:lang w:val="en-US" w:eastAsia="zh-CN"/>
        </w:rPr>
        <w:t xml:space="preserve"> X</w:t>
      </w:r>
      <w:r>
        <w:rPr>
          <w:rFonts w:hint="default" w:ascii="Times New Roman" w:hAnsi="Times New Roman" w:cs="Times New Roman"/>
          <w:color w:val="auto"/>
          <w:sz w:val="24"/>
          <w:szCs w:val="24"/>
        </w:rPr>
        <w:t>, Hill</w:t>
      </w:r>
      <w:r>
        <w:rPr>
          <w:rFonts w:hint="default" w:ascii="Times New Roman" w:hAnsi="Times New Roman" w:cs="Times New Roman"/>
          <w:color w:val="auto"/>
          <w:sz w:val="24"/>
          <w:szCs w:val="24"/>
          <w:lang w:val="en-US" w:eastAsia="zh-CN"/>
        </w:rPr>
        <w:t xml:space="preserve"> A</w:t>
      </w:r>
      <w:r>
        <w:rPr>
          <w:rFonts w:hint="default" w:ascii="Times New Roman" w:hAnsi="Times New Roman" w:cs="Times New Roman"/>
          <w:color w:val="auto"/>
          <w:sz w:val="24"/>
          <w:szCs w:val="24"/>
        </w:rPr>
        <w:t>, Packer</w:t>
      </w:r>
      <w:r>
        <w:rPr>
          <w:rFonts w:hint="default" w:ascii="Times New Roman" w:hAnsi="Times New Roman" w:cs="Times New Roman"/>
          <w:color w:val="auto"/>
          <w:sz w:val="24"/>
          <w:szCs w:val="24"/>
          <w:lang w:val="en-US" w:eastAsia="zh-CN"/>
        </w:rPr>
        <w:t xml:space="preserve"> J</w:t>
      </w:r>
      <w:r>
        <w:rPr>
          <w:rFonts w:hint="default" w:ascii="Times New Roman" w:hAnsi="Times New Roman" w:cs="Times New Roman"/>
          <w:color w:val="auto"/>
          <w:sz w:val="24"/>
          <w:szCs w:val="24"/>
        </w:rPr>
        <w:t>, Lin</w:t>
      </w:r>
      <w:r>
        <w:rPr>
          <w:rFonts w:hint="default" w:ascii="Times New Roman" w:hAnsi="Times New Roman" w:cs="Times New Roman"/>
          <w:color w:val="auto"/>
          <w:sz w:val="24"/>
          <w:szCs w:val="24"/>
          <w:lang w:val="en-US" w:eastAsia="zh-CN"/>
        </w:rPr>
        <w:t xml:space="preserve"> D</w:t>
      </w:r>
      <w:r>
        <w:rPr>
          <w:rFonts w:hint="default" w:ascii="Times New Roman" w:hAnsi="Times New Roman" w:cs="Times New Roman"/>
          <w:color w:val="auto"/>
          <w:sz w:val="24"/>
          <w:szCs w:val="24"/>
        </w:rPr>
        <w:t xml:space="preserve">, Ma </w:t>
      </w:r>
      <w:r>
        <w:rPr>
          <w:rFonts w:hint="default" w:ascii="Times New Roman" w:hAnsi="Times New Roman" w:cs="Times New Roman"/>
          <w:color w:val="auto"/>
          <w:sz w:val="24"/>
          <w:szCs w:val="24"/>
          <w:lang w:val="en-US" w:eastAsia="zh-CN"/>
        </w:rPr>
        <w:t xml:space="preserve">YA </w:t>
      </w:r>
      <w:r>
        <w:rPr>
          <w:rFonts w:hint="default" w:ascii="Times New Roman" w:hAnsi="Times New Roman" w:cs="Times New Roman"/>
          <w:color w:val="auto"/>
          <w:sz w:val="24"/>
          <w:szCs w:val="24"/>
        </w:rPr>
        <w:t>and CT. Single-cell mRNA quantification and differential analysis with Census. Nat Methods 2017;14:309</w:t>
      </w:r>
      <w:r>
        <w:rPr>
          <w:rFonts w:hint="default" w:ascii="Times New Roman" w:hAnsi="Times New Roman" w:cs="Times New Roman"/>
          <w:color w:val="auto"/>
          <w:sz w:val="24"/>
          <w:szCs w:val="24"/>
          <w:lang w:val="en-US" w:eastAsia="zh-CN"/>
        </w:rPr>
        <w:t>-</w:t>
      </w:r>
      <w:r>
        <w:rPr>
          <w:rFonts w:hint="default" w:ascii="Times New Roman" w:hAnsi="Times New Roman" w:cs="Times New Roman"/>
          <w:color w:val="auto"/>
          <w:sz w:val="24"/>
          <w:szCs w:val="24"/>
        </w:rPr>
        <w:t>15</w:t>
      </w:r>
      <w:r>
        <w:rPr>
          <w:rFonts w:hint="default" w:ascii="Times New Roman" w:hAnsi="Times New Roman" w:cs="Times New Roman"/>
          <w:color w:val="auto"/>
          <w:sz w:val="24"/>
          <w:szCs w:val="24"/>
          <w:lang w:val="en-US" w:eastAsia="zh-CN"/>
        </w:rPr>
        <w:t>.</w:t>
      </w:r>
      <w:r>
        <w:rPr>
          <w:rFonts w:hint="default" w:ascii="Times New Roman" w:hAnsi="Times New Roman" w:cs="Times New Roman"/>
          <w:color w:val="auto"/>
          <w:sz w:val="24"/>
          <w:szCs w:val="24"/>
        </w:rPr>
        <w:t xml:space="preserve"> </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Tuong ZK. zktuong/ktplots: 1.2.3 (v1.2.3). Zenodo 2021.</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Van de Sande</w:t>
      </w:r>
      <w:r>
        <w:rPr>
          <w:rFonts w:hint="eastAsia" w:ascii="Times New Roman" w:hAnsi="Times New Roman" w:cs="Times New Roman"/>
          <w:color w:val="auto"/>
          <w:sz w:val="24"/>
          <w:szCs w:val="24"/>
          <w:lang w:val="en-US" w:eastAsia="zh-CN"/>
        </w:rPr>
        <w:t xml:space="preserve"> B</w:t>
      </w:r>
      <w:r>
        <w:rPr>
          <w:rFonts w:hint="default" w:ascii="Times New Roman" w:hAnsi="Times New Roman" w:cs="Times New Roman"/>
          <w:color w:val="auto"/>
          <w:sz w:val="24"/>
          <w:szCs w:val="24"/>
        </w:rPr>
        <w:t>, Flerin</w:t>
      </w:r>
      <w:r>
        <w:rPr>
          <w:rFonts w:hint="eastAsia" w:ascii="Times New Roman" w:hAnsi="Times New Roman" w:cs="Times New Roman"/>
          <w:color w:val="auto"/>
          <w:sz w:val="24"/>
          <w:szCs w:val="24"/>
          <w:lang w:val="en-US" w:eastAsia="zh-CN"/>
        </w:rPr>
        <w:t xml:space="preserve"> C</w:t>
      </w:r>
      <w:r>
        <w:rPr>
          <w:rFonts w:hint="default" w:ascii="Times New Roman" w:hAnsi="Times New Roman" w:cs="Times New Roman"/>
          <w:color w:val="auto"/>
          <w:sz w:val="24"/>
          <w:szCs w:val="24"/>
        </w:rPr>
        <w:t>, Davie</w:t>
      </w:r>
      <w:r>
        <w:rPr>
          <w:rFonts w:hint="eastAsia" w:ascii="Times New Roman" w:hAnsi="Times New Roman" w:cs="Times New Roman"/>
          <w:color w:val="auto"/>
          <w:sz w:val="24"/>
          <w:szCs w:val="24"/>
          <w:lang w:val="en-US" w:eastAsia="zh-CN"/>
        </w:rPr>
        <w:t xml:space="preserve"> K</w:t>
      </w:r>
      <w:r>
        <w:rPr>
          <w:rFonts w:hint="default" w:ascii="Times New Roman" w:hAnsi="Times New Roman" w:cs="Times New Roman"/>
          <w:color w:val="auto"/>
          <w:sz w:val="24"/>
          <w:szCs w:val="24"/>
        </w:rPr>
        <w:t>, De Waegeneer</w:t>
      </w:r>
      <w:r>
        <w:rPr>
          <w:rFonts w:hint="eastAsia" w:ascii="Times New Roman" w:hAnsi="Times New Roman" w:cs="Times New Roman"/>
          <w:color w:val="auto"/>
          <w:sz w:val="24"/>
          <w:szCs w:val="24"/>
          <w:lang w:val="en-US" w:eastAsia="zh-CN"/>
        </w:rPr>
        <w:t xml:space="preserve"> M</w:t>
      </w:r>
      <w:r>
        <w:rPr>
          <w:rFonts w:hint="default" w:ascii="Times New Roman" w:hAnsi="Times New Roman" w:cs="Times New Roman"/>
          <w:color w:val="auto"/>
          <w:sz w:val="24"/>
          <w:szCs w:val="24"/>
        </w:rPr>
        <w:t>, Hulselmans</w:t>
      </w:r>
      <w:r>
        <w:rPr>
          <w:rFonts w:hint="eastAsia" w:ascii="Times New Roman" w:hAnsi="Times New Roman" w:cs="Times New Roman"/>
          <w:color w:val="auto"/>
          <w:sz w:val="24"/>
          <w:szCs w:val="24"/>
          <w:lang w:val="en-US" w:eastAsia="zh-CN"/>
        </w:rPr>
        <w:t xml:space="preserve"> G</w:t>
      </w:r>
      <w:r>
        <w:rPr>
          <w:rFonts w:hint="default" w:ascii="Times New Roman" w:hAnsi="Times New Roman" w:cs="Times New Roman"/>
          <w:color w:val="auto"/>
          <w:sz w:val="24"/>
          <w:szCs w:val="24"/>
        </w:rPr>
        <w:t>, Aibar</w:t>
      </w:r>
      <w:r>
        <w:rPr>
          <w:rFonts w:hint="eastAsia" w:ascii="Times New Roman" w:hAnsi="Times New Roman" w:cs="Times New Roman"/>
          <w:color w:val="auto"/>
          <w:sz w:val="24"/>
          <w:szCs w:val="24"/>
          <w:lang w:val="en-US" w:eastAsia="zh-CN"/>
        </w:rPr>
        <w:t xml:space="preserve"> S</w:t>
      </w:r>
      <w:r>
        <w:rPr>
          <w:rFonts w:hint="default" w:ascii="Times New Roman" w:hAnsi="Times New Roman" w:cs="Times New Roman"/>
          <w:color w:val="auto"/>
          <w:sz w:val="24"/>
          <w:szCs w:val="24"/>
        </w:rPr>
        <w:t>, Seurinck</w:t>
      </w:r>
      <w:r>
        <w:rPr>
          <w:rFonts w:hint="eastAsia" w:ascii="Times New Roman" w:hAnsi="Times New Roman" w:cs="Times New Roman"/>
          <w:color w:val="auto"/>
          <w:sz w:val="24"/>
          <w:szCs w:val="24"/>
          <w:lang w:val="en-US" w:eastAsia="zh-CN"/>
        </w:rPr>
        <w:t xml:space="preserve"> R</w:t>
      </w:r>
      <w:r>
        <w:rPr>
          <w:rFonts w:hint="default" w:ascii="Times New Roman" w:hAnsi="Times New Roman" w:cs="Times New Roman"/>
          <w:color w:val="auto"/>
          <w:sz w:val="24"/>
          <w:szCs w:val="24"/>
        </w:rPr>
        <w:t>, Saelens</w:t>
      </w:r>
      <w:r>
        <w:rPr>
          <w:rFonts w:hint="eastAsia" w:ascii="Times New Roman" w:hAnsi="Times New Roman" w:cs="Times New Roman"/>
          <w:color w:val="auto"/>
          <w:sz w:val="24"/>
          <w:szCs w:val="24"/>
          <w:lang w:val="en-US" w:eastAsia="zh-CN"/>
        </w:rPr>
        <w:t xml:space="preserve"> W</w:t>
      </w:r>
      <w:r>
        <w:rPr>
          <w:rFonts w:hint="default" w:ascii="Times New Roman" w:hAnsi="Times New Roman" w:cs="Times New Roman"/>
          <w:color w:val="auto"/>
          <w:sz w:val="24"/>
          <w:szCs w:val="24"/>
        </w:rPr>
        <w:t>, Cannoodt</w:t>
      </w:r>
      <w:r>
        <w:rPr>
          <w:rFonts w:hint="eastAsia" w:ascii="Times New Roman" w:hAnsi="Times New Roman" w:cs="Times New Roman"/>
          <w:color w:val="auto"/>
          <w:sz w:val="24"/>
          <w:szCs w:val="24"/>
          <w:lang w:val="en-US" w:eastAsia="zh-CN"/>
        </w:rPr>
        <w:t xml:space="preserve"> R</w:t>
      </w:r>
      <w:r>
        <w:rPr>
          <w:rFonts w:hint="default" w:ascii="Times New Roman" w:hAnsi="Times New Roman" w:cs="Times New Roman"/>
          <w:color w:val="auto"/>
          <w:sz w:val="24"/>
          <w:szCs w:val="24"/>
        </w:rPr>
        <w:t>, Rouchon</w:t>
      </w:r>
      <w:r>
        <w:rPr>
          <w:rFonts w:hint="eastAsia" w:ascii="Times New Roman" w:hAnsi="Times New Roman" w:cs="Times New Roman"/>
          <w:color w:val="auto"/>
          <w:sz w:val="24"/>
          <w:szCs w:val="24"/>
          <w:lang w:val="en-US" w:eastAsia="zh-CN"/>
        </w:rPr>
        <w:t xml:space="preserve"> Q</w:t>
      </w:r>
      <w:r>
        <w:rPr>
          <w:rFonts w:hint="default" w:ascii="Times New Roman" w:hAnsi="Times New Roman" w:cs="Times New Roman"/>
          <w:color w:val="auto"/>
          <w:sz w:val="24"/>
          <w:szCs w:val="24"/>
        </w:rPr>
        <w:t>, et al.</w:t>
      </w:r>
      <w:r>
        <w:rPr>
          <w:rFonts w:hint="default" w:ascii="Times New Roman" w:hAnsi="Times New Roman" w:cs="Times New Roman"/>
          <w:color w:val="auto"/>
          <w:sz w:val="24"/>
          <w:szCs w:val="24"/>
          <w:lang w:val="en-US" w:eastAsia="zh-CN"/>
        </w:rPr>
        <w:t xml:space="preserve"> </w:t>
      </w:r>
      <w:r>
        <w:rPr>
          <w:rFonts w:hint="default" w:ascii="Times New Roman" w:hAnsi="Times New Roman" w:cs="Times New Roman"/>
          <w:color w:val="auto"/>
          <w:sz w:val="24"/>
          <w:szCs w:val="24"/>
        </w:rPr>
        <w:t>A scalable SCENIC workflow for single-cell gene regulatory network analysis</w:t>
      </w:r>
      <w:r>
        <w:rPr>
          <w:rFonts w:hint="default" w:ascii="Times New Roman" w:hAnsi="Times New Roman" w:cs="Times New Roman"/>
          <w:color w:val="auto"/>
          <w:sz w:val="24"/>
          <w:szCs w:val="24"/>
          <w:lang w:val="en-US" w:eastAsia="zh-CN"/>
        </w:rPr>
        <w:t xml:space="preserve">. </w:t>
      </w:r>
      <w:r>
        <w:rPr>
          <w:rFonts w:hint="default" w:ascii="Times New Roman" w:hAnsi="Times New Roman" w:cs="Times New Roman"/>
          <w:color w:val="auto"/>
          <w:sz w:val="24"/>
          <w:szCs w:val="24"/>
        </w:rPr>
        <w:t>Nat Protoc</w:t>
      </w:r>
      <w:r>
        <w:rPr>
          <w:rFonts w:hint="default" w:ascii="Times New Roman" w:hAnsi="Times New Roman" w:cs="Times New Roman"/>
          <w:color w:val="auto"/>
          <w:sz w:val="24"/>
          <w:szCs w:val="24"/>
          <w:lang w:val="en-US" w:eastAsia="zh-CN"/>
        </w:rPr>
        <w:t xml:space="preserve"> 2020;</w:t>
      </w:r>
      <w:r>
        <w:rPr>
          <w:rFonts w:hint="default" w:ascii="Times New Roman" w:hAnsi="Times New Roman" w:cs="Times New Roman"/>
          <w:color w:val="auto"/>
          <w:sz w:val="24"/>
          <w:szCs w:val="24"/>
        </w:rPr>
        <w:t>15</w:t>
      </w:r>
      <w:r>
        <w:rPr>
          <w:rFonts w:hint="default" w:ascii="Times New Roman" w:hAnsi="Times New Roman" w:cs="Times New Roman"/>
          <w:color w:val="auto"/>
          <w:sz w:val="24"/>
          <w:szCs w:val="24"/>
          <w:lang w:val="en-US" w:eastAsia="zh-CN"/>
        </w:rPr>
        <w:t>:</w:t>
      </w:r>
      <w:r>
        <w:rPr>
          <w:rFonts w:hint="default" w:ascii="Times New Roman" w:hAnsi="Times New Roman" w:cs="Times New Roman"/>
          <w:color w:val="auto"/>
          <w:sz w:val="24"/>
          <w:szCs w:val="24"/>
        </w:rPr>
        <w:t>2247-2276</w:t>
      </w:r>
      <w:r>
        <w:rPr>
          <w:rFonts w:hint="default" w:ascii="Times New Roman" w:hAnsi="Times New Roman" w:cs="Times New Roman"/>
          <w:color w:val="auto"/>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color w:val="auto"/>
          <w:sz w:val="24"/>
          <w:szCs w:val="24"/>
        </w:rPr>
        <w:t>Wolock SL, Lopez R, Klein AM. Scrublet: Computational Identification of Cell Doublets in Single-Cell Transcriptomic Data. Cell Syst 2019;8:281-291.</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rPr>
        <w:t>Wu T, Hu E, Xu S, Chen M, Guo P, Dai Z, et al. clusterProfiler 4.0: A universal enrichment tool for interpreting omics data. Innovation 2021;2:100141</w:t>
      </w:r>
      <w:r>
        <w:rPr>
          <w:rFonts w:hint="default" w:ascii="Times New Roman" w:hAnsi="Times New Roman" w:cs="Times New Roman"/>
          <w:color w:val="auto"/>
          <w:sz w:val="24"/>
          <w:szCs w:val="24"/>
          <w:lang w:val="en-US"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Arial">
    <w:panose1 w:val="020B0604020202020204"/>
    <w:charset w:val="00"/>
    <w:family w:val="auto"/>
    <w:pitch w:val="default"/>
    <w:sig w:usb0="E0002EFF" w:usb1="C000785B" w:usb2="00000009" w:usb3="00000000" w:csb0="400001FF" w:csb1="FFFF0000"/>
  </w:font>
  <w:font w:name="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Consolas">
    <w:panose1 w:val="020B0609020204030204"/>
    <w:charset w:val="00"/>
    <w:family w:val="modern"/>
    <w:pitch w:val="default"/>
    <w:sig w:usb0="E00006FF" w:usb1="0000FCFF" w:usb2="00000001" w:usb3="00000000" w:csb0="6000019F" w:csb1="DFD70000"/>
  </w:font>
  <w:font w:name="Segoe UI">
    <w:panose1 w:val="020B0502040204020203"/>
    <w:charset w:val="00"/>
    <w:family w:val="swiss"/>
    <w:pitch w:val="default"/>
    <w:sig w:usb0="E4002EFF" w:usb1="C000E47F" w:usb2="00000009" w:usb3="00000000" w:csb0="200001FF" w:csb1="00000000"/>
  </w:font>
  <w:font w:name="Gill Sans MT">
    <w:panose1 w:val="020B0502020104020203"/>
    <w:charset w:val="00"/>
    <w:family w:val="auto"/>
    <w:pitch w:val="default"/>
    <w:sig w:usb0="00000003" w:usb1="00000000" w:usb2="00000000" w:usb3="00000000" w:csb0="20000003" w:csb1="00000000"/>
  </w:font>
  <w:font w:name="Helvetica">
    <w:altName w:val="Aria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RmY2ZmYWI3NzNhMjZkMjE3NjlhZTRjMDZjN2Q0ZmQifQ=="/>
  </w:docVars>
  <w:rsids>
    <w:rsidRoot w:val="338A4C42"/>
    <w:rsid w:val="0C552B4C"/>
    <w:rsid w:val="198D5B01"/>
    <w:rsid w:val="1B19589E"/>
    <w:rsid w:val="28CC5B9E"/>
    <w:rsid w:val="338A4C42"/>
    <w:rsid w:val="35AC44CA"/>
    <w:rsid w:val="49E723E1"/>
    <w:rsid w:val="6FD723A4"/>
    <w:rsid w:val="7A8E2A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4">
    <w:name w:val="annotation text"/>
    <w:basedOn w:val="1"/>
    <w:uiPriority w:val="0"/>
    <w:pPr>
      <w:jc w:val="left"/>
    </w:pPr>
  </w:style>
  <w:style w:type="paragraph" w:styleId="5">
    <w:name w:val="HTML Preformatted"/>
    <w:basedOn w:val="1"/>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character" w:styleId="8">
    <w:name w:val="Emphasis"/>
    <w:basedOn w:val="7"/>
    <w:qFormat/>
    <w:uiPriority w:val="0"/>
    <w:rPr>
      <w:i/>
    </w:rPr>
  </w:style>
  <w:style w:type="character" w:styleId="9">
    <w:name w:val="Hyperlink"/>
    <w:basedOn w:val="7"/>
    <w:uiPriority w:val="0"/>
    <w:rPr>
      <w:color w:val="0000FF"/>
      <w:u w:val="single"/>
    </w:rPr>
  </w:style>
  <w:style w:type="character" w:styleId="10">
    <w:name w:val="HTML Code"/>
    <w:basedOn w:val="7"/>
    <w:uiPriority w:val="0"/>
    <w:rPr>
      <w:rFonts w:ascii="Courier New" w:hAnsi="Courier New"/>
      <w:sz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1321</Words>
  <Characters>7776</Characters>
  <Lines>0</Lines>
  <Paragraphs>0</Paragraphs>
  <TotalTime>4</TotalTime>
  <ScaleCrop>false</ScaleCrop>
  <LinksUpToDate>false</LinksUpToDate>
  <CharactersWithSpaces>9072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2023-05-30T19:33:00Z</dcterms:created>
  <dc:creator>Empress</dc:creator>
  <cp:lastModifiedBy>Empress</cp:lastModifiedBy>
  <cp:lastPrinted>2023-05-31T09:29:16Z</cp:lastPrinted>
  <dcterms:modified xsi:type="dcterms:W3CDTF">2023-05-31T09:53:57Z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B6FD530D52724213972F846A285270FA_11</vt:lpwstr>
  </property>
</Properties>
</file>