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10C316B3" w:rsidR="00474E2A" w:rsidRDefault="00E03853">
      <w:pPr>
        <w:spacing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GPOC </w:t>
      </w:r>
      <w:r w:rsidR="00000000">
        <w:rPr>
          <w:rFonts w:ascii="Times New Roman" w:eastAsia="Times New Roman" w:hAnsi="Times New Roman" w:cs="Times New Roman"/>
          <w:b/>
          <w:sz w:val="24"/>
          <w:szCs w:val="24"/>
        </w:rPr>
        <w:t>Survey Structure</w:t>
      </w:r>
    </w:p>
    <w:p w14:paraId="00000002" w14:textId="77777777" w:rsidR="00474E2A" w:rsidRDefault="00474E2A">
      <w:pPr>
        <w:spacing w:line="480" w:lineRule="auto"/>
        <w:jc w:val="both"/>
        <w:rPr>
          <w:rFonts w:ascii="Times New Roman" w:eastAsia="Times New Roman" w:hAnsi="Times New Roman" w:cs="Times New Roman"/>
          <w:b/>
          <w:sz w:val="24"/>
          <w:szCs w:val="24"/>
        </w:rPr>
      </w:pPr>
    </w:p>
    <w:p w14:paraId="00000003" w14:textId="77777777" w:rsidR="00474E2A" w:rsidRDefault="00000000">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composition of the </w:t>
      </w:r>
      <w:r>
        <w:rPr>
          <w:rFonts w:ascii="Times New Roman" w:eastAsia="Times New Roman" w:hAnsi="Times New Roman" w:cs="Times New Roman"/>
          <w:i/>
          <w:sz w:val="24"/>
          <w:szCs w:val="24"/>
        </w:rPr>
        <w:t>GPOC Global Survey</w:t>
      </w:r>
      <w:r>
        <w:rPr>
          <w:rFonts w:ascii="Times New Roman" w:eastAsia="Times New Roman" w:hAnsi="Times New Roman" w:cs="Times New Roman"/>
          <w:sz w:val="24"/>
          <w:szCs w:val="24"/>
        </w:rPr>
        <w:t xml:space="preserve"> contained 38 questions (Arabic numerals), segmented into a dozen blocks (Roman numerals), encompassing: </w:t>
      </w:r>
    </w:p>
    <w:p w14:paraId="00000004" w14:textId="77777777" w:rsidR="00474E2A" w:rsidRDefault="00000000">
      <w:pPr>
        <w:spacing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 </w:t>
      </w:r>
      <w:r>
        <w:rPr>
          <w:rFonts w:ascii="Times New Roman" w:eastAsia="Times New Roman" w:hAnsi="Times New Roman" w:cs="Times New Roman"/>
          <w:i/>
          <w:sz w:val="24"/>
          <w:szCs w:val="24"/>
        </w:rPr>
        <w:t>General Demographics</w:t>
      </w:r>
      <w:r>
        <w:rPr>
          <w:rFonts w:ascii="Times New Roman" w:eastAsia="Times New Roman" w:hAnsi="Times New Roman" w:cs="Times New Roman"/>
          <w:sz w:val="24"/>
          <w:szCs w:val="24"/>
        </w:rPr>
        <w:t xml:space="preserve">; (1) assembled information on which state or organisation the individual represented. II) </w:t>
      </w:r>
      <w:r>
        <w:rPr>
          <w:rFonts w:ascii="Times New Roman" w:eastAsia="Times New Roman" w:hAnsi="Times New Roman" w:cs="Times New Roman"/>
          <w:i/>
          <w:sz w:val="24"/>
          <w:szCs w:val="24"/>
        </w:rPr>
        <w:t>Correctness &amp; Privacy</w:t>
      </w:r>
      <w:r>
        <w:rPr>
          <w:rFonts w:ascii="Times New Roman" w:eastAsia="Times New Roman" w:hAnsi="Times New Roman" w:cs="Times New Roman"/>
          <w:sz w:val="24"/>
          <w:szCs w:val="24"/>
        </w:rPr>
        <w:t xml:space="preserve">, collected info on whether the responder; (2) had seen their PHRs, (3) incorrect information had been observed, (4) the experiences of having access to the PHRs (with four sub-segments), (5) there had been any need for commenting or clarifications of their PHRs, and (6) the wish to know if someone had illegally used their PHRs and the identity of this person. III) </w:t>
      </w:r>
      <w:r>
        <w:rPr>
          <w:rFonts w:ascii="Times New Roman" w:eastAsia="Times New Roman" w:hAnsi="Times New Roman" w:cs="Times New Roman"/>
          <w:i/>
          <w:sz w:val="24"/>
          <w:szCs w:val="24"/>
        </w:rPr>
        <w:t>Company Usage of PHRs</w:t>
      </w:r>
      <w:r>
        <w:rPr>
          <w:rFonts w:ascii="Times New Roman" w:eastAsia="Times New Roman" w:hAnsi="Times New Roman" w:cs="Times New Roman"/>
          <w:sz w:val="24"/>
          <w:szCs w:val="24"/>
        </w:rPr>
        <w:t xml:space="preserve">, investigated the opinions on (7) tech giants use of the PHRs, (8) companies’ usage with or without informing or reimbursing the patient. IV) </w:t>
      </w:r>
      <w:r>
        <w:rPr>
          <w:rFonts w:ascii="Times New Roman" w:eastAsia="Times New Roman" w:hAnsi="Times New Roman" w:cs="Times New Roman"/>
          <w:i/>
          <w:sz w:val="24"/>
          <w:szCs w:val="24"/>
        </w:rPr>
        <w:t>Medical Research on PHRs</w:t>
      </w:r>
      <w:r>
        <w:rPr>
          <w:rFonts w:ascii="Times New Roman" w:eastAsia="Times New Roman" w:hAnsi="Times New Roman" w:cs="Times New Roman"/>
          <w:sz w:val="24"/>
          <w:szCs w:val="24"/>
        </w:rPr>
        <w:t xml:space="preserve">, measured the attitudes to </w:t>
      </w:r>
      <w:r>
        <w:rPr>
          <w:rFonts w:ascii="Times New Roman" w:eastAsia="Times New Roman" w:hAnsi="Times New Roman" w:cs="Times New Roman"/>
          <w:i/>
          <w:sz w:val="24"/>
          <w:szCs w:val="24"/>
        </w:rPr>
        <w:t>consent</w:t>
      </w:r>
      <w:r>
        <w:rPr>
          <w:rFonts w:ascii="Times New Roman" w:eastAsia="Times New Roman" w:hAnsi="Times New Roman" w:cs="Times New Roman"/>
          <w:sz w:val="24"/>
          <w:szCs w:val="24"/>
        </w:rPr>
        <w:t xml:space="preserve"> for medical research, specified as (9) clinical, (10) pharmaceutical and (11) public health; the attitudes to </w:t>
      </w:r>
      <w:r>
        <w:rPr>
          <w:rFonts w:ascii="Times New Roman" w:eastAsia="Times New Roman" w:hAnsi="Times New Roman" w:cs="Times New Roman"/>
          <w:i/>
          <w:sz w:val="24"/>
          <w:szCs w:val="24"/>
        </w:rPr>
        <w:t>anonymity</w:t>
      </w:r>
      <w:r>
        <w:rPr>
          <w:rFonts w:ascii="Times New Roman" w:eastAsia="Times New Roman" w:hAnsi="Times New Roman" w:cs="Times New Roman"/>
          <w:sz w:val="24"/>
          <w:szCs w:val="24"/>
        </w:rPr>
        <w:t xml:space="preserve"> in medical research, specified as (12) clinical, (13) pharmaceutical and (14) public health; and the attitudes to </w:t>
      </w:r>
      <w:r>
        <w:rPr>
          <w:rFonts w:ascii="Times New Roman" w:eastAsia="Times New Roman" w:hAnsi="Times New Roman" w:cs="Times New Roman"/>
          <w:i/>
          <w:sz w:val="24"/>
          <w:szCs w:val="24"/>
        </w:rPr>
        <w:t>getting paid</w:t>
      </w:r>
      <w:r>
        <w:rPr>
          <w:rFonts w:ascii="Times New Roman" w:eastAsia="Times New Roman" w:hAnsi="Times New Roman" w:cs="Times New Roman"/>
          <w:sz w:val="24"/>
          <w:szCs w:val="24"/>
        </w:rPr>
        <w:t xml:space="preserve"> for medical research, specified as (15) clinical, (16) pharmaceutical and (17) public health. V) </w:t>
      </w:r>
      <w:r>
        <w:rPr>
          <w:rFonts w:ascii="Times New Roman" w:eastAsia="Times New Roman" w:hAnsi="Times New Roman" w:cs="Times New Roman"/>
          <w:i/>
          <w:sz w:val="24"/>
          <w:szCs w:val="24"/>
        </w:rPr>
        <w:t>Non-Medical Research on PHRs</w:t>
      </w:r>
      <w:r>
        <w:rPr>
          <w:rFonts w:ascii="Times New Roman" w:eastAsia="Times New Roman" w:hAnsi="Times New Roman" w:cs="Times New Roman"/>
          <w:sz w:val="24"/>
          <w:szCs w:val="24"/>
        </w:rPr>
        <w:t xml:space="preserve">, investigated the willingness to allow non-medical research, if they (18) consented, (19) were anonymous, and (20) got paid. VI) </w:t>
      </w:r>
      <w:r>
        <w:rPr>
          <w:rFonts w:ascii="Times New Roman" w:eastAsia="Times New Roman" w:hAnsi="Times New Roman" w:cs="Times New Roman"/>
          <w:i/>
          <w:sz w:val="24"/>
          <w:szCs w:val="24"/>
        </w:rPr>
        <w:t>Co-Ownership</w:t>
      </w:r>
      <w:r>
        <w:rPr>
          <w:rFonts w:ascii="Times New Roman" w:eastAsia="Times New Roman" w:hAnsi="Times New Roman" w:cs="Times New Roman"/>
          <w:sz w:val="24"/>
          <w:szCs w:val="24"/>
        </w:rPr>
        <w:t xml:space="preserve">, here the patient co-ownership concept was researched; if they deemed it to be a </w:t>
      </w:r>
      <w:r>
        <w:rPr>
          <w:rFonts w:ascii="Times New Roman" w:eastAsia="Times New Roman" w:hAnsi="Times New Roman" w:cs="Times New Roman"/>
          <w:i/>
          <w:sz w:val="24"/>
          <w:szCs w:val="24"/>
        </w:rPr>
        <w:t xml:space="preserve">human right to co-own </w:t>
      </w:r>
      <w:r>
        <w:rPr>
          <w:rFonts w:ascii="Times New Roman" w:eastAsia="Times New Roman" w:hAnsi="Times New Roman" w:cs="Times New Roman"/>
          <w:sz w:val="24"/>
          <w:szCs w:val="24"/>
        </w:rPr>
        <w:t xml:space="preserve">their records (21) with their healthcare provider, (22) with the government, (23) to gain insights, (24) to share it globally with whomever they deemed relevant. VII) </w:t>
      </w:r>
      <w:r>
        <w:rPr>
          <w:rFonts w:ascii="Times New Roman" w:eastAsia="Times New Roman" w:hAnsi="Times New Roman" w:cs="Times New Roman"/>
          <w:i/>
          <w:sz w:val="24"/>
          <w:szCs w:val="24"/>
        </w:rPr>
        <w:t>Data Sharing of the PHRs</w:t>
      </w:r>
      <w:r>
        <w:rPr>
          <w:rFonts w:ascii="Times New Roman" w:eastAsia="Times New Roman" w:hAnsi="Times New Roman" w:cs="Times New Roman"/>
          <w:sz w:val="24"/>
          <w:szCs w:val="24"/>
        </w:rPr>
        <w:t xml:space="preserve">, investigated (25) with whom the participants would like to share their PHRs with, if they were forced to prioritise one category out of six, and whether (26) they believed everyone should share their PHRs for free for humanity. VIII) </w:t>
      </w:r>
      <w:r>
        <w:rPr>
          <w:rFonts w:ascii="Times New Roman" w:eastAsia="Times New Roman" w:hAnsi="Times New Roman" w:cs="Times New Roman"/>
          <w:i/>
          <w:sz w:val="24"/>
          <w:szCs w:val="24"/>
        </w:rPr>
        <w:t>Movement of the PHRs</w:t>
      </w:r>
      <w:r>
        <w:rPr>
          <w:rFonts w:ascii="Times New Roman" w:eastAsia="Times New Roman" w:hAnsi="Times New Roman" w:cs="Times New Roman"/>
          <w:sz w:val="24"/>
          <w:szCs w:val="24"/>
        </w:rPr>
        <w:t xml:space="preserve">, investigated if they believed that (27) PHRs should accompany/follow the patients as a co-owned asset </w:t>
      </w:r>
      <w:proofErr w:type="gramStart"/>
      <w:r>
        <w:rPr>
          <w:rFonts w:ascii="Times New Roman" w:eastAsia="Times New Roman" w:hAnsi="Times New Roman" w:cs="Times New Roman"/>
          <w:sz w:val="24"/>
          <w:szCs w:val="24"/>
        </w:rPr>
        <w:t>globally, if</w:t>
      </w:r>
      <w:proofErr w:type="gramEnd"/>
      <w:r>
        <w:rPr>
          <w:rFonts w:ascii="Times New Roman" w:eastAsia="Times New Roman" w:hAnsi="Times New Roman" w:cs="Times New Roman"/>
          <w:sz w:val="24"/>
          <w:szCs w:val="24"/>
        </w:rPr>
        <w:t xml:space="preserve"> they moved voluntarily or were displaced as </w:t>
      </w:r>
      <w:r>
        <w:rPr>
          <w:rFonts w:ascii="Times New Roman" w:eastAsia="Times New Roman" w:hAnsi="Times New Roman" w:cs="Times New Roman"/>
          <w:sz w:val="24"/>
          <w:szCs w:val="24"/>
        </w:rPr>
        <w:lastRenderedPageBreak/>
        <w:t xml:space="preserve">refugees. IX) </w:t>
      </w:r>
      <w:proofErr w:type="gramStart"/>
      <w:r>
        <w:rPr>
          <w:rFonts w:ascii="Times New Roman" w:eastAsia="Times New Roman" w:hAnsi="Times New Roman" w:cs="Times New Roman"/>
          <w:i/>
          <w:sz w:val="24"/>
          <w:szCs w:val="24"/>
        </w:rPr>
        <w:t>Centralised Ownership</w:t>
      </w:r>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asked if they liked the idea of (28) states owning the PHRs centrally. </w:t>
      </w:r>
      <w:proofErr w:type="gramStart"/>
      <w:r>
        <w:rPr>
          <w:rFonts w:ascii="Times New Roman" w:eastAsia="Times New Roman" w:hAnsi="Times New Roman" w:cs="Times New Roman"/>
          <w:sz w:val="24"/>
          <w:szCs w:val="24"/>
        </w:rPr>
        <w:t xml:space="preserve">X) </w:t>
      </w:r>
      <w:r>
        <w:rPr>
          <w:rFonts w:ascii="Times New Roman" w:eastAsia="Times New Roman" w:hAnsi="Times New Roman" w:cs="Times New Roman"/>
          <w:i/>
          <w:sz w:val="24"/>
          <w:szCs w:val="24"/>
        </w:rPr>
        <w:t>Rights</w:t>
      </w:r>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asked if (29) states could sell the PHRs to whomever they liked, or (30) only if it generated healthcare investments to the citizens. XI) </w:t>
      </w:r>
      <w:r>
        <w:rPr>
          <w:rFonts w:ascii="Times New Roman" w:eastAsia="Times New Roman" w:hAnsi="Times New Roman" w:cs="Times New Roman"/>
          <w:i/>
          <w:sz w:val="24"/>
          <w:szCs w:val="24"/>
        </w:rPr>
        <w:t>Creation of a Foundation</w:t>
      </w:r>
      <w:r>
        <w:rPr>
          <w:rFonts w:ascii="Times New Roman" w:eastAsia="Times New Roman" w:hAnsi="Times New Roman" w:cs="Times New Roman"/>
          <w:sz w:val="24"/>
          <w:szCs w:val="24"/>
        </w:rPr>
        <w:t xml:space="preserve">, posed six questions related to the creation of a GPOC Foundation, disposed with the following; (31) if a global, non-commercial, large and secure cloud, where they could co-own their medical record would be an interesting concept, (32) it ought to be possible to globally balance the legal rights and regulations about medical records and find a common ground, and that this would benefit health in general, (33) if they personally would benefit from global access and co-ownership and control of my medical records, (34) if a neutral unbiased, decentralised foundation, co-owned by them as patients, designed to help regulate the flow of their medical information, was something that would be of interest to them, (35) if an infrastructure based on sound scientific and econometric models, with the involvement of patients, governments and institutions from all countries would be worthwhile, and (36) if an infrastructure designed by global academics supported by research institutions with the involvement of patients, government and companies, could be founded. XII) </w:t>
      </w:r>
      <w:proofErr w:type="gramStart"/>
      <w:r>
        <w:rPr>
          <w:rFonts w:ascii="Times New Roman" w:eastAsia="Times New Roman" w:hAnsi="Times New Roman" w:cs="Times New Roman"/>
          <w:i/>
          <w:sz w:val="24"/>
          <w:szCs w:val="24"/>
        </w:rPr>
        <w:t>Protection of the Environment</w:t>
      </w:r>
      <w:r>
        <w:rPr>
          <w:rFonts w:ascii="Times New Roman" w:eastAsia="Times New Roman" w:hAnsi="Times New Roman" w:cs="Times New Roman"/>
          <w:sz w:val="24"/>
          <w:szCs w:val="24"/>
        </w:rPr>
        <w:t>,</w:t>
      </w:r>
      <w:proofErr w:type="gramEnd"/>
      <w:r>
        <w:rPr>
          <w:rFonts w:ascii="Times New Roman" w:eastAsia="Times New Roman" w:hAnsi="Times New Roman" w:cs="Times New Roman"/>
          <w:sz w:val="24"/>
          <w:szCs w:val="24"/>
        </w:rPr>
        <w:t xml:space="preserve"> investigated whether they deemed (37) an electronic PHR to be more environmentally sustainable, and (38) if a global patient co-owned cloud can be more ecologically advantageous and environmentally sustainable.</w:t>
      </w:r>
    </w:p>
    <w:p w14:paraId="00000005" w14:textId="77777777" w:rsidR="00474E2A" w:rsidRDefault="00474E2A">
      <w:pPr>
        <w:spacing w:line="480" w:lineRule="auto"/>
        <w:jc w:val="both"/>
        <w:rPr>
          <w:rFonts w:ascii="Times New Roman" w:eastAsia="Times New Roman" w:hAnsi="Times New Roman" w:cs="Times New Roman"/>
          <w:b/>
          <w:sz w:val="24"/>
          <w:szCs w:val="24"/>
        </w:rPr>
      </w:pPr>
    </w:p>
    <w:p w14:paraId="00000006" w14:textId="77777777" w:rsidR="00474E2A" w:rsidRDefault="00474E2A">
      <w:pPr>
        <w:spacing w:line="480" w:lineRule="auto"/>
        <w:jc w:val="both"/>
        <w:rPr>
          <w:rFonts w:ascii="Times New Roman" w:eastAsia="Times New Roman" w:hAnsi="Times New Roman" w:cs="Times New Roman"/>
          <w:sz w:val="24"/>
          <w:szCs w:val="24"/>
        </w:rPr>
      </w:pPr>
    </w:p>
    <w:p w14:paraId="00000007" w14:textId="77777777" w:rsidR="00474E2A" w:rsidRDefault="00474E2A">
      <w:pPr>
        <w:spacing w:line="480" w:lineRule="auto"/>
        <w:jc w:val="both"/>
        <w:rPr>
          <w:rFonts w:ascii="Times New Roman" w:eastAsia="Times New Roman" w:hAnsi="Times New Roman" w:cs="Times New Roman"/>
          <w:sz w:val="24"/>
          <w:szCs w:val="24"/>
        </w:rPr>
      </w:pPr>
    </w:p>
    <w:p w14:paraId="00000008" w14:textId="77777777" w:rsidR="00474E2A" w:rsidRDefault="00474E2A">
      <w:pPr>
        <w:spacing w:line="480" w:lineRule="auto"/>
        <w:rPr>
          <w:rFonts w:ascii="Times New Roman" w:eastAsia="Times New Roman" w:hAnsi="Times New Roman" w:cs="Times New Roman"/>
          <w:sz w:val="24"/>
          <w:szCs w:val="24"/>
        </w:rPr>
      </w:pPr>
    </w:p>
    <w:sectPr w:rsidR="00474E2A">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4E2A"/>
    <w:rsid w:val="00474E2A"/>
    <w:rsid w:val="00CF102D"/>
    <w:rsid w:val="00E03853"/>
  </w:rsids>
  <m:mathPr>
    <m:mathFont m:val="Cambria Math"/>
    <m:brkBin m:val="before"/>
    <m:brkBinSub m:val="--"/>
    <m:smallFrac m:val="0"/>
    <m:dispDef/>
    <m:lMargin m:val="0"/>
    <m:rMargin m:val="0"/>
    <m:defJc m:val="centerGroup"/>
    <m:wrapIndent m:val="1440"/>
    <m:intLim m:val="subSup"/>
    <m:naryLim m:val="undOvr"/>
  </m:mathPr>
  <w:themeFontLang w:val="en-SE"/>
  <w:clrSchemeMapping w:bg1="light1" w:t1="dark1" w:bg2="light2" w:t2="dark2" w:accent1="accent1" w:accent2="accent2" w:accent3="accent3" w:accent4="accent4" w:accent5="accent5" w:accent6="accent6" w:hyperlink="hyperlink" w:followedHyperlink="followedHyperlink"/>
  <w:decimalSymbol w:val=","/>
  <w:listSeparator w:val=","/>
  <w14:docId w14:val="48CEAB6E"/>
  <w15:docId w15:val="{8256BA18-E620-E54D-844E-F268ABD31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555</Words>
  <Characters>3168</Characters>
  <Application>Microsoft Office Word</Application>
  <DocSecurity>0</DocSecurity>
  <Lines>26</Lines>
  <Paragraphs>7</Paragraphs>
  <ScaleCrop>false</ScaleCrop>
  <Company/>
  <LinksUpToDate>false</LinksUpToDate>
  <CharactersWithSpaces>3716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Niklas Lidströmer</cp:lastModifiedBy>
  <cp:revision>3</cp:revision>
  <dcterms:created xsi:type="dcterms:W3CDTF">2022-11-19T17:30:00Z</dcterms:created>
  <dcterms:modified xsi:type="dcterms:W3CDTF">2023-07-06T07:35:00Z</dcterms:modified>
</cp:coreProperties>
</file>