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A2E" w:rsidRPr="00684DAF" w:rsidRDefault="00684DAF" w:rsidP="009551A1">
      <w:pPr>
        <w:snapToGrid w:val="0"/>
        <w:spacing w:beforeLines="50" w:before="156" w:line="480" w:lineRule="auto"/>
        <w:jc w:val="center"/>
        <w:rPr>
          <w:rFonts w:ascii="Times New Roman" w:hAnsi="Times New Roman" w:cs="Times New Roman"/>
          <w:b/>
          <w:sz w:val="28"/>
          <w:szCs w:val="28"/>
        </w:rPr>
      </w:pPr>
      <w:r w:rsidRPr="00684DAF">
        <w:rPr>
          <w:rFonts w:ascii="Times New Roman" w:hAnsi="Times New Roman" w:cs="Times New Roman"/>
          <w:b/>
          <w:sz w:val="28"/>
          <w:szCs w:val="28"/>
        </w:rPr>
        <w:t>Supplemental methods</w:t>
      </w:r>
    </w:p>
    <w:p w:rsidR="00684DAF" w:rsidRPr="00684DAF" w:rsidRDefault="00684DAF" w:rsidP="009551A1">
      <w:pPr>
        <w:snapToGrid w:val="0"/>
        <w:spacing w:beforeLines="50" w:before="156" w:line="480" w:lineRule="auto"/>
        <w:contextualSpacing/>
        <w:rPr>
          <w:rFonts w:ascii="Times New Roman" w:eastAsia="宋体" w:hAnsi="Times New Roman" w:cs="Times New Roman"/>
          <w:b/>
          <w:sz w:val="24"/>
          <w:szCs w:val="24"/>
          <w:lang w:val="en-US"/>
        </w:rPr>
      </w:pPr>
      <w:r w:rsidRPr="00684DAF">
        <w:rPr>
          <w:rFonts w:ascii="Times New Roman" w:eastAsia="宋体" w:hAnsi="Times New Roman" w:cs="Times New Roman"/>
          <w:b/>
          <w:sz w:val="24"/>
          <w:szCs w:val="24"/>
          <w:lang w:val="en-US"/>
        </w:rPr>
        <w:t>High-frequency ultrasound imaging.</w:t>
      </w:r>
    </w:p>
    <w:p w:rsidR="00684DAF" w:rsidRPr="00684DAF" w:rsidRDefault="00684DAF" w:rsidP="009551A1">
      <w:pPr>
        <w:snapToGrid w:val="0"/>
        <w:spacing w:beforeLines="50" w:before="156" w:line="480" w:lineRule="auto"/>
        <w:ind w:firstLineChars="200" w:firstLine="480"/>
        <w:contextualSpacing/>
        <w:rPr>
          <w:rFonts w:ascii="Times New Roman" w:eastAsia="宋体" w:hAnsi="Times New Roman" w:cs="Times New Roman"/>
          <w:sz w:val="24"/>
          <w:szCs w:val="24"/>
          <w:lang w:val="en-US"/>
        </w:rPr>
      </w:pPr>
      <w:r w:rsidRPr="00684DAF">
        <w:rPr>
          <w:rFonts w:ascii="Times New Roman" w:eastAsia="宋体" w:hAnsi="Times New Roman" w:cs="Times New Roman"/>
          <w:sz w:val="24"/>
          <w:szCs w:val="24"/>
          <w:lang w:val="en-US"/>
        </w:rPr>
        <w:t xml:space="preserve">Vascular lesions were measured non-invasively by a High-frequency Ultrasound Imaging System (Vevo 2100 system with a MicroScan MS550 40-MHz transducer, Visualsonics, Toronto, Canada) as described previously </w:t>
      </w:r>
      <w:r w:rsidRPr="00684DAF">
        <w:rPr>
          <w:rFonts w:ascii="Times New Roman" w:eastAsia="宋体" w:hAnsi="Times New Roman" w:cs="Times New Roman"/>
          <w:sz w:val="24"/>
          <w:szCs w:val="24"/>
          <w:lang w:val="en-US"/>
        </w:rPr>
        <w:fldChar w:fldCharType="begin">
          <w:fldData xml:space="preserve">PEVuZE5vdGU+PENpdGU+PEF1dGhvcj5HdW88L0F1dGhvcj48WWVhcj4yMDE2PC9ZZWFyPjxSZWNO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</w:fldData>
        </w:fldChar>
      </w:r>
      <w:r w:rsidRPr="00684DAF">
        <w:rPr>
          <w:rFonts w:ascii="Times New Roman" w:eastAsia="宋体" w:hAnsi="Times New Roman" w:cs="Times New Roman"/>
          <w:sz w:val="24"/>
          <w:szCs w:val="24"/>
          <w:lang w:val="en-US"/>
        </w:rPr>
        <w:instrText xml:space="preserve"> ADDIN EN.CITE </w:instrText>
      </w:r>
      <w:r w:rsidRPr="00684DAF">
        <w:rPr>
          <w:rFonts w:ascii="Times New Roman" w:eastAsia="宋体" w:hAnsi="Times New Roman" w:cs="Times New Roman"/>
          <w:sz w:val="24"/>
          <w:szCs w:val="24"/>
          <w:lang w:val="en-US"/>
        </w:rPr>
        <w:fldChar w:fldCharType="begin">
          <w:fldData xml:space="preserve">PEVuZE5vdGU+PENpdGU+PEF1dGhvcj5HdW88L0F1dGhvcj48WWVhcj4yMDE2PC9ZZWFyPjxSZWNO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</w:fldData>
        </w:fldChar>
      </w:r>
      <w:r w:rsidRPr="00684DAF">
        <w:rPr>
          <w:rFonts w:ascii="Times New Roman" w:eastAsia="宋体" w:hAnsi="Times New Roman" w:cs="Times New Roman"/>
          <w:sz w:val="24"/>
          <w:szCs w:val="24"/>
          <w:lang w:val="en-US"/>
        </w:rPr>
        <w:instrText xml:space="preserve"> ADDIN EN.CITE.DATA </w:instrText>
      </w:r>
      <w:r w:rsidRPr="00684DAF">
        <w:rPr>
          <w:rFonts w:ascii="Times New Roman" w:eastAsia="宋体" w:hAnsi="Times New Roman" w:cs="Times New Roman"/>
          <w:sz w:val="24"/>
          <w:szCs w:val="24"/>
          <w:lang w:val="en-US"/>
        </w:rPr>
      </w:r>
      <w:r w:rsidRPr="00684DAF">
        <w:rPr>
          <w:rFonts w:ascii="Times New Roman" w:eastAsia="宋体" w:hAnsi="Times New Roman" w:cs="Times New Roman"/>
          <w:sz w:val="24"/>
          <w:szCs w:val="24"/>
          <w:lang w:val="en-US"/>
        </w:rPr>
        <w:fldChar w:fldCharType="end"/>
      </w:r>
      <w:r w:rsidRPr="00684DAF">
        <w:rPr>
          <w:rFonts w:ascii="Times New Roman" w:eastAsia="宋体" w:hAnsi="Times New Roman" w:cs="Times New Roman"/>
          <w:sz w:val="24"/>
          <w:szCs w:val="24"/>
          <w:lang w:val="en-US"/>
        </w:rPr>
      </w:r>
      <w:r w:rsidRPr="00684DAF">
        <w:rPr>
          <w:rFonts w:ascii="Times New Roman" w:eastAsia="宋体" w:hAnsi="Times New Roman" w:cs="Times New Roman"/>
          <w:sz w:val="24"/>
          <w:szCs w:val="24"/>
          <w:lang w:val="en-US"/>
        </w:rPr>
        <w:fldChar w:fldCharType="separate"/>
      </w:r>
      <w:r w:rsidRPr="00684DAF">
        <w:rPr>
          <w:rFonts w:ascii="Times New Roman" w:eastAsia="宋体" w:hAnsi="Times New Roman" w:cs="Times New Roman"/>
          <w:noProof/>
          <w:sz w:val="24"/>
          <w:szCs w:val="24"/>
          <w:lang w:val="en-US"/>
        </w:rPr>
        <w:t>[25]</w:t>
      </w:r>
      <w:r w:rsidRPr="00684DAF">
        <w:rPr>
          <w:rFonts w:ascii="Times New Roman" w:eastAsia="宋体" w:hAnsi="Times New Roman" w:cs="Times New Roman"/>
          <w:sz w:val="24"/>
          <w:szCs w:val="24"/>
          <w:lang w:val="en-US"/>
        </w:rPr>
        <w:fldChar w:fldCharType="end"/>
      </w:r>
      <w:r w:rsidRPr="00684DAF">
        <w:rPr>
          <w:rFonts w:ascii="Times New Roman" w:eastAsia="宋体" w:hAnsi="Times New Roman" w:cs="Times New Roman"/>
          <w:sz w:val="24"/>
          <w:szCs w:val="24"/>
          <w:lang w:val="en-US"/>
        </w:rPr>
        <w:t xml:space="preserve">. Briefly, transverse aortic arch intimal thickness, blood flow velocity, carotid artery wall stiffness, and strain of left and right common carotids were analyzed using Vevo LAB analysis software. Ultrasound scans were loaded into VevoVASC Advanced Analysis Software (VisualSonics) and analyzed using the speckle-tracking algorithm. Regions that appeared dark with no speckle contrast were manually dropped from data analysis. </w:t>
      </w:r>
    </w:p>
    <w:p w:rsidR="00684DAF" w:rsidRPr="00684DAF" w:rsidRDefault="00684DAF" w:rsidP="009551A1">
      <w:pPr>
        <w:snapToGrid w:val="0"/>
        <w:spacing w:beforeLines="50" w:before="156" w:line="480" w:lineRule="auto"/>
        <w:contextualSpacing/>
        <w:rPr>
          <w:rFonts w:ascii="Times New Roman" w:eastAsia="宋体" w:hAnsi="Times New Roman" w:cs="Times New Roman"/>
          <w:b/>
          <w:sz w:val="24"/>
          <w:szCs w:val="24"/>
          <w:lang w:val="en-US"/>
        </w:rPr>
      </w:pPr>
      <w:r w:rsidRPr="00684DAF">
        <w:rPr>
          <w:rFonts w:ascii="Times New Roman" w:eastAsia="宋体" w:hAnsi="Times New Roman" w:cs="Times New Roman"/>
          <w:b/>
          <w:bCs/>
          <w:sz w:val="24"/>
          <w:szCs w:val="24"/>
          <w:lang w:val="en-US"/>
        </w:rPr>
        <w:t>Magnetic resonance imaging</w:t>
      </w:r>
      <w:r w:rsidRPr="00684DAF">
        <w:rPr>
          <w:rFonts w:ascii="Times New Roman" w:eastAsia="宋体" w:hAnsi="Times New Roman" w:cs="Times New Roman"/>
          <w:b/>
          <w:sz w:val="24"/>
          <w:szCs w:val="24"/>
          <w:lang w:val="en-US"/>
        </w:rPr>
        <w:t> (</w:t>
      </w:r>
      <w:r w:rsidRPr="00684DAF">
        <w:rPr>
          <w:rFonts w:ascii="Times New Roman" w:eastAsia="宋体" w:hAnsi="Times New Roman" w:cs="Times New Roman"/>
          <w:b/>
          <w:bCs/>
          <w:sz w:val="24"/>
          <w:szCs w:val="24"/>
          <w:lang w:val="en-US"/>
        </w:rPr>
        <w:t>MRI</w:t>
      </w:r>
      <w:r w:rsidRPr="00684DAF">
        <w:rPr>
          <w:rFonts w:ascii="Times New Roman" w:eastAsia="宋体" w:hAnsi="Times New Roman" w:cs="Times New Roman"/>
          <w:b/>
          <w:sz w:val="24"/>
          <w:szCs w:val="24"/>
          <w:lang w:val="en-US"/>
        </w:rPr>
        <w:t>)</w:t>
      </w:r>
    </w:p>
    <w:p w:rsidR="00684DAF" w:rsidRPr="00684DAF" w:rsidRDefault="00684DAF" w:rsidP="009551A1">
      <w:pPr>
        <w:snapToGrid w:val="0"/>
        <w:spacing w:beforeLines="50" w:before="156" w:line="480" w:lineRule="auto"/>
        <w:ind w:firstLineChars="200" w:firstLine="480"/>
        <w:contextualSpacing/>
        <w:rPr>
          <w:rFonts w:ascii="Times New Roman" w:eastAsia="宋体" w:hAnsi="Times New Roman" w:cs="Times New Roman"/>
          <w:sz w:val="24"/>
          <w:szCs w:val="24"/>
          <w:lang w:val="en-US"/>
        </w:rPr>
      </w:pPr>
      <w:r w:rsidRPr="00684DAF">
        <w:rPr>
          <w:rFonts w:ascii="Times New Roman" w:eastAsia="宋体" w:hAnsi="Times New Roman" w:cs="Times New Roman"/>
          <w:sz w:val="24"/>
          <w:szCs w:val="24"/>
          <w:lang w:val="en-US"/>
        </w:rPr>
        <w:t>The MRI was performed with a 9.4T Bruker Micro MRI (Pharma Scan, Ettlingen, Germany) to determine diameter of carotid artery</w:t>
      </w:r>
      <w:r w:rsidRPr="00684DAF">
        <w:rPr>
          <w:rFonts w:ascii="Times New Roman" w:eastAsia="宋体" w:hAnsi="Times New Roman" w:cs="Times New Roman"/>
          <w:i/>
          <w:sz w:val="24"/>
          <w:szCs w:val="24"/>
          <w:lang w:val="en-US"/>
        </w:rPr>
        <w:t>.</w:t>
      </w:r>
      <w:r w:rsidRPr="00684DAF">
        <w:rPr>
          <w:rFonts w:ascii="Times New Roman" w:eastAsia="宋体" w:hAnsi="Times New Roman" w:cs="Times New Roman"/>
          <w:sz w:val="24"/>
          <w:szCs w:val="24"/>
          <w:lang w:val="en-US"/>
        </w:rPr>
        <w:t xml:space="preserve"> The anesthetized mouse was put into a cradle, stabilized in a prone position, and then inserted into a volume coil (Bruker, Germany). Isoflurane (0.5–2%) in air was administered and adjusted while monitoring respiration. After initial adjustments and localizer scans, a medium resolution of a T1-weighted gradient echo imaging (T1WI) and T2-weighted gradient echo imaging (T2WI) sequence was used to acquire the cross-sectional view of the mouse neck. The basic parameters of these sequences were taken as the following: T1-weighted images according to the RARE sequence type parameters; repetition time (TR), 2521.67 ms; echo time (TE), 8.5 ms; flip angle 180o; field of view (FOV), 30 × 30 mm2; data matrix, 256 × 256; 0.5-mm thickness; fat suppression, and T2-weighted images according to the RARE sequence type parameters; repetition time (TR), 4361.88 ms; echo time (TE), 33 ms</w:t>
      </w:r>
      <w:r w:rsidR="000A183F">
        <w:rPr>
          <w:rFonts w:ascii="Times New Roman" w:eastAsia="宋体" w:hAnsi="Times New Roman" w:cs="Times New Roman"/>
          <w:sz w:val="24"/>
          <w:szCs w:val="24"/>
          <w:lang w:val="en-US"/>
        </w:rPr>
        <w:t>,</w:t>
      </w:r>
      <w:r w:rsidRPr="00684DAF">
        <w:rPr>
          <w:rFonts w:ascii="Times New Roman" w:eastAsia="宋体" w:hAnsi="Times New Roman" w:cs="Times New Roman"/>
          <w:sz w:val="24"/>
          <w:szCs w:val="24"/>
          <w:lang w:val="en-US"/>
        </w:rPr>
        <w:t xml:space="preserve"> flip angle 180</w:t>
      </w:r>
      <w:r w:rsidRPr="00684DAF">
        <w:rPr>
          <w:rFonts w:ascii="Times New Roman" w:eastAsia="宋体" w:hAnsi="Times New Roman" w:cs="Times New Roman"/>
          <w:sz w:val="24"/>
          <w:szCs w:val="24"/>
          <w:vertAlign w:val="superscript"/>
          <w:lang w:val="en-US"/>
        </w:rPr>
        <w:t>o</w:t>
      </w:r>
      <w:r w:rsidR="000A183F">
        <w:rPr>
          <w:rFonts w:ascii="Times New Roman" w:eastAsia="宋体" w:hAnsi="Times New Roman" w:cs="Times New Roman"/>
          <w:sz w:val="24"/>
          <w:szCs w:val="24"/>
          <w:lang w:val="en-US"/>
        </w:rPr>
        <w:t>,</w:t>
      </w:r>
      <w:r w:rsidRPr="00684DAF">
        <w:rPr>
          <w:rFonts w:ascii="Times New Roman" w:eastAsia="宋体" w:hAnsi="Times New Roman" w:cs="Times New Roman"/>
          <w:sz w:val="24"/>
          <w:szCs w:val="24"/>
          <w:lang w:val="en-US"/>
        </w:rPr>
        <w:t>field of view (FOV), 30 × 30 mm</w:t>
      </w:r>
      <w:r w:rsidRPr="00684DAF">
        <w:rPr>
          <w:rFonts w:ascii="Times New Roman" w:eastAsia="宋体" w:hAnsi="Times New Roman" w:cs="Times New Roman"/>
          <w:sz w:val="24"/>
          <w:szCs w:val="24"/>
          <w:vertAlign w:val="superscript"/>
          <w:lang w:val="en-US"/>
        </w:rPr>
        <w:t>2</w:t>
      </w:r>
      <w:r w:rsidR="000A183F">
        <w:rPr>
          <w:rFonts w:ascii="Times New Roman" w:eastAsia="宋体" w:hAnsi="Times New Roman" w:cs="Times New Roman"/>
          <w:sz w:val="24"/>
          <w:szCs w:val="24"/>
          <w:lang w:val="en-US"/>
        </w:rPr>
        <w:t>,</w:t>
      </w:r>
      <w:r w:rsidRPr="00684DAF">
        <w:rPr>
          <w:rFonts w:ascii="Times New Roman" w:eastAsia="宋体" w:hAnsi="Times New Roman" w:cs="Times New Roman"/>
          <w:sz w:val="24"/>
          <w:szCs w:val="24"/>
          <w:lang w:val="en-US"/>
        </w:rPr>
        <w:t xml:space="preserve"> data matrix, 256 × 256; 0.5-mm thickness; fat suppression. </w:t>
      </w:r>
    </w:p>
    <w:p w:rsidR="00D01B02" w:rsidRPr="005A4336" w:rsidRDefault="00D01B02" w:rsidP="009551A1">
      <w:pPr>
        <w:snapToGrid w:val="0"/>
        <w:spacing w:beforeLines="50" w:before="156" w:line="480" w:lineRule="auto"/>
        <w:contextualSpacing/>
        <w:rPr>
          <w:rFonts w:ascii="Times New Roman" w:hAnsi="Times New Roman" w:cs="Times New Roman"/>
          <w:b/>
          <w:sz w:val="24"/>
        </w:rPr>
      </w:pPr>
      <w:r w:rsidRPr="005A4336">
        <w:rPr>
          <w:rFonts w:ascii="Times New Roman" w:hAnsi="Times New Roman" w:cs="Times New Roman"/>
          <w:b/>
          <w:sz w:val="24"/>
        </w:rPr>
        <w:lastRenderedPageBreak/>
        <w:t>Flow cytometry analysis</w:t>
      </w:r>
    </w:p>
    <w:p w:rsidR="00D01B02" w:rsidRPr="005A4336" w:rsidRDefault="00D01B02" w:rsidP="009551A1">
      <w:pPr>
        <w:snapToGrid w:val="0"/>
        <w:spacing w:beforeLines="50" w:before="156" w:line="480" w:lineRule="auto"/>
        <w:ind w:firstLineChars="150" w:firstLine="360"/>
        <w:contextualSpacing/>
        <w:rPr>
          <w:rFonts w:ascii="Times New Roman" w:eastAsia="宋体" w:hAnsi="Times New Roman" w:cs="Times New Roman"/>
          <w:color w:val="000000"/>
          <w:sz w:val="24"/>
          <w:shd w:val="clear" w:color="auto" w:fill="FFFFFF"/>
        </w:rPr>
      </w:pPr>
      <w:r w:rsidRPr="005A4336">
        <w:rPr>
          <w:rFonts w:ascii="Times New Roman" w:eastAsia="宋体" w:hAnsi="Times New Roman" w:cs="Times New Roman"/>
          <w:color w:val="000000"/>
          <w:sz w:val="24"/>
          <w:shd w:val="clear" w:color="auto" w:fill="FFFFFF"/>
        </w:rPr>
        <w:t>Flow cytometry analysis was employed to assay the viability, apoptosis, ROS production and mitochondrial transmembrane potential in HUVECs using a flow cytometer (Beckman Coulter, United States). For viability and apoptosis determination, annexin V and propidium iodi</w:t>
      </w:r>
      <w:r w:rsidR="001C271F">
        <w:rPr>
          <w:rFonts w:ascii="Times New Roman" w:eastAsia="宋体" w:hAnsi="Times New Roman" w:cs="Times New Roman"/>
          <w:color w:val="000000"/>
          <w:sz w:val="24"/>
          <w:shd w:val="clear" w:color="auto" w:fill="FFFFFF"/>
        </w:rPr>
        <w:t>d</w:t>
      </w:r>
      <w:r w:rsidRPr="005A4336">
        <w:rPr>
          <w:rFonts w:ascii="Times New Roman" w:eastAsia="宋体" w:hAnsi="Times New Roman" w:cs="Times New Roman"/>
          <w:color w:val="000000"/>
          <w:sz w:val="24"/>
          <w:shd w:val="clear" w:color="auto" w:fill="FFFFFF"/>
        </w:rPr>
        <w:t>e staining were performed with the AnnexinV-FITC apoptosis detection kit (Dojindo Molecular Technologies, Rockville, MD, United States) following the manufacturer’s instruction, and the stained cells were subjected to flow cytometry within 1 h. For ROS production analysis, the cells exposed to 5.5 mM or 33 mM glucose medium in the absence and presence of acacetin were incubated with 10 mM DCFH-DA (Thermo Fisher Scientific, Waltham, MA, United States) in fresh ECM at 37°C for 30 min, and then intracellular ROS level was determined.</w:t>
      </w:r>
    </w:p>
    <w:p w:rsidR="00D01B02" w:rsidRPr="005A4336" w:rsidRDefault="00D01B02" w:rsidP="009551A1">
      <w:pPr>
        <w:snapToGrid w:val="0"/>
        <w:spacing w:beforeLines="50" w:before="156" w:line="480" w:lineRule="auto"/>
        <w:ind w:firstLineChars="150" w:firstLine="360"/>
        <w:contextualSpacing/>
        <w:rPr>
          <w:rFonts w:ascii="Times New Roman" w:eastAsia="宋体" w:hAnsi="Times New Roman" w:cs="Times New Roman"/>
          <w:color w:val="000000"/>
          <w:sz w:val="24"/>
          <w:shd w:val="clear" w:color="auto" w:fill="FFFFFF"/>
        </w:rPr>
      </w:pPr>
      <w:r w:rsidRPr="005A4336">
        <w:rPr>
          <w:rFonts w:ascii="Times New Roman" w:eastAsia="宋体" w:hAnsi="Times New Roman" w:cs="Times New Roman"/>
          <w:color w:val="000000"/>
          <w:sz w:val="24"/>
          <w:shd w:val="clear" w:color="auto" w:fill="FFFFFF"/>
        </w:rPr>
        <w:t>For the determination of mitochondrial transmembrane potential, HUVECs exposed to 5.5 mM or 33 mM glucose in the absence and presence of acacetin were incubated with 2 μM JC-1 (Solarbio Technology, Beijing, China) at 37°C for 30 min. Green fluorescence reflected the monomeric form of JC-1, and red fluorescence reflected the aggregate form. Mitochondrial membrane potential was then analyzed with a Flow cytometer.</w:t>
      </w:r>
    </w:p>
    <w:p w:rsidR="009551A1" w:rsidRDefault="009551A1">
      <w:pPr>
        <w:widowControl/>
        <w:jc w:val="left"/>
      </w:pPr>
      <w:r>
        <w:br w:type="page"/>
      </w:r>
      <w:bookmarkStart w:id="0" w:name="_GoBack"/>
      <w:bookmarkEnd w:id="0"/>
    </w:p>
    <w:p w:rsidR="00684DAF" w:rsidRPr="00D01B02" w:rsidRDefault="00684DAF"/>
    <w:sectPr w:rsidR="00684DAF" w:rsidRPr="00D01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242F" w:rsidRDefault="0015242F" w:rsidP="009551A1">
      <w:r>
        <w:separator/>
      </w:r>
    </w:p>
  </w:endnote>
  <w:endnote w:type="continuationSeparator" w:id="0">
    <w:p w:rsidR="0015242F" w:rsidRDefault="0015242F" w:rsidP="00955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242F" w:rsidRDefault="0015242F" w:rsidP="009551A1">
      <w:r>
        <w:separator/>
      </w:r>
    </w:p>
  </w:footnote>
  <w:footnote w:type="continuationSeparator" w:id="0">
    <w:p w:rsidR="0015242F" w:rsidRDefault="0015242F" w:rsidP="009551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DAF"/>
    <w:rsid w:val="000A183F"/>
    <w:rsid w:val="0015242F"/>
    <w:rsid w:val="001C271F"/>
    <w:rsid w:val="00405157"/>
    <w:rsid w:val="00410535"/>
    <w:rsid w:val="00684DAF"/>
    <w:rsid w:val="008D1A2E"/>
    <w:rsid w:val="009551A1"/>
    <w:rsid w:val="00B60382"/>
    <w:rsid w:val="00D01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C0ED628-E5E4-4D45-B43F-0F0289B2F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51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51A1"/>
    <w:rPr>
      <w:sz w:val="18"/>
      <w:szCs w:val="18"/>
      <w:lang w:val="en-GB"/>
    </w:rPr>
  </w:style>
  <w:style w:type="paragraph" w:styleId="a4">
    <w:name w:val="footer"/>
    <w:basedOn w:val="a"/>
    <w:link w:val="Char0"/>
    <w:uiPriority w:val="99"/>
    <w:unhideWhenUsed/>
    <w:rsid w:val="009551A1"/>
    <w:pPr>
      <w:tabs>
        <w:tab w:val="center" w:pos="4153"/>
        <w:tab w:val="right" w:pos="8306"/>
      </w:tabs>
      <w:snapToGrid w:val="0"/>
      <w:jc w:val="left"/>
    </w:pPr>
    <w:rPr>
      <w:sz w:val="18"/>
      <w:szCs w:val="18"/>
    </w:rPr>
  </w:style>
  <w:style w:type="character" w:customStyle="1" w:styleId="Char0">
    <w:name w:val="页脚 Char"/>
    <w:basedOn w:val="a0"/>
    <w:link w:val="a4"/>
    <w:uiPriority w:val="99"/>
    <w:rsid w:val="009551A1"/>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3</Pages>
  <Words>468</Words>
  <Characters>2671</Characters>
  <Application>Microsoft Office Word</Application>
  <DocSecurity>0</DocSecurity>
  <Lines>22</Lines>
  <Paragraphs>6</Paragraphs>
  <ScaleCrop>false</ScaleCrop>
  <Company/>
  <LinksUpToDate>false</LinksUpToDate>
  <CharactersWithSpaces>3133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Dr. GR</dc:creator>
  <cp:keywords/>
  <dc:description/>
  <cp:lastModifiedBy>Li Dr. GR</cp:lastModifiedBy>
  <cp:revision>8</cp:revision>
  <dcterms:created xsi:type="dcterms:W3CDTF">2020-04-01T07:52:00Z</dcterms:created>
  <dcterms:modified xsi:type="dcterms:W3CDTF">2020-05-08T10:09:00Z</dcterms:modified>
</cp:coreProperties>
</file>