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/>
          <w:bCs/>
          <w:sz w:val="24"/>
          <w:szCs w:val="24"/>
        </w:rPr>
        <w:t>Tacrolimus improves therapeutic efficacy of mesenchymal stem cells in diabetic retinopathy by suppressing DRP1-mediated mitochondrial fission</w:t>
      </w:r>
    </w:p>
    <w:p>
      <w:pPr>
        <w:jc w:val="center"/>
        <w:spacing w:line="48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Hang Hyo Jo</w:t>
      </w:r>
      <w:r>
        <w:rPr>
          <w:rFonts w:ascii="Times New Roman" w:hAnsi="Times New Roman" w:cs="Times New Roman"/>
          <w:b/>
          <w:szCs w:val="20"/>
          <w:vertAlign w:val="superscript"/>
        </w:rPr>
        <w:t>1,</w:t>
      </w:r>
      <w:r>
        <w:rPr>
          <w:rFonts w:ascii="Times New Roman" w:hAnsi="Times New Roman" w:cs="Times New Roman"/>
          <w:b/>
          <w:szCs w:val="20"/>
          <w:vertAlign w:val="superscript"/>
        </w:rPr>
        <w:t>2,a</w:t>
      </w:r>
      <w:r>
        <w:rPr>
          <w:rFonts w:ascii="Times New Roman" w:hAnsi="Times New Roman" w:cs="Times New Roman"/>
          <w:b/>
          <w:szCs w:val="20"/>
        </w:rPr>
        <w:t xml:space="preserve">,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Yeong-Seok Goh</w:t>
      </w:r>
      <w:r>
        <w:rPr>
          <w:rFonts w:ascii="Times New Roman" w:hAnsi="Times New Roman" w:cs="Times New Roman"/>
          <w:b/>
          <w:szCs w:val="20"/>
          <w:vertAlign w:val="superscript"/>
        </w:rPr>
        <w:t>3,a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 xml:space="preserve">, </w:t>
      </w:r>
      <w:r>
        <w:rPr>
          <w:rFonts w:ascii="Times New Roman" w:hAnsi="Times New Roman" w:cs="Times New Roman"/>
          <w:b/>
          <w:szCs w:val="20"/>
        </w:rPr>
        <w:t>Hye Jih Kim</w:t>
      </w:r>
      <w:r>
        <w:rPr>
          <w:rFonts w:ascii="Times New Roman" w:hAnsi="Times New Roman" w:cs="Times New Roman"/>
          <w:b/>
          <w:szCs w:val="20"/>
          <w:vertAlign w:val="superscript"/>
        </w:rPr>
        <w:t>1,2</w:t>
      </w:r>
      <w:r>
        <w:rPr>
          <w:rFonts w:ascii="Times New Roman" w:hAnsi="Times New Roman" w:cs="Times New Roman"/>
          <w:b/>
          <w:szCs w:val="20"/>
        </w:rPr>
        <w:t>, Dae Hyun Kim</w:t>
      </w:r>
      <w:r>
        <w:rPr>
          <w:rFonts w:ascii="Times New Roman" w:hAnsi="Times New Roman" w:cs="Times New Roman"/>
          <w:b/>
          <w:szCs w:val="20"/>
          <w:vertAlign w:val="superscript"/>
        </w:rPr>
        <w:t>1,2</w:t>
      </w:r>
      <w:r>
        <w:rPr>
          <w:rFonts w:ascii="Times New Roman" w:hAnsi="Times New Roman" w:cs="Times New Roman"/>
          <w:b/>
          <w:szCs w:val="20"/>
        </w:rPr>
        <w:t xml:space="preserve">, </w:t>
      </w:r>
      <w:r>
        <w:rPr>
          <w:rFonts w:ascii="Times New Roman" w:hAnsi="Times New Roman" w:cs="Times New Roman"/>
          <w:b/>
          <w:szCs w:val="20"/>
          <w:vertAlign w:val="superscript"/>
        </w:rPr>
        <w:t xml:space="preserve">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Hyemin Kim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  <w:vertAlign w:val="superscript"/>
        </w:rPr>
        <w:t>3,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,  Jiyi Hwang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  <w:vertAlign w:val="superscript"/>
        </w:rPr>
        <w:t xml:space="preserve">3,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,  Ji Seung Jung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  <w:vertAlign w:val="superscript"/>
        </w:rPr>
        <w:t xml:space="preserve">3,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, Nanyoung Kang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  <w:vertAlign w:val="superscript"/>
        </w:rPr>
        <w:t xml:space="preserve">3,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, Sang-Eun Park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  <w:vertAlign w:val="superscript"/>
        </w:rPr>
        <w:t xml:space="preserve">3, </w:t>
      </w:r>
      <w:r>
        <w:rPr>
          <w:rFonts w:ascii="Times New Roman" w:hAnsi="Times New Roman" w:cs="Times New Roman"/>
          <w:b/>
          <w:szCs w:val="20"/>
        </w:rPr>
        <w:t xml:space="preserve">, </w:t>
      </w:r>
      <w:r>
        <w:rPr>
          <w:rFonts w:ascii="Times New Roman" w:eastAsia="돋움" w:hAnsi="Times New Roman" w:cs="Times New Roman"/>
          <w:b/>
          <w:sz w:val="18"/>
          <w:szCs w:val="18"/>
          <w:shd w:val="clear" w:color="auto" w:fill="FFFFFF"/>
          <w:spacing w:val="-8"/>
        </w:rPr>
        <w:t>Kyung-Mee Park</w:t>
      </w:r>
      <w:r>
        <w:rPr>
          <w:rFonts w:ascii="Times New Roman" w:hAnsi="Times New Roman" w:cs="Times New Roman"/>
          <w:b/>
          <w:szCs w:val="20"/>
          <w:vertAlign w:val="superscript"/>
        </w:rPr>
        <w:t>3, *</w:t>
      </w:r>
      <w:r>
        <w:rPr>
          <w:rFonts w:ascii="Times New Roman" w:hAnsi="Times New Roman" w:cs="Times New Roman"/>
          <w:b/>
          <w:szCs w:val="20"/>
        </w:rPr>
        <w:t>, and Hyun Jik Lee</w:t>
      </w:r>
      <w:r>
        <w:rPr>
          <w:rFonts w:ascii="Times New Roman" w:hAnsi="Times New Roman" w:cs="Times New Roman"/>
          <w:b/>
          <w:szCs w:val="20"/>
          <w:vertAlign w:val="superscript"/>
        </w:rPr>
        <w:t>1,2, *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/>
          <w:color w:val="000000"/>
          <w:szCs w:val="18"/>
        </w:rPr>
      </w:pP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 w:hint="eastAsia"/>
          <w:b/>
          <w:color w:val="000000"/>
          <w:sz w:val="18"/>
          <w:szCs w:val="16"/>
        </w:rPr>
        <w:t>Affiliation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  <w:vertAlign w:val="superscript"/>
        </w:rPr>
        <w:t>1</w:t>
      </w: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Laboratory of Veterinary Physiology, College of Veterinary Medicine and Veterinary Medicine Center, Chungbuk National University, Cheongju 28644, Korea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  <w:vertAlign w:val="superscript"/>
        </w:rPr>
        <w:t>2</w:t>
      </w: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Institute for Stem Cell &amp; Regenerative Medicine (ISCRM), Chungbuk National University, Cheongju 28644, Korea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  <w:vertAlign w:val="superscript"/>
        </w:rPr>
        <w:t>3</w:t>
      </w: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Laboratory of Veterinary Surgery and Ophthalmology, College of Veterinary Medicine, Chungbuk National University, Cheongju 28644, Korea</w:t>
      </w:r>
    </w:p>
    <w:p>
      <w:pPr>
        <w:spacing w:after="0" w:line="360" w:lineRule="auto"/>
        <w:rPr>
          <w:lang w:val="da-DK"/>
          <w:rFonts w:ascii="Times New Roman" w:hAnsi="Times New Roman"/>
          <w:color w:val="000000"/>
          <w:sz w:val="18"/>
          <w:szCs w:val="18"/>
          <w:vertAlign w:val="superscript"/>
        </w:rPr>
      </w:pPr>
    </w:p>
    <w:p>
      <w:pPr>
        <w:spacing w:after="0" w:line="360" w:lineRule="auto"/>
        <w:rPr>
          <w:lang w:val="da-DK"/>
          <w:rFonts w:ascii="Times New Roman" w:hAnsi="Times New Roman" w:cs="Times New Roman"/>
          <w:sz w:val="18"/>
          <w:szCs w:val="18"/>
        </w:rPr>
      </w:pPr>
      <w:r>
        <w:rPr>
          <w:lang w:val="da-DK"/>
          <w:rFonts w:ascii="Times New Roman" w:hAnsi="Times New Roman" w:hint="eastAsia"/>
          <w:color w:val="000000"/>
          <w:sz w:val="18"/>
          <w:szCs w:val="18"/>
          <w:vertAlign w:val="superscript"/>
        </w:rPr>
        <w:t>a</w:t>
      </w:r>
      <w:r>
        <w:rPr>
          <w:rFonts w:ascii="Times" w:hAnsi="Times" w:cs="Times"/>
          <w:color w:val="222222"/>
          <w:szCs w:val="20"/>
          <w:shd w:val="clear" w:color="auto" w:fill="FFFFFF"/>
        </w:rPr>
        <w:t xml:space="preserve"> These authors contributed equally to this work</w:t>
      </w:r>
      <w:r>
        <w:rPr>
          <w:lang w:val="da-DK"/>
          <w:rFonts w:ascii="Times New Roman" w:hAnsi="Times New Roman" w:cs="Times New Roman"/>
          <w:sz w:val="18"/>
          <w:szCs w:val="18"/>
        </w:rPr>
        <w:t xml:space="preserve"> </w:t>
      </w:r>
    </w:p>
    <w:p>
      <w:pPr>
        <w:pStyle w:val="afa"/>
        <w:wordWrap/>
        <w:spacing w:line="360" w:lineRule="auto"/>
        <w:rPr>
          <w:lang w:val="da-DK"/>
          <w:rFonts w:ascii="Times New Roman" w:hAnsi="Times New Roman"/>
          <w:b/>
          <w:color w:val="000000"/>
          <w:sz w:val="18"/>
          <w:szCs w:val="18"/>
          <w:vertAlign w:val="superscript"/>
        </w:rPr>
      </w:pPr>
    </w:p>
    <w:p>
      <w:pPr>
        <w:pStyle w:val="afa"/>
        <w:wordWrap/>
        <w:spacing w:line="360" w:lineRule="auto"/>
        <w:rPr>
          <w:lang w:val="da-DK"/>
          <w:rFonts w:ascii="Times New Roman" w:hAnsi="Times New Roman"/>
          <w:b/>
          <w:color w:val="000000"/>
          <w:sz w:val="18"/>
          <w:szCs w:val="18"/>
        </w:rPr>
      </w:pPr>
      <w:r>
        <w:rPr>
          <w:lang w:val="da-DK"/>
          <w:rFonts w:ascii="Times New Roman" w:hAnsi="Times New Roman" w:hint="eastAsia"/>
          <w:b/>
          <w:color w:val="000000"/>
          <w:sz w:val="18"/>
          <w:szCs w:val="18"/>
          <w:vertAlign w:val="superscript"/>
        </w:rPr>
        <w:t>*</w:t>
      </w:r>
      <w:r>
        <w:rPr>
          <w:lang w:val="da-DK"/>
          <w:rFonts w:ascii="Times New Roman" w:hAnsi="Times New Roman" w:hint="eastAsia"/>
          <w:b/>
          <w:color w:val="000000"/>
          <w:sz w:val="18"/>
          <w:szCs w:val="18"/>
        </w:rPr>
        <w:t>Corresponing author</w:t>
      </w:r>
      <w:r>
        <w:rPr>
          <w:lang w:val="da-DK"/>
          <w:rFonts w:ascii="Times New Roman" w:hAnsi="Times New Roman"/>
          <w:b/>
          <w:color w:val="000000"/>
          <w:sz w:val="18"/>
          <w:szCs w:val="18"/>
        </w:rPr>
        <w:t>s are Kyung-Mee Park and Hyun Jik Lee.</w:t>
      </w:r>
    </w:p>
    <w:p>
      <w:pPr>
        <w:pStyle w:val="afa"/>
        <w:wordWrap/>
        <w:spacing w:line="360" w:lineRule="auto"/>
        <w:rPr>
          <w:lang w:val="da-DK"/>
          <w:rFonts w:ascii="Times New Roman" w:hAnsi="Times New Roman"/>
          <w:b/>
          <w:bCs/>
          <w:color w:val="000000"/>
          <w:sz w:val="18"/>
          <w:szCs w:val="18"/>
        </w:rPr>
      </w:pPr>
    </w:p>
    <w:p>
      <w:pPr>
        <w:pStyle w:val="afa"/>
        <w:wordWrap/>
        <w:spacing w:line="360" w:lineRule="auto"/>
        <w:rPr>
          <w:lang w:val="da-DK"/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lang w:val="da-DK"/>
          <w:rFonts w:ascii="Times New Roman" w:hAnsi="Times New Roman"/>
          <w:b/>
          <w:bCs/>
          <w:color w:val="000000"/>
          <w:sz w:val="18"/>
          <w:szCs w:val="18"/>
        </w:rPr>
        <w:t>*Kyung-Mee Park, D.V.M., Ph.D.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Laboratory of Veterinary Surgery and Ophthalmology, College of Veterinary Medicine, Chungbuk National University, Cheongju 28644, Korea</w:t>
      </w:r>
    </w:p>
    <w:p>
      <w:pPr>
        <w:autoSpaceDE/>
        <w:autoSpaceDN/>
        <w:widowControl/>
        <w:wordWrap/>
        <w:spacing w:line="360" w:lineRule="auto"/>
        <w:rPr>
          <w:lang w:val="da-DK"/>
          <w:rFonts w:ascii="Times New Roman" w:hAnsi="Times New Roman" w:cs="Times New Roman"/>
          <w:color w:val="000000"/>
          <w:sz w:val="18"/>
          <w:szCs w:val="18"/>
        </w:rPr>
      </w:pP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 xml:space="preserve">Tel: 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+</w:t>
      </w:r>
      <w:r>
        <w:rPr>
          <w:rFonts w:ascii="Times New Roman" w:hAnsi="Times New Roman" w:cs="Times New Roman"/>
          <w:sz w:val="18"/>
          <w:szCs w:val="18"/>
        </w:rPr>
        <w:t>82-</w:t>
      </w:r>
      <w:r>
        <w:rPr>
          <w:rFonts w:ascii="Times New Roman" w:eastAsia="나눔고딕" w:hAnsi="Times New Roman" w:cs="Times New Roman"/>
          <w:sz w:val="18"/>
          <w:szCs w:val="18"/>
        </w:rPr>
        <w:t xml:space="preserve">43-261-2985 / </w:t>
      </w: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 xml:space="preserve">E-mail: 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parkkm@cbnu.ac.kr</w:t>
      </w:r>
    </w:p>
    <w:p>
      <w:pPr>
        <w:pStyle w:val="afa"/>
        <w:wordWrap/>
        <w:spacing w:line="360" w:lineRule="auto"/>
        <w:rPr>
          <w:lang w:val="da-DK"/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lang w:val="da-DK"/>
          <w:rFonts w:ascii="Times New Roman" w:hAnsi="Times New Roman"/>
          <w:b/>
          <w:bCs/>
          <w:color w:val="000000"/>
          <w:sz w:val="18"/>
          <w:szCs w:val="18"/>
        </w:rPr>
        <w:t>*Hyun Jik Lee</w:t>
      </w:r>
      <w:r>
        <w:rPr>
          <w:lang w:val="da-DK"/>
          <w:rFonts w:ascii="Times New Roman" w:hAnsi="Times New Roman" w:hint="eastAsia"/>
          <w:b/>
          <w:bCs/>
          <w:color w:val="000000"/>
          <w:sz w:val="18"/>
          <w:szCs w:val="18"/>
        </w:rPr>
        <w:t>, D.V.M., Ph.D.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Laboratory of Veterinary Physiology, College of Veterinary Medicine and Veterinary Medicine Center, Chungbuk National University, Cheongju 28644, Korea</w:t>
      </w:r>
    </w:p>
    <w:p>
      <w:pPr>
        <w:autoSpaceDE/>
        <w:autoSpaceDN/>
        <w:widowControl/>
        <w:wordWrap/>
        <w:spacing w:line="360" w:lineRule="auto"/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</w:pPr>
      <w:r>
        <w:rPr>
          <w:rFonts w:ascii="Times New Roman" w:eastAsia="맑은 고딕" w:hAnsi="Times New Roman" w:cs="Times New Roman"/>
          <w:bCs/>
          <w:color w:val="000000"/>
          <w:sz w:val="18"/>
          <w:szCs w:val="16"/>
        </w:rPr>
        <w:t>Institute for Stem Cell &amp; Regenerative Medicine (ISCRM), Chungbuk National University, Cheongju 28644, Korea</w:t>
      </w:r>
    </w:p>
    <w:p>
      <w:pPr>
        <w:spacing w:line="360" w:lineRule="auto"/>
        <w:rPr>
          <w:lang w:val="da-DK"/>
          <w:rFonts w:ascii="Times New Roman" w:hAnsi="Times New Roman" w:cs="Times New Roman"/>
          <w:color w:val="000000"/>
          <w:sz w:val="18"/>
          <w:szCs w:val="18"/>
        </w:rPr>
      </w:pP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 xml:space="preserve">Tel: 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+</w:t>
      </w:r>
      <w:r>
        <w:rPr>
          <w:rFonts w:ascii="Times New Roman" w:hAnsi="Times New Roman" w:cs="Times New Roman"/>
          <w:sz w:val="18"/>
          <w:szCs w:val="18"/>
        </w:rPr>
        <w:t>82-</w:t>
      </w:r>
      <w:r>
        <w:rPr>
          <w:rFonts w:ascii="Times New Roman" w:eastAsia="나눔고딕" w:hAnsi="Times New Roman" w:cs="Times New Roman"/>
          <w:sz w:val="18"/>
          <w:szCs w:val="18"/>
        </w:rPr>
        <w:t xml:space="preserve">43-261-2597 / </w:t>
      </w: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 xml:space="preserve">E-mail: 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leehyunjik</w:t>
      </w: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>@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chungbuk</w:t>
      </w: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>.ac.kr</w:t>
      </w:r>
    </w:p>
    <w:p>
      <w:pPr>
        <w:spacing w:line="360" w:lineRule="auto"/>
        <w:rPr>
          <w:lang w:val="da-DK"/>
          <w:rFonts w:ascii="Times New Roman" w:hAnsi="Times New Roman" w:cs="Times New Roman"/>
          <w:color w:val="000000"/>
          <w:sz w:val="18"/>
          <w:szCs w:val="18"/>
        </w:rPr>
      </w:pPr>
      <w:r>
        <w:rPr>
          <w:lang w:val="da-DK"/>
          <w:rFonts w:ascii="Times New Roman" w:hAnsi="Times New Roman" w:cs="Times New Roman" w:hint="eastAsia"/>
          <w:color w:val="000000"/>
          <w:sz w:val="18"/>
          <w:szCs w:val="18"/>
        </w:rPr>
        <w:t xml:space="preserve">Running Title: </w:t>
      </w:r>
      <w:r>
        <w:rPr>
          <w:lang w:val="da-DK"/>
          <w:rFonts w:ascii="Times New Roman" w:hAnsi="Times New Roman" w:cs="Times New Roman"/>
          <w:color w:val="000000"/>
          <w:sz w:val="18"/>
          <w:szCs w:val="18"/>
        </w:rPr>
        <w:t>Therapeutic effect of tacrolimus-pretreated MSCs on diabetic retinopathy</w:t>
      </w:r>
    </w:p>
    <w:p>
      <w:pPr>
        <w:spacing w:line="360" w:lineRule="auto"/>
        <w:rPr>
          <w:sz w:val="16"/>
          <w:szCs w:val="18"/>
        </w:rPr>
      </w:pPr>
      <w:r>
        <w:rPr>
          <w:rFonts w:ascii="Times New Roman" w:eastAsiaTheme="majorEastAsia" w:hAnsi="Times New Roman" w:cs="Times New Roman"/>
          <w:b/>
          <w:bCs/>
          <w:sz w:val="18"/>
          <w:szCs w:val="18"/>
        </w:rPr>
        <w:t xml:space="preserve">Key words: 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Diabetic retinopathy, </w:t>
      </w:r>
      <w:r>
        <w:rPr>
          <w:rFonts w:ascii="Times New Roman" w:eastAsiaTheme="majorEastAsia" w:hAnsi="Times New Roman" w:cs="Times New Roman"/>
          <w:sz w:val="18"/>
          <w:szCs w:val="18"/>
          <w:shd w:val="clear" w:color="auto" w:fill="FFFFFF"/>
        </w:rPr>
        <w:t>Mesenchymal stem cells</w:t>
      </w:r>
      <w:r>
        <w:rPr>
          <w:rFonts w:ascii="Times New Roman" w:eastAsiaTheme="majorEastAsia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Tacrolimus,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Mitochondrial dynamics</w:t>
      </w:r>
      <w:r>
        <w:rPr>
          <w:rStyle w:val="afffa"/>
          <w:rFonts w:ascii="Times New Roman" w:hAnsi="Times New Roman" w:cs="Times New Roman"/>
          <w:color w:val="auto"/>
          <w:sz w:val="18"/>
          <w:szCs w:val="18"/>
          <w:u w:val="none" w:color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O-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GlcNAc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 transferase</w:t>
      </w:r>
      <w:r>
        <w:rPr>
          <w:rFonts w:ascii="Times New Roman" w:hAnsi="Times New Roman" w:cs="Times New Roman"/>
          <w:sz w:val="18"/>
          <w:szCs w:val="18"/>
        </w:rPr>
        <w:t>, Apoptosis</w:t>
      </w:r>
    </w:p>
    <w:p>
      <w:pPr>
        <w:autoSpaceDE/>
        <w:autoSpaceDN/>
        <w:widowControl/>
        <w:wordWrap/>
        <w:spacing w:line="480" w:lineRule="auto"/>
        <w:rPr>
          <w:lang w:val="da-DK"/>
        </w:rPr>
      </w:pPr>
      <w:r>
        <w:rPr>
          <w:lang w:val="da-DK"/>
        </w:rPr>
        <w:br w:type="column"/>
      </w:r>
      <w:r>
        <w:rPr>
          <w:noProof/>
        </w:rPr>
        <w:drawing>
          <wp:inline distT="0" distB="0" distL="0" distR="0">
            <wp:extent cx="5731510" cy="411607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6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Fig. S1.</w:t>
      </w:r>
      <w:r>
        <w:rPr>
          <w:rFonts w:ascii="Times New Roman" w:eastAsia="맑은 고딕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NFAT binding site in the DNML1L_1 promoter is shown. The yellow shaded box represents the consensus sequences of NFATC1.</w:t>
      </w:r>
    </w:p>
    <w:p>
      <w:pPr>
        <w:outlineLvl w:val="0"/>
        <w:spacing w:line="480" w:lineRule="auto"/>
        <w:rPr>
          <w:rFonts w:ascii="Times New Roman" w:hAnsi="Times New Roman" w:cs="Times New Roman"/>
          <w:sz w:val="24"/>
        </w:rPr>
      </w:pPr>
    </w:p>
    <w:p>
      <w:pPr>
        <w:outlineLvl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column"/>
      </w:r>
      <w:r>
        <w:rPr>
          <w:rFonts w:ascii="Times New Roman" w:hAnsi="Times New Roman" w:cs="Times New Roman" w:hint="eastAsia"/>
          <w:b/>
          <w:bCs/>
          <w:noProof/>
          <w:color w:val="000000"/>
          <w:sz w:val="22"/>
        </w:rPr>
        <w:drawing>
          <wp:inline distT="0" distB="0" distL="0" distR="0">
            <wp:extent cx="3784210" cy="4249431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8" t="10182" r="16381" b="26181"/>
                    <a:stretch>
                      <a:fillRect/>
                    </a:stretch>
                  </pic:blipFill>
                  <pic:spPr>
                    <a:xfrm>
                      <a:off x="0" y="0"/>
                      <a:ext cx="3784210" cy="4249431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Fig. S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Full-length gel images for key data in figures 1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2D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All western blot images are full-length blot images of key blot data in the figures 1</w:t>
      </w:r>
      <w:r>
        <w:rPr>
          <w:rFonts w:ascii="Times New Roman" w:eastAsia="맑은 고딕" w:hAnsi="Times New Roman" w:cs="Times New Roman"/>
          <w:sz w:val="24"/>
          <w:szCs w:val="24"/>
        </w:rPr>
        <w:t>F-2D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. Dash line box indicates cropped blot image in the figures 1</w:t>
      </w:r>
      <w:r>
        <w:rPr>
          <w:rFonts w:ascii="Times New Roman" w:eastAsia="맑은 고딕" w:hAnsi="Times New Roman" w:cs="Times New Roman"/>
          <w:sz w:val="24"/>
          <w:szCs w:val="24"/>
        </w:rPr>
        <w:t>F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-</w:t>
      </w:r>
      <w:r>
        <w:rPr>
          <w:rFonts w:ascii="Times New Roman" w:eastAsia="맑은 고딕" w:hAnsi="Times New Roman" w:cs="Times New Roman"/>
          <w:sz w:val="24"/>
          <w:szCs w:val="24"/>
        </w:rPr>
        <w:t>2D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. </w:t>
      </w:r>
    </w:p>
    <w:p>
      <w:pPr>
        <w:spacing w:line="360" w:lineRule="auto"/>
        <w:rPr>
          <w:rFonts w:ascii="Times New Roman" w:eastAsia="맑은 고딕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 w:cs="Times New Roman" w:hint="eastAsia"/>
          <w:b/>
          <w:bCs/>
          <w:noProof/>
          <w:color w:val="000000"/>
          <w:sz w:val="22"/>
        </w:rPr>
        <w:drawing>
          <wp:inline distT="0" distB="0" distL="0" distR="0">
            <wp:extent cx="5452779" cy="4176553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t="4087" b="33392"/>
                    <a:stretch>
                      <a:fillRect/>
                    </a:stretch>
                  </pic:blipFill>
                  <pic:spPr>
                    <a:xfrm>
                      <a:off x="0" y="0"/>
                      <a:ext cx="5452779" cy="4176553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Full-length gel images for key data in figures </w:t>
      </w:r>
      <w:r>
        <w:rPr>
          <w:rFonts w:ascii="Times New Roman" w:hAnsi="Times New Roman" w:cs="Times New Roman"/>
          <w:b/>
          <w:bCs/>
          <w:sz w:val="24"/>
          <w:szCs w:val="24"/>
        </w:rPr>
        <w:t>3A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3G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All western blot images are full-length blot images of key blot data in the figures </w:t>
      </w:r>
      <w:r>
        <w:rPr>
          <w:rFonts w:ascii="Times New Roman" w:eastAsia="맑은 고딕" w:hAnsi="Times New Roman" w:cs="Times New Roman"/>
          <w:sz w:val="24"/>
          <w:szCs w:val="24"/>
        </w:rPr>
        <w:t>3A-3G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. Dash line box indicates cropped blot image in the figures </w:t>
      </w:r>
      <w:r>
        <w:rPr>
          <w:rFonts w:ascii="Times New Roman" w:eastAsia="맑은 고딕" w:hAnsi="Times New Roman" w:cs="Times New Roman"/>
          <w:sz w:val="24"/>
          <w:szCs w:val="24"/>
        </w:rPr>
        <w:t>3A-3G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.</w:t>
      </w:r>
    </w:p>
    <w:p>
      <w:pPr>
        <w:spacing w:line="240" w:lineRule="auto"/>
      </w:pPr>
      <w:r>
        <w:rPr>
          <w:rFonts w:ascii="Times New Roman" w:eastAsia="맑은 고딕" w:hAnsi="Times New Roman" w:cs="Times New Roman"/>
          <w:sz w:val="24"/>
          <w:szCs w:val="24"/>
        </w:rPr>
        <w:br w:type="column"/>
      </w:r>
      <w:r>
        <w:rPr>
          <w:rFonts w:ascii="Times New Roman" w:eastAsia="맑은 고딕" w:hAnsi="Times New Roman" w:cs="Times New Roman"/>
          <w:noProof/>
          <w:sz w:val="24"/>
          <w:szCs w:val="24"/>
        </w:rPr>
        <w:drawing>
          <wp:inline distT="0" distB="0" distL="0" distR="0">
            <wp:extent cx="5724525" cy="5305425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42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3054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755"/>
        </w:tabs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Full-length gel images for key data in figures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D-</w:t>
      </w:r>
      <w:r>
        <w:rPr>
          <w:rFonts w:ascii="Times New Roman" w:hAnsi="Times New Roman" w:cs="Times New Roman"/>
          <w:b/>
          <w:bCs/>
          <w:sz w:val="24"/>
          <w:szCs w:val="24"/>
        </w:rPr>
        <w:t>6D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All western blot images are full-length blot images of key blot data in the figures </w:t>
      </w:r>
      <w:r>
        <w:rPr>
          <w:rFonts w:ascii="Times New Roman" w:eastAsia="맑은 고딕" w:hAnsi="Times New Roman" w:cs="Times New Roman"/>
          <w:sz w:val="24"/>
          <w:szCs w:val="24"/>
        </w:rPr>
        <w:t>4D-6D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. Dash line box indicates cropped blot image in the figures </w:t>
      </w:r>
      <w:r>
        <w:rPr>
          <w:rFonts w:ascii="Times New Roman" w:eastAsia="맑은 고딕" w:hAnsi="Times New Roman" w:cs="Times New Roman"/>
          <w:sz w:val="24"/>
          <w:szCs w:val="24"/>
        </w:rPr>
        <w:t>4D-6D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.</w:t>
      </w:r>
    </w:p>
    <w:p>
      <w:pPr>
        <w:outlineLv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>. Sequences</w:t>
      </w:r>
      <w:r>
        <w:rPr>
          <w:rFonts w:ascii="Times New Roman" w:hAnsi="Times New Roman" w:cs="Times New Roman"/>
          <w:b/>
          <w:sz w:val="24"/>
          <w:szCs w:val="24"/>
        </w:rPr>
        <w:t xml:space="preserve"> of primers used for real-time PCR</w:t>
      </w:r>
    </w:p>
    <w:tbl>
      <w:tblPr>
        <w:tblStyle w:val="afffb"/>
        <w:tblpPr w:leftFromText="142" w:rightFromText="142" w:vertAnchor="page" w:horzAnchor="text" w:tblpY="2827"/>
        <w:tblW w:w="0" w:type="auto"/>
        <w:tblLook w:val="04A0" w:firstRow="1" w:lastRow="0" w:firstColumn="1" w:lastColumn="0" w:noHBand="0" w:noVBand="1"/>
      </w:tblPr>
      <w:tblGrid>
        <w:gridCol w:w="1722"/>
        <w:gridCol w:w="1949"/>
        <w:gridCol w:w="3759"/>
        <w:gridCol w:w="1586"/>
      </w:tblGrid>
      <w:tr>
        <w:tc>
          <w:tcPr>
            <w:tcW w:w="1722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Identification</w:t>
            </w:r>
          </w:p>
        </w:tc>
        <w:tc>
          <w:tcPr>
            <w:tcW w:w="375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 (5'-3')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 (bp)</w:t>
            </w:r>
          </w:p>
        </w:tc>
      </w:tr>
      <w:tr>
        <w:tc>
          <w:tcPr>
            <w:tcW w:w="1722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DRP1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CAGTGTGCCAAAGGCAGTAA</w:t>
            </w:r>
          </w:p>
        </w:tc>
        <w:tc>
          <w:tcPr>
            <w:tcW w:w="1586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>
        <w:tc>
          <w:tcPr>
            <w:tcW w:w="1722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GATGAGTCTCCCGGATTTCA</w:t>
            </w:r>
          </w:p>
        </w:tc>
        <w:tc>
          <w:tcPr>
            <w:tcW w:w="1586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722" w:type="dxa"/>
            <w:vMerge w:val="restart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sz w:val="24"/>
                <w:szCs w:val="24"/>
              </w:rPr>
              <w:t>F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i/>
                <w:iCs/>
                <w:sz w:val="24"/>
                <w:szCs w:val="24"/>
              </w:rPr>
              <w:t>S1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CTTGCTGTGTCCAAGTCCAA</w:t>
            </w:r>
          </w:p>
        </w:tc>
        <w:tc>
          <w:tcPr>
            <w:tcW w:w="1586" w:type="dxa"/>
            <w:vMerge w:val="restart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>
        <w:tc>
          <w:tcPr>
            <w:tcW w:w="1722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CCACAGCCCCGTTTTATTTA</w:t>
            </w:r>
          </w:p>
        </w:tc>
        <w:tc>
          <w:tcPr>
            <w:tcW w:w="1586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722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MFN1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TTGGAGCGGAGACTTAGCAT</w:t>
            </w:r>
          </w:p>
        </w:tc>
        <w:tc>
          <w:tcPr>
            <w:tcW w:w="1586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>
        <w:tc>
          <w:tcPr>
            <w:tcW w:w="1722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TTCGATCAAGTTCCGGATTC</w:t>
            </w:r>
          </w:p>
        </w:tc>
        <w:tc>
          <w:tcPr>
            <w:tcW w:w="1586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722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OPA1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GGCCAGCAAGATTAGCTACG</w:t>
            </w:r>
          </w:p>
        </w:tc>
        <w:tc>
          <w:tcPr>
            <w:tcW w:w="1586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>
        <w:tc>
          <w:tcPr>
            <w:tcW w:w="1722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3759" w:type="dxa"/>
          </w:tcPr>
          <w:p>
            <w:pPr>
              <w:autoSpaceDE/>
              <w:autoSpaceDN/>
              <w:widowControl/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ACAATGTCAGGCACAATCCA</w:t>
            </w:r>
          </w:p>
        </w:tc>
        <w:tc>
          <w:tcPr>
            <w:tcW w:w="1586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722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CTB</w:t>
            </w: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375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CCACCATGTACCCTGGCATT</w:t>
            </w:r>
          </w:p>
        </w:tc>
        <w:tc>
          <w:tcPr>
            <w:tcW w:w="1586" w:type="dxa"/>
            <w:vMerge w:val="restart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>
        <w:tc>
          <w:tcPr>
            <w:tcW w:w="1722" w:type="dxa"/>
            <w:vMerge w:val="continue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3759" w:type="dxa"/>
          </w:tcPr>
          <w:p>
            <w:pPr>
              <w:jc w:val="center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CGGACTCGTCATACTCCTGC</w:t>
            </w:r>
          </w:p>
        </w:tc>
        <w:tc>
          <w:tcPr>
            <w:tcW w:w="1586" w:type="dxa"/>
            <w:vMerge w:val="continue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tabs>
          <w:tab w:val="left" w:pos="7755"/>
        </w:tabs>
        <w:spacing w:line="480" w:lineRule="auto"/>
        <w:rPr>
          <w:rFonts w:ascii="Times New Roman" w:hAnsi="Times New Roman" w:cs="Times New Roman"/>
          <w:sz w:val="24"/>
        </w:rPr>
      </w:pPr>
    </w:p>
    <w:p>
      <w:pPr>
        <w:tabs>
          <w:tab w:val="left" w:pos="7755"/>
        </w:tabs>
        <w:spacing w:line="480" w:lineRule="auto"/>
        <w:rPr>
          <w:rFonts w:ascii="Times New Roman" w:hAnsi="Times New Roman" w:cs="Times New Roman"/>
          <w:sz w:val="24"/>
        </w:rPr>
      </w:pPr>
    </w:p>
    <w:sectPr>
      <w:pgSz w:w="11906" w:h="16838"/>
      <w:pgMar w:top="1701" w:right="1440" w:bottom="1440" w:left="1440" w:header="851" w:footer="992" w:gutter="0"/>
      <w:cols w:space="720"/>
      <w:docGrid w:linePitch="360"/>
      <w:footerReference w:type="default" r:id="rId5"/>
      <w:lnNumType w:countBy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">
    <w:panose1 w:val="02020603FFFFFFFFFFFF"/>
    <w:family w:val="roman"/>
    <w:charset w:val="00"/>
    <w:notTrueType w:val="false"/>
    <w:pitch w:val="variable"/>
    <w:sig w:usb0="E0002EFF" w:usb1="C000785B" w:usb2="00000009" w:usb3="00000000" w:csb0="000001FF" w:csb1="00000000"/>
  </w:font>
  <w:font w:name="나눔고딕">
    <w:panose1 w:val="020D0604000000000000"/>
    <w:family w:val="auto"/>
    <w:charset w:val="81"/>
    <w:notTrueType w:val="false"/>
    <w:sig w:usb0="900002A7" w:usb1="29D7FCFB" w:usb2="00000010" w:usb3="00000001" w:csb0="00080001" w:csb1="00000001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8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  <w:r/>
      </w:p>
    </w:sdtContent>
  </w:sdt>
  <w:p>
    <w:pPr>
      <w:pStyle w:val="aff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Char5">
    <w:name w:val="글자만 Char"/>
    <w:basedOn w:val="a2"/>
    <w:rPr>
      <w:rFonts w:ascii="바탕체" w:eastAsia="바탕체" w:hAnsi="Courier New" w:cs="Times New Roman"/>
      <w:szCs w:val="20"/>
    </w:rPr>
  </w:style>
  <w:style w:type="character" w:customStyle="1" w:styleId="Char9">
    <w:name w:val="머리글 Char"/>
    <w:basedOn w:val="a2"/>
  </w:style>
  <w:style w:type="paragraph" w:styleId="afe">
    <w:name w:val="header"/>
    <w:basedOn w:val="a1"/>
    <w:unhideWhenUsed/>
    <w:pPr>
      <w:snapToGrid w:val="0"/>
      <w:tabs>
        <w:tab w:val="center" w:pos="4513"/>
        <w:tab w:val="right" w:pos="9026"/>
      </w:tabs>
    </w:pPr>
  </w:style>
  <w:style w:type="paragraph" w:styleId="afa">
    <w:name w:val="Plain Text"/>
    <w:basedOn w:val="a1"/>
    <w:pPr>
      <w:autoSpaceDE/>
      <w:autoSpaceDN/>
      <w:spacing w:after="0" w:line="240" w:lineRule="auto"/>
    </w:pPr>
    <w:rPr>
      <w:rFonts w:ascii="바탕체" w:eastAsia="바탕체" w:hAnsi="Courier New" w:cs="Times New Roman"/>
      <w:szCs w:val="20"/>
    </w:r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character" w:styleId="a2">
    <w:name w:val="Default Paragraph Font"/>
    <w:semiHidden/>
    <w:unhideWhenUsed/>
  </w:style>
  <w:style w:type="numbering" w:styleId="a4">
    <w:name w:val="No List"/>
    <w:semiHidden/>
    <w:unhideWhenUsed/>
  </w:style>
  <w:style w:type="character" w:styleId="a7">
    <w:name w:val="Unresolved Mention"/>
    <w:basedOn w:val="a2"/>
    <w:semiHidden/>
    <w:unhideWhenUsed/>
    <w:rPr>
      <w:color w:val="605E5C"/>
      <w:shd w:val="clear" w:color="auto" w:fill="E1DFDD"/>
    </w:rPr>
  </w:style>
  <w:style w:type="character" w:customStyle="1" w:styleId="Charf">
    <w:name w:val="바닥글 Char"/>
    <w:basedOn w:val="a2"/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</w:style>
  <w:style w:type="character" w:styleId="afffa">
    <w:name w:val="Hyperlink"/>
    <w:basedOn w:val="a2"/>
    <w:unhideWhenUsed/>
    <w:rPr>
      <w:color w:val="0000FF"/>
      <w:u w:val="single" w:color="auto"/>
    </w:rPr>
  </w:style>
  <w:style w:type="table" w:styleId="afffb">
    <w:name w:val="Table Grid"/>
    <w:basedOn w:val="a3"/>
    <w:pPr>
      <w:jc w:val="left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f6">
    <w:name w:val="풍선 도움말 텍스트 Char"/>
    <w:basedOn w:val="a2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ff9">
    <w:name w:val="Balloon Text"/>
    <w:basedOn w:val="a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fff6">
    <w:name w:val="line number"/>
    <w:basedOn w:val="a2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1</cp:revision>
  <dcterms:created xsi:type="dcterms:W3CDTF">2020-03-04T11:54:00Z</dcterms:created>
  <dcterms:modified xsi:type="dcterms:W3CDTF">2023-05-19T06:41:24Z</dcterms:modified>
  <cp:lastPrinted>2019-03-05T00:15:00Z</cp:lastPrinted>
  <cp:version>0900.0001.01</cp:version>
</cp:coreProperties>
</file>