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745" w:rsidRDefault="00B877FC">
      <w:pPr>
        <w:rPr>
          <w:rFonts w:ascii="Times New Roman" w:hAnsi="Times New Roman" w:cs="Times New Roman"/>
          <w:b/>
          <w:sz w:val="24"/>
        </w:rPr>
      </w:pPr>
      <w:r w:rsidRPr="00B877FC">
        <w:rPr>
          <w:rFonts w:ascii="Times New Roman" w:hAnsi="Times New Roman" w:cs="Times New Roman"/>
          <w:b/>
          <w:sz w:val="24"/>
        </w:rPr>
        <w:t xml:space="preserve">Supplementary </w:t>
      </w:r>
      <w:r w:rsidR="000B6B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</w:t>
      </w:r>
      <w:r w:rsidRPr="00B877FC">
        <w:rPr>
          <w:rFonts w:ascii="Times New Roman" w:hAnsi="Times New Roman" w:cs="Times New Roman"/>
          <w:b/>
          <w:sz w:val="24"/>
        </w:rPr>
        <w:t xml:space="preserve">aterials </w:t>
      </w:r>
    </w:p>
    <w:p w:rsidR="0084149A" w:rsidRDefault="0084149A" w:rsidP="00B877F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</w:pPr>
      <w:bookmarkStart w:id="0" w:name="_Ref40519069"/>
      <w:bookmarkStart w:id="1" w:name="_Toc53078917"/>
    </w:p>
    <w:bookmarkEnd w:id="0"/>
    <w:bookmarkEnd w:id="1"/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877FC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0B6B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File</w:t>
      </w:r>
      <w:r w:rsidR="000B6BF6" w:rsidRPr="00B877FC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877FC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385DDF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>1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. Comparison of baseline </w:t>
      </w:r>
      <w:r w:rsidRPr="00B877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socio-demographic and HRQoL scores between those 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who completed the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follow-up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 and those who had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lost to follow-up at UoGH, 2019.  </w:t>
      </w:r>
    </w:p>
    <w:p w:rsidR="00B877FC" w:rsidRPr="00B877FC" w:rsidRDefault="00B877FC" w:rsidP="00B877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</w:p>
    <w:tbl>
      <w:tblPr>
        <w:tblStyle w:val="TableGrid2"/>
        <w:tblW w:w="92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5"/>
        <w:gridCol w:w="2165"/>
        <w:gridCol w:w="2700"/>
        <w:gridCol w:w="1530"/>
      </w:tblGrid>
      <w:tr w:rsidR="0040352F" w:rsidRPr="0040352F" w:rsidTr="00B44A5C">
        <w:trPr>
          <w:trHeight w:val="548"/>
        </w:trPr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Follow-up</w:t>
            </w:r>
          </w:p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877F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n </w:t>
            </w: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 185)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Lost to follow-up</w:t>
            </w:r>
          </w:p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877F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</w:t>
            </w: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= 30)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P-value</w:t>
            </w: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$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Age, years (mean ± SD)</w:t>
            </w:r>
          </w:p>
        </w:tc>
        <w:tc>
          <w:tcPr>
            <w:tcW w:w="2165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49.2±9.2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49.8±10.7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Pregnancies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6.6±2.5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6.1±2.7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Parity 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5.9±2.5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5.8±2.8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Marital status, n (%)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Married/cohabiting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 (85.4)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 (100.0)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 married*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(14.6)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Education status, n (%)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Illiterate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176 (95.1) 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(93.3)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Literate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(4.9)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(6.7)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POP stage, n (%)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Stage III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 (81.6)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 (83.3)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Stage IV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 (18.4)</w:t>
            </w: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(16.7)</w:t>
            </w: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P-QoL domain scores</w:t>
            </w:r>
          </w:p>
        </w:tc>
        <w:tc>
          <w:tcPr>
            <w:tcW w:w="2165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0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PC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65.5±14.2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64.3±12.9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PSC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55.3±23.7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56.9±22.3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PRC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76.4±13.9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78.8±15.1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POP-SS score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16.4±4.2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17.9±4.7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40352F" w:rsidRPr="0040352F" w:rsidTr="00B44A5C">
        <w:trPr>
          <w:trHeight w:val="233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PHQ score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16.7±6.3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14.5±7.2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</w:tr>
      <w:tr w:rsidR="0040352F" w:rsidRPr="0040352F" w:rsidTr="00B44A5C">
        <w:trPr>
          <w:trHeight w:val="220"/>
        </w:trPr>
        <w:tc>
          <w:tcPr>
            <w:tcW w:w="287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BIPOP score (mean ± SD)</w:t>
            </w:r>
          </w:p>
        </w:tc>
        <w:tc>
          <w:tcPr>
            <w:tcW w:w="2165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34.2±7.4</w:t>
            </w:r>
          </w:p>
        </w:tc>
        <w:tc>
          <w:tcPr>
            <w:tcW w:w="270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32.2±6.6</w:t>
            </w:r>
          </w:p>
        </w:tc>
        <w:tc>
          <w:tcPr>
            <w:tcW w:w="1530" w:type="dxa"/>
            <w:hideMark/>
          </w:tcPr>
          <w:p w:rsidR="00B877FC" w:rsidRPr="00B877FC" w:rsidRDefault="00B877FC" w:rsidP="00B877F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</w:t>
            </w:r>
          </w:p>
        </w:tc>
      </w:tr>
    </w:tbl>
    <w:p w:rsidR="00B877FC" w:rsidRPr="00B877FC" w:rsidRDefault="00B877FC" w:rsidP="00B877FC">
      <w:pPr>
        <w:spacing w:after="0" w:line="276" w:lineRule="auto"/>
        <w:rPr>
          <w:rFonts w:ascii="Times New Roman" w:eastAsia="SimSun" w:hAnsi="Times New Roman" w:cs="Times New Roman"/>
          <w:color w:val="000000" w:themeColor="text1"/>
          <w:sz w:val="20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  <w:vertAlign w:val="superscript"/>
        </w:rPr>
        <w:t xml:space="preserve">$ </w:t>
      </w: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</w:rPr>
        <w:t xml:space="preserve">Independent sample t-test.  </w:t>
      </w:r>
    </w:p>
    <w:p w:rsidR="00B877FC" w:rsidRPr="00B877FC" w:rsidRDefault="00B877FC" w:rsidP="00B877F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SimSun" w:hAnsi="Times New Roman" w:cs="Times New Roman"/>
          <w:color w:val="000000" w:themeColor="text1"/>
          <w:sz w:val="20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</w:rPr>
        <w:t xml:space="preserve">* Not married: single or divorced or widowed.  </w:t>
      </w:r>
    </w:p>
    <w:p w:rsidR="00B877FC" w:rsidRPr="00B877FC" w:rsidRDefault="00B877FC" w:rsidP="00B877FC">
      <w:pPr>
        <w:spacing w:after="0" w:line="276" w:lineRule="auto"/>
        <w:rPr>
          <w:rFonts w:ascii="Times New Roman" w:eastAsia="SimSun" w:hAnsi="Times New Roman" w:cs="Times New Roman"/>
          <w:color w:val="000000" w:themeColor="text1"/>
          <w:sz w:val="20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0"/>
          <w:szCs w:val="24"/>
        </w:rPr>
        <w:t xml:space="preserve">Abbreviations: SD: standard deviation, PC: Physical component, PSC: psychological component, PRC: personal relationship component. </w:t>
      </w: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385DDF" w:rsidRDefault="00385DDF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385DDF" w:rsidRPr="00B877FC" w:rsidRDefault="00385DDF" w:rsidP="00385DDF">
      <w:p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CH" w:eastAsia="fr-FR"/>
        </w:rPr>
      </w:pPr>
      <w:r w:rsidRPr="00B877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  <w:lastRenderedPageBreak/>
        <w:t xml:space="preserve">Supplementary </w:t>
      </w:r>
      <w:r w:rsidR="000B6B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File</w:t>
      </w:r>
      <w:r w:rsidR="000B6BF6" w:rsidRPr="00B877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  <w:t xml:space="preserve"> </w:t>
      </w:r>
      <w:r w:rsidRPr="00B877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fr-CH" w:eastAsia="fr-FR"/>
        </w:rPr>
        <w:t>2</w:t>
      </w:r>
      <w:r w:rsidRPr="00B877F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CH" w:eastAsia="fr-FR"/>
        </w:rPr>
        <w:t xml:space="preserve">. Change of HRQoL as measured with PRO instruments during the 6 months follow-up period at UoGH, 2019. </w:t>
      </w:r>
    </w:p>
    <w:tbl>
      <w:tblPr>
        <w:tblStyle w:val="TableGrid1"/>
        <w:tblW w:w="1098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1260"/>
        <w:gridCol w:w="1175"/>
        <w:gridCol w:w="1345"/>
        <w:gridCol w:w="1175"/>
        <w:gridCol w:w="1525"/>
        <w:gridCol w:w="1265"/>
        <w:gridCol w:w="1260"/>
      </w:tblGrid>
      <w:tr w:rsidR="00385DDF" w:rsidRPr="0040352F" w:rsidTr="00B44A5C">
        <w:trPr>
          <w:trHeight w:val="238"/>
          <w:jc w:val="center"/>
        </w:trPr>
        <w:tc>
          <w:tcPr>
            <w:tcW w:w="1975" w:type="dxa"/>
            <w:vMerge w:val="restart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Variables 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Baseline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 At 3 months 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At 6 months 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238"/>
          <w:jc w:val="center"/>
        </w:trPr>
        <w:tc>
          <w:tcPr>
            <w:tcW w:w="1975" w:type="dxa"/>
            <w:vMerge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Mean±SD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95% CI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Mean±SD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95% CI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Mean±SD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95% CI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P-value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b </w:t>
            </w:r>
          </w:p>
        </w:tc>
      </w:tr>
      <w:tr w:rsidR="00385DDF" w:rsidRPr="0040352F" w:rsidTr="00B44A5C">
        <w:trPr>
          <w:trHeight w:val="178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 xml:space="preserve">HRQoL 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78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P-QoL domains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385DDF" w:rsidRPr="0040352F" w:rsidTr="00B44A5C">
        <w:trPr>
          <w:trHeight w:val="72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GHP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60.5 ± 20.1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57.1, 63.1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39.2 ± 16.4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35.9, 44.5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21.8 ± 13.3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19.9, 23.7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PI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69.1 ± 25.6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66.2, 73.9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32.8 ± 19.1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29.4, 37.2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26.1 ± 22.7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22.8, 29.4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23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RL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74.5 ± 19.5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71.1, 76.7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29.0 ± 20.6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25.7, 34.1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17.0 ± 13.4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15.0, 18.9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94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PL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75.5 ± 19.1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72.5, 78.1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26.1 ± 16.9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24.4, 32.8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15.2 ± 13.9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13.2, 17.2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222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SL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66.1 ± 15.9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64.2, 68.8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21.8 ± 16.5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23.9, 32.4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12.2 ± 10.3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10.7, 13.7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53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PR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76.7 ± 14.1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75.9, 80.2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15.0 ± 12.6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23.8, 32.6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20.0 ± 18.2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17.3, 22.6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72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EMO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64.4 ± 27.5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59.9, 67.7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28.9 ± 19.3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25.4, 33.4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14.4 ± 12.6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12.5, 16.2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18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SE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46.7 ± 26.0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42.8, 50.6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28.6 ± 19.6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25.2, 32.8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16.3 ± 12.7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14.4, 18.1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SM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46.2 ± 26.5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42.4, 50.2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14.5 ± 12.4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15.2, 22.6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8.5 ± 6.6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7.5, 9.5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3235" w:type="dxa"/>
            <w:gridSpan w:val="2"/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P-QoL components 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PC 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65.3 ± 14.0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63.5, 67.6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26.6 ± 12.5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24.8, 28.3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16.2 ± 7.8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15.1, 17.3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PSC  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55.5 ± 23.5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51.9, 58.7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28.8 ± 18.7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26.1, 31.4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15.3 ± 10.1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13.8, 16.7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PRC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76.7 ± 14.1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75.9, 80.2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15.0 ± 12.6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13.2, 16.8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20.0 ± 18.3</w:t>
            </w:r>
          </w:p>
        </w:tc>
        <w:tc>
          <w:tcPr>
            <w:tcW w:w="1265" w:type="dxa"/>
            <w:tcBorders>
              <w:bottom w:val="single" w:sz="4" w:space="0" w:color="auto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17.3, 22.6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 xml:space="preserve">Sexual function 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01"/>
          <w:jc w:val="center"/>
        </w:trPr>
        <w:tc>
          <w:tcPr>
            <w:tcW w:w="197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Sexual activity (%)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115 (53.8)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NA*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159 (85.9)</w:t>
            </w:r>
          </w:p>
        </w:tc>
        <w:tc>
          <w:tcPr>
            <w:tcW w:w="126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0.01</w:t>
            </w:r>
          </w:p>
        </w:tc>
      </w:tr>
      <w:tr w:rsidR="00385DDF" w:rsidRPr="0040352F" w:rsidTr="00B44A5C">
        <w:trPr>
          <w:trHeight w:val="214"/>
          <w:jc w:val="center"/>
        </w:trPr>
        <w:tc>
          <w:tcPr>
            <w:tcW w:w="197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 BIPOP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33.9 ± 7.3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33.0, 35.2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21.1 ± 5.4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20.3, 21.8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17.4 ± 5.6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16.6, 18.2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</w:tr>
      <w:tr w:rsidR="00385DDF" w:rsidRPr="0040352F" w:rsidTr="00B44A5C">
        <w:trPr>
          <w:trHeight w:val="214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>POP symptoms</w:t>
            </w: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214"/>
          <w:jc w:val="center"/>
        </w:trPr>
        <w:tc>
          <w:tcPr>
            <w:tcW w:w="197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Vaginal bulge (%)</w:t>
            </w: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82.7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14.0</w:t>
            </w:r>
          </w:p>
        </w:tc>
        <w:tc>
          <w:tcPr>
            <w:tcW w:w="117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1265" w:type="dxa"/>
            <w:tcBorders>
              <w:top w:val="nil"/>
              <w:bottom w:val="nil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POP-SS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16.6 ± 4.3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15.8, 17.0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5.2 ± 1.8</w:t>
            </w:r>
          </w:p>
        </w:tc>
        <w:tc>
          <w:tcPr>
            <w:tcW w:w="117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4.9, 5.4</w:t>
            </w:r>
          </w:p>
        </w:tc>
        <w:tc>
          <w:tcPr>
            <w:tcW w:w="1525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2.1 ± 1.2</w:t>
            </w:r>
          </w:p>
        </w:tc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1.9, 2.2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3235" w:type="dxa"/>
            <w:gridSpan w:val="2"/>
            <w:tcBorders>
              <w:top w:val="single" w:sz="4" w:space="0" w:color="auto"/>
            </w:tcBorders>
            <w:hideMark/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b/>
                <w:color w:val="000000" w:themeColor="text1"/>
              </w:rPr>
              <w:t xml:space="preserve">Depressive symptoms 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PHQ 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16.4 ± 6.5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15.3, 17.3</w:t>
            </w: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9.1 ± 2.6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8.7, 9.5</w:t>
            </w: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7.8 ± 4.3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  <w:szCs w:val="24"/>
              </w:rPr>
              <w:t>7.1, 8.4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  <w:r w:rsidRPr="00B877F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#</w:t>
            </w:r>
          </w:p>
        </w:tc>
      </w:tr>
      <w:tr w:rsidR="00385DDF" w:rsidRPr="0040352F" w:rsidTr="00B44A5C">
        <w:trPr>
          <w:trHeight w:val="145"/>
          <w:jc w:val="center"/>
        </w:trPr>
        <w:tc>
          <w:tcPr>
            <w:tcW w:w="1975" w:type="dxa"/>
            <w:hideMark/>
          </w:tcPr>
          <w:p w:rsidR="00385DDF" w:rsidRPr="00B877FC" w:rsidRDefault="00385DDF" w:rsidP="00B44A5C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PHQ </w:t>
            </w:r>
            <w:r w:rsidRPr="00B877FC">
              <w:rPr>
                <w:rFonts w:ascii="Times New Roman" w:hAnsi="Times New Roman" w:cs="Times New Roman"/>
                <w:color w:val="000000" w:themeColor="text1"/>
                <w:u w:val="single"/>
              </w:rPr>
              <w:t>&gt;</w:t>
            </w: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 9 (</w:t>
            </w:r>
            <w:r w:rsidRPr="00B877FC">
              <w:rPr>
                <w:rFonts w:ascii="Times New Roman" w:hAnsi="Times New Roman" w:cs="Times New Roman"/>
                <w:i/>
                <w:color w:val="000000" w:themeColor="text1"/>
              </w:rPr>
              <w:t xml:space="preserve">n, </w:t>
            </w:r>
            <w:r w:rsidRPr="00B877FC">
              <w:rPr>
                <w:rFonts w:ascii="Times New Roman" w:hAnsi="Times New Roman" w:cs="Times New Roman"/>
                <w:color w:val="000000" w:themeColor="text1"/>
              </w:rPr>
              <w:t>%)</w:t>
            </w: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92 (42.8)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4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29 (15.0)</w:t>
            </w:r>
          </w:p>
        </w:tc>
        <w:tc>
          <w:tcPr>
            <w:tcW w:w="117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25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 xml:space="preserve">13 (7.0) </w:t>
            </w:r>
          </w:p>
        </w:tc>
        <w:tc>
          <w:tcPr>
            <w:tcW w:w="1265" w:type="dxa"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60" w:type="dxa"/>
            <w:hideMark/>
          </w:tcPr>
          <w:p w:rsidR="00385DDF" w:rsidRPr="00B877FC" w:rsidRDefault="00385DDF" w:rsidP="00B44A5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877FC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</w:tbl>
    <w:p w:rsidR="00385DDF" w:rsidRPr="00B877FC" w:rsidRDefault="00385DDF" w:rsidP="00385DDF">
      <w:pPr>
        <w:spacing w:after="0" w:line="24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proofErr w:type="gramStart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End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Baseline scores as reference.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br/>
      </w:r>
      <w:proofErr w:type="gramStart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P-value</w:t>
      </w:r>
      <w:proofErr w:type="gramEnd"/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is calculated using 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a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linear mixed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-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effect model unless specified. P-value is similar for changes from baseline to 3 and 6 months. </w:t>
      </w:r>
    </w:p>
    <w:p w:rsidR="00385DDF" w:rsidRPr="00B877FC" w:rsidRDefault="00385DDF" w:rsidP="00385DDF">
      <w:pPr>
        <w:spacing w:after="0" w:line="24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 xml:space="preserve">#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Wilcoxon signed-rank test. </w:t>
      </w:r>
      <w:bookmarkStart w:id="2" w:name="_GoBack"/>
      <w:bookmarkEnd w:id="2"/>
    </w:p>
    <w:p w:rsidR="00385DDF" w:rsidRPr="00B877FC" w:rsidRDefault="00385DDF" w:rsidP="00385D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The higher the recorded score of P-QoL, POP-SS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,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and BIPOP, the lower the QoL, 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the 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severity of POP symptoms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,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and body image perception. </w:t>
      </w: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19"/>
        </w:rPr>
        <w:t>*Sexual activity was not advised until 3 month</w:t>
      </w:r>
      <w:r w:rsidR="0068221F">
        <w:rPr>
          <w:rFonts w:ascii="Times New Roman" w:eastAsia="SimSun" w:hAnsi="Times New Roman" w:cs="Times New Roman"/>
          <w:color w:val="000000" w:themeColor="text1"/>
          <w:sz w:val="24"/>
          <w:szCs w:val="19"/>
        </w:rPr>
        <w:t>s</w:t>
      </w:r>
      <w:r w:rsidRPr="00B877FC">
        <w:rPr>
          <w:rFonts w:ascii="Times New Roman" w:eastAsia="SimSun" w:hAnsi="Times New Roman" w:cs="Times New Roman"/>
          <w:color w:val="000000" w:themeColor="text1"/>
          <w:sz w:val="24"/>
          <w:szCs w:val="19"/>
        </w:rPr>
        <w:t xml:space="preserve"> after surgery.</w:t>
      </w: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Pr="00B877FC" w:rsidRDefault="00385DDF" w:rsidP="00385DDF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19"/>
        </w:rPr>
      </w:pPr>
    </w:p>
    <w:p w:rsidR="00385DDF" w:rsidRDefault="00385DDF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84149A" w:rsidRPr="00B877FC" w:rsidRDefault="0084149A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p w:rsidR="00B877FC" w:rsidRPr="00B877FC" w:rsidRDefault="00B877FC" w:rsidP="00B877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</w:pPr>
    </w:p>
    <w:sectPr w:rsidR="00B877FC" w:rsidRPr="00B877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N7WwMDQ3NDcxNjRR0lEKTi0uzszPAykwrAUA2V+lCSwAAAA="/>
  </w:docVars>
  <w:rsids>
    <w:rsidRoot w:val="00B877FC"/>
    <w:rsid w:val="000B6BF6"/>
    <w:rsid w:val="00115745"/>
    <w:rsid w:val="00385DDF"/>
    <w:rsid w:val="0040352F"/>
    <w:rsid w:val="0068221F"/>
    <w:rsid w:val="0084149A"/>
    <w:rsid w:val="00B8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386F5A-4FEF-4C57-992D-BAB3B1B0B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B877FC"/>
  </w:style>
  <w:style w:type="paragraph" w:styleId="CommentText">
    <w:name w:val="annotation text"/>
    <w:basedOn w:val="Normal"/>
    <w:link w:val="CommentTextChar"/>
    <w:uiPriority w:val="99"/>
    <w:unhideWhenUsed/>
    <w:qFormat/>
    <w:rsid w:val="00B877FC"/>
    <w:pPr>
      <w:spacing w:after="200" w:line="276" w:lineRule="auto"/>
    </w:pPr>
    <w:rPr>
      <w:rFonts w:ascii="Calibri" w:eastAsia="Calibri" w:hAnsi="Calibri" w:cs="Times New Roman"/>
      <w:sz w:val="20"/>
      <w:szCs w:val="20"/>
      <w:lang w:val="zh-CN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877FC"/>
    <w:rPr>
      <w:rFonts w:ascii="Calibri" w:eastAsia="Calibri" w:hAnsi="Calibri" w:cs="Times New Roman"/>
      <w:sz w:val="20"/>
      <w:szCs w:val="20"/>
      <w:lang w:val="zh-CN" w:eastAsia="zh-CN"/>
    </w:rPr>
  </w:style>
  <w:style w:type="table" w:styleId="TableGrid">
    <w:name w:val="Table Grid"/>
    <w:basedOn w:val="TableNormal"/>
    <w:uiPriority w:val="39"/>
    <w:rsid w:val="00B877FC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B877FC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qFormat/>
    <w:rsid w:val="00B877FC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99"/>
    <w:semiHidden/>
    <w:unhideWhenUsed/>
    <w:qFormat/>
    <w:rsid w:val="00B877FC"/>
    <w:pPr>
      <w:spacing w:after="0" w:line="240" w:lineRule="auto"/>
    </w:pPr>
    <w:rPr>
      <w:rFonts w:ascii="Arial" w:eastAsia="Times New Roman" w:hAnsi="Arial" w:cs="Arial"/>
      <w:b/>
      <w:bCs/>
      <w:szCs w:val="24"/>
      <w:lang w:val="fr-CH" w:eastAsia="fr-FR"/>
    </w:rPr>
  </w:style>
  <w:style w:type="table" w:customStyle="1" w:styleId="TableGrid71">
    <w:name w:val="Table Grid71"/>
    <w:basedOn w:val="TableNormal"/>
    <w:uiPriority w:val="39"/>
    <w:rsid w:val="00B877FC"/>
    <w:pPr>
      <w:spacing w:after="0" w:line="240" w:lineRule="auto"/>
    </w:pPr>
    <w:rPr>
      <w:rFonts w:eastAsia="SimSu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87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505</Words>
  <Characters>2880</Characters>
  <Application>Microsoft Office Word</Application>
  <DocSecurity>0</DocSecurity>
  <Lines>24</Lines>
  <Paragraphs>6</Paragraphs>
  <ScaleCrop>false</ScaleCrop>
  <Company/>
  <LinksUpToDate>false</LinksUpToDate>
  <CharactersWithSpaces>3379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Tadesse Belayneh</dc:creator>
  <cp:keywords/>
  <dc:description/>
  <cp:lastModifiedBy>Tadesse Belayneh</cp:lastModifiedBy>
  <cp:revision>6</cp:revision>
  <dcterms:created xsi:type="dcterms:W3CDTF">2020-10-15T17:38:00Z</dcterms:created>
  <dcterms:modified xsi:type="dcterms:W3CDTF">2020-12-03T00:55:00Z</dcterms:modified>
</cp:coreProperties>
</file>