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Supporting Information</w:t>
      </w:r>
    </w:p>
    <w:p>
      <w:pPr>
        <w:jc w:val="center"/>
        <w:rPr>
          <w:rFonts w:hint="default" w:ascii="Calibri" w:hAnsi="Calibri" w:cs="Calibri"/>
          <w:sz w:val="24"/>
        </w:rPr>
      </w:pPr>
    </w:p>
    <w:p>
      <w:pPr>
        <w:pStyle w:val="25"/>
        <w:spacing w:line="240" w:lineRule="atLeast"/>
        <w:rPr>
          <w:rFonts w:hint="default" w:ascii="Calibri" w:hAnsi="Calibri" w:cs="Calibri"/>
        </w:rPr>
      </w:pPr>
      <w:r>
        <w:rPr>
          <w:rFonts w:hint="default" w:ascii="Calibri" w:hAnsi="Calibri" w:eastAsia="宋体" w:cs="Calibri"/>
          <w:sz w:val="24"/>
          <w:szCs w:val="24"/>
          <w:lang w:val="en-US" w:eastAsia="zh-CN"/>
        </w:rPr>
        <w:t>Efficient whole-cell oxidation of</w:t>
      </w:r>
      <w:bookmarkStart w:id="0" w:name="_Hlk21164000"/>
      <w:r>
        <w:rPr>
          <w:rFonts w:hint="default" w:ascii="Calibri" w:hAnsi="Calibri" w:eastAsia="宋体" w:cs="Calibri"/>
          <w:sz w:val="24"/>
          <w:szCs w:val="24"/>
          <w:lang w:val="en-US" w:eastAsia="zh-CN"/>
        </w:rPr>
        <w:t xml:space="preserve"> α,β-unsaturated alcohols</w:t>
      </w:r>
      <w:bookmarkEnd w:id="0"/>
      <w:r>
        <w:rPr>
          <w:rFonts w:hint="default" w:ascii="Calibri" w:hAnsi="Calibri" w:eastAsia="宋体" w:cs="Calibri"/>
          <w:sz w:val="24"/>
          <w:szCs w:val="24"/>
          <w:lang w:val="en-US" w:eastAsia="zh-CN"/>
        </w:rPr>
        <w:t xml:space="preserve"> to α,β-unsaturated aldehydes through cascade biocatalysis of alcohol dehydrogenase, NADPH oxidase and hemoglobin </w:t>
      </w:r>
      <w:r>
        <w:rPr>
          <w:rFonts w:hint="default" w:ascii="Calibri" w:hAnsi="Calibri" w:eastAsia="宋体" w:cs="Calibri"/>
          <w:lang w:eastAsia="zh-CN"/>
        </w:rPr>
        <w:t xml:space="preserve"> </w:t>
      </w:r>
    </w:p>
    <w:p>
      <w:pPr>
        <w:pStyle w:val="26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t>Yan Qiao</w:t>
      </w:r>
      <w:r>
        <w:rPr>
          <w:rFonts w:hint="default" w:ascii="Calibri" w:hAnsi="Calibri" w:cs="Calibri"/>
          <w:sz w:val="21"/>
          <w:szCs w:val="21"/>
          <w:vertAlign w:val="superscript"/>
        </w:rPr>
        <w:t>1</w:t>
      </w:r>
      <w:r>
        <w:rPr>
          <w:rFonts w:hint="default" w:ascii="Calibri" w:hAnsi="Calibri" w:cs="Calibri"/>
          <w:sz w:val="21"/>
          <w:szCs w:val="21"/>
        </w:rPr>
        <w:t>, Can Wang</w:t>
      </w:r>
      <w:r>
        <w:rPr>
          <w:rFonts w:hint="default" w:ascii="Calibri" w:hAnsi="Calibri" w:cs="Calibri"/>
          <w:sz w:val="21"/>
          <w:szCs w:val="21"/>
          <w:vertAlign w:val="superscript"/>
        </w:rPr>
        <w:t>1</w:t>
      </w:r>
      <w:r>
        <w:rPr>
          <w:rFonts w:hint="default" w:ascii="Calibri" w:hAnsi="Calibri" w:cs="Calibri"/>
          <w:sz w:val="21"/>
          <w:szCs w:val="21"/>
        </w:rPr>
        <w:t>, Yin Zeng</w:t>
      </w:r>
      <w:r>
        <w:rPr>
          <w:rFonts w:hint="default" w:ascii="Calibri" w:hAnsi="Calibri" w:cs="Calibri"/>
          <w:sz w:val="21"/>
          <w:szCs w:val="21"/>
          <w:vertAlign w:val="superscript"/>
        </w:rPr>
        <w:t>1</w:t>
      </w:r>
      <w:r>
        <w:rPr>
          <w:rFonts w:hint="default" w:ascii="Calibri" w:hAnsi="Calibri" w:cs="Calibri"/>
          <w:sz w:val="21"/>
          <w:szCs w:val="21"/>
        </w:rPr>
        <w:t>, Tairan Wang</w:t>
      </w:r>
      <w:r>
        <w:rPr>
          <w:rFonts w:hint="default" w:ascii="Calibri" w:hAnsi="Calibri" w:cs="Calibri"/>
          <w:sz w:val="21"/>
          <w:szCs w:val="21"/>
          <w:vertAlign w:val="superscript"/>
        </w:rPr>
        <w:t>1</w:t>
      </w:r>
      <w:r>
        <w:rPr>
          <w:rFonts w:hint="default" w:ascii="Calibri" w:hAnsi="Calibri" w:cs="Calibri"/>
          <w:sz w:val="21"/>
          <w:szCs w:val="21"/>
        </w:rPr>
        <w:t>, Jingjing Qiao</w:t>
      </w:r>
      <w:r>
        <w:rPr>
          <w:rFonts w:hint="default" w:ascii="Calibri" w:hAnsi="Calibri" w:cs="Calibri"/>
          <w:sz w:val="21"/>
          <w:szCs w:val="21"/>
          <w:vertAlign w:val="superscript"/>
        </w:rPr>
        <w:t>1</w:t>
      </w:r>
      <w:r>
        <w:rPr>
          <w:rFonts w:hint="default" w:ascii="Calibri" w:hAnsi="Calibri" w:cs="Calibri"/>
          <w:sz w:val="21"/>
          <w:szCs w:val="21"/>
        </w:rPr>
        <w:t>, Chenze Lu</w:t>
      </w:r>
      <w:r>
        <w:rPr>
          <w:rFonts w:hint="default" w:ascii="Calibri" w:hAnsi="Calibri" w:cs="Calibri"/>
          <w:sz w:val="21"/>
          <w:szCs w:val="21"/>
          <w:vertAlign w:val="superscript"/>
        </w:rPr>
        <w:t>2</w:t>
      </w:r>
      <w:r>
        <w:rPr>
          <w:rFonts w:hint="default" w:ascii="Calibri" w:hAnsi="Calibri" w:cs="Calibri"/>
          <w:sz w:val="21"/>
          <w:szCs w:val="21"/>
        </w:rPr>
        <w:t>, Zhao Wang</w:t>
      </w:r>
      <w:r>
        <w:rPr>
          <w:rFonts w:hint="default" w:ascii="Calibri" w:hAnsi="Calibri" w:cs="Calibri"/>
          <w:sz w:val="21"/>
          <w:szCs w:val="21"/>
          <w:vertAlign w:val="superscript"/>
        </w:rPr>
        <w:t>1</w:t>
      </w:r>
      <w:r>
        <w:rPr>
          <w:rFonts w:hint="default" w:ascii="Calibri" w:hAnsi="Calibri" w:cs="Calibri"/>
          <w:sz w:val="21"/>
          <w:szCs w:val="21"/>
        </w:rPr>
        <w:t xml:space="preserve"> and Xiangxian Ying</w:t>
      </w:r>
      <w:r>
        <w:rPr>
          <w:rFonts w:hint="default" w:ascii="Calibri" w:hAnsi="Calibri" w:cs="Calibri"/>
          <w:sz w:val="21"/>
          <w:szCs w:val="21"/>
          <w:vertAlign w:val="superscript"/>
        </w:rPr>
        <w:t>1*</w:t>
      </w:r>
    </w:p>
    <w:p>
      <w:pPr>
        <w:pStyle w:val="26"/>
        <w:rPr>
          <w:rFonts w:hint="default" w:ascii="Calibri" w:hAnsi="Calibri" w:cs="Calibri"/>
          <w:sz w:val="21"/>
          <w:szCs w:val="21"/>
        </w:rPr>
      </w:pPr>
    </w:p>
    <w:p>
      <w:pPr>
        <w:pStyle w:val="31"/>
        <w:rPr>
          <w:rFonts w:hint="default" w:ascii="Calibri" w:hAnsi="Calibri" w:cs="Calibri"/>
          <w:sz w:val="21"/>
          <w:szCs w:val="21"/>
        </w:rPr>
      </w:pPr>
      <w:bookmarkStart w:id="1" w:name="OLE_LINK64"/>
      <w:r>
        <w:rPr>
          <w:rFonts w:hint="default" w:ascii="Calibri" w:hAnsi="Calibri" w:cs="Calibri"/>
          <w:sz w:val="21"/>
          <w:szCs w:val="21"/>
          <w:vertAlign w:val="superscript"/>
        </w:rPr>
        <w:t>1</w:t>
      </w:r>
      <w:r>
        <w:rPr>
          <w:rFonts w:hint="default" w:ascii="Calibri" w:hAnsi="Calibri" w:cs="Calibri"/>
          <w:sz w:val="21"/>
          <w:szCs w:val="21"/>
        </w:rPr>
        <w:t xml:space="preserve"> Key Laboratory of Bioorganic Synthesis of Zhejiang Province, College of Biotechnology and Bioengineering</w:t>
      </w:r>
      <w:bookmarkEnd w:id="1"/>
      <w:r>
        <w:rPr>
          <w:rFonts w:hint="default" w:ascii="Calibri" w:hAnsi="Calibri" w:cs="Calibri"/>
          <w:sz w:val="21"/>
          <w:szCs w:val="21"/>
        </w:rPr>
        <w:t xml:space="preserve">, Zhejiang University of Technology, Hangzhou 310014, China; </w:t>
      </w:r>
    </w:p>
    <w:p>
      <w:pPr>
        <w:pStyle w:val="31"/>
        <w:rPr>
          <w:rFonts w:hint="default" w:ascii="Calibri" w:hAnsi="Calibri" w:cs="Calibri"/>
          <w:sz w:val="21"/>
          <w:szCs w:val="21"/>
        </w:rPr>
      </w:pPr>
    </w:p>
    <w:p>
      <w:pPr>
        <w:pStyle w:val="31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  <w:vertAlign w:val="superscript"/>
        </w:rPr>
        <w:t>2</w:t>
      </w:r>
      <w:r>
        <w:rPr>
          <w:rFonts w:hint="default" w:ascii="Calibri" w:hAnsi="Calibri" w:cs="Calibri"/>
          <w:sz w:val="21"/>
          <w:szCs w:val="21"/>
        </w:rPr>
        <w:t xml:space="preserve"> College of Life Sciences, China Jiliang University, Hangzhou 310018, China; </w:t>
      </w:r>
    </w:p>
    <w:p>
      <w:pPr>
        <w:pStyle w:val="31"/>
        <w:rPr>
          <w:rFonts w:hint="default" w:ascii="Calibri" w:hAnsi="Calibri" w:cs="Calibri"/>
          <w:sz w:val="21"/>
          <w:szCs w:val="21"/>
        </w:rPr>
      </w:pPr>
    </w:p>
    <w:p>
      <w:pPr>
        <w:pStyle w:val="31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宋体" w:cs="Calibri"/>
          <w:sz w:val="21"/>
          <w:szCs w:val="21"/>
          <w:lang w:val="en-US" w:eastAsia="zh-CN"/>
        </w:rPr>
        <w:t xml:space="preserve">* </w:t>
      </w:r>
      <w:r>
        <w:rPr>
          <w:rFonts w:hint="default" w:ascii="Calibri" w:hAnsi="Calibri" w:cs="Calibri"/>
          <w:sz w:val="21"/>
          <w:szCs w:val="21"/>
        </w:rPr>
        <w:t xml:space="preserve">Correspondence: </w:t>
      </w:r>
      <w:r>
        <w:rPr>
          <w:rFonts w:hint="default" w:ascii="Calibri" w:hAnsi="Calibri" w:cs="Calibri"/>
          <w:sz w:val="21"/>
          <w:szCs w:val="21"/>
        </w:rPr>
        <w:fldChar w:fldCharType="begin"/>
      </w:r>
      <w:r>
        <w:rPr>
          <w:rFonts w:hint="default" w:ascii="Calibri" w:hAnsi="Calibri" w:cs="Calibri"/>
          <w:sz w:val="21"/>
          <w:szCs w:val="21"/>
        </w:rPr>
        <w:instrText xml:space="preserve"> HYPERLINK "mailto:yingxx@zjut.edu.cn" </w:instrText>
      </w:r>
      <w:r>
        <w:rPr>
          <w:rFonts w:hint="default" w:ascii="Calibri" w:hAnsi="Calibri" w:cs="Calibri"/>
          <w:sz w:val="21"/>
          <w:szCs w:val="21"/>
        </w:rPr>
        <w:fldChar w:fldCharType="separate"/>
      </w:r>
      <w:r>
        <w:rPr>
          <w:rFonts w:hint="default" w:ascii="Calibri" w:hAnsi="Calibri" w:cs="Calibri"/>
          <w:sz w:val="21"/>
          <w:szCs w:val="21"/>
        </w:rPr>
        <w:t>yingxx@zjut.edu.cn</w:t>
      </w:r>
      <w:r>
        <w:rPr>
          <w:rFonts w:hint="default" w:ascii="Calibri" w:hAnsi="Calibri" w:cs="Calibri"/>
          <w:sz w:val="21"/>
          <w:szCs w:val="21"/>
        </w:rPr>
        <w:fldChar w:fldCharType="end"/>
      </w: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jc w:val="center"/>
        <w:rPr>
          <w:rFonts w:hint="default" w:ascii="Calibri" w:hAnsi="Calibri" w:cs="Calibri"/>
          <w:sz w:val="21"/>
          <w:szCs w:val="21"/>
        </w:rPr>
      </w:pPr>
    </w:p>
    <w:p>
      <w:pPr>
        <w:spacing w:line="480" w:lineRule="auto"/>
        <w:jc w:val="center"/>
        <w:rPr>
          <w:rFonts w:hint="default" w:ascii="Calibri" w:hAnsi="Calibri" w:cs="Calibri"/>
          <w:b/>
          <w:sz w:val="21"/>
          <w:szCs w:val="21"/>
        </w:rPr>
      </w:pPr>
      <w:r>
        <w:rPr>
          <w:rFonts w:hint="default" w:ascii="Calibri" w:hAnsi="Calibri" w:cs="Calibri"/>
          <w:b/>
          <w:sz w:val="21"/>
          <w:szCs w:val="21"/>
        </w:rPr>
        <w:t>Contents</w:t>
      </w:r>
    </w:p>
    <w:p>
      <w:pPr>
        <w:pStyle w:val="7"/>
        <w:tabs>
          <w:tab w:val="right" w:leader="dot" w:pos="8306"/>
        </w:tabs>
      </w:pPr>
      <w:bookmarkStart w:id="2" w:name="_Toc8186"/>
      <w:bookmarkStart w:id="3" w:name="_Toc20081"/>
      <w:bookmarkStart w:id="4" w:name="_Toc1854"/>
      <w:r>
        <w:rPr>
          <w:rFonts w:hint="default" w:ascii="Calibri" w:hAnsi="Calibri" w:cs="Calibri"/>
          <w:sz w:val="21"/>
          <w:szCs w:val="21"/>
        </w:rPr>
        <w:fldChar w:fldCharType="begin"/>
      </w:r>
      <w:r>
        <w:rPr>
          <w:rFonts w:hint="default" w:ascii="Calibri" w:hAnsi="Calibri" w:cs="Calibri"/>
          <w:sz w:val="21"/>
          <w:szCs w:val="21"/>
        </w:rPr>
        <w:instrText xml:space="preserve"> TOC \o "1-3" \h \z \u </w:instrText>
      </w:r>
      <w:r>
        <w:rPr>
          <w:rFonts w:hint="default" w:ascii="Calibri" w:hAnsi="Calibri" w:cs="Calibri"/>
          <w:sz w:val="21"/>
          <w:szCs w:val="21"/>
        </w:rPr>
        <w:fldChar w:fldCharType="separate"/>
      </w:r>
    </w:p>
    <w:p>
      <w:pPr>
        <w:pStyle w:val="7"/>
        <w:tabs>
          <w:tab w:val="right" w:leader="dot" w:pos="8306"/>
        </w:tabs>
      </w:pPr>
      <w:r>
        <w:rPr>
          <w:rFonts w:hint="default" w:ascii="Calibri" w:hAnsi="Calibri" w:cs="Calibri"/>
          <w:szCs w:val="21"/>
        </w:rPr>
        <w:fldChar w:fldCharType="begin"/>
      </w:r>
      <w:r>
        <w:rPr>
          <w:rFonts w:hint="default" w:ascii="Calibri" w:hAnsi="Calibri" w:cs="Calibri"/>
          <w:szCs w:val="21"/>
        </w:rPr>
        <w:instrText xml:space="preserve"> HYPERLINK \l _Toc12339 </w:instrText>
      </w:r>
      <w:r>
        <w:rPr>
          <w:rFonts w:hint="default" w:ascii="Calibri" w:hAnsi="Calibri" w:cs="Calibri"/>
          <w:szCs w:val="21"/>
        </w:rPr>
        <w:fldChar w:fldCharType="separate"/>
      </w:r>
      <w:r>
        <w:rPr>
          <w:rFonts w:hint="default"/>
          <w:szCs w:val="21"/>
        </w:rPr>
        <w:t xml:space="preserve">Table S1. The </w:t>
      </w:r>
      <w:r>
        <w:rPr>
          <w:rFonts w:hint="default"/>
          <w:szCs w:val="21"/>
          <w:lang w:val="en-US" w:eastAsia="zh-CN"/>
        </w:rPr>
        <w:t xml:space="preserve">activities for YsADH and TkNOX in the </w:t>
      </w:r>
      <w:r>
        <w:rPr>
          <w:rFonts w:hint="eastAsia"/>
          <w:szCs w:val="21"/>
          <w:lang w:val="en-US" w:eastAsia="zh-CN"/>
        </w:rPr>
        <w:t xml:space="preserve">cell-free extracts of </w:t>
      </w:r>
      <w:r>
        <w:rPr>
          <w:rFonts w:hint="default"/>
          <w:szCs w:val="21"/>
          <w:lang w:val="en-US" w:eastAsia="zh-CN"/>
        </w:rPr>
        <w:t>whole-cell catalysts</w:t>
      </w:r>
      <w:r>
        <w:tab/>
      </w:r>
      <w:r>
        <w:fldChar w:fldCharType="begin"/>
      </w:r>
      <w:r>
        <w:instrText xml:space="preserve"> PAGEREF _Toc12339 </w:instrText>
      </w:r>
      <w:r>
        <w:fldChar w:fldCharType="separate"/>
      </w:r>
      <w:r>
        <w:t>2</w:t>
      </w:r>
      <w:r>
        <w:fldChar w:fldCharType="end"/>
      </w:r>
      <w:r>
        <w:rPr>
          <w:rFonts w:hint="default" w:ascii="Calibri" w:hAnsi="Calibri" w:cs="Calibri"/>
          <w:szCs w:val="21"/>
        </w:rPr>
        <w:fldChar w:fldCharType="end"/>
      </w:r>
    </w:p>
    <w:p>
      <w:pPr>
        <w:pStyle w:val="7"/>
        <w:tabs>
          <w:tab w:val="right" w:leader="dot" w:pos="8306"/>
        </w:tabs>
      </w:pPr>
      <w:r>
        <w:rPr>
          <w:rFonts w:hint="default" w:ascii="Calibri" w:hAnsi="Calibri" w:cs="Calibri"/>
          <w:szCs w:val="21"/>
        </w:rPr>
        <w:fldChar w:fldCharType="begin"/>
      </w:r>
      <w:r>
        <w:rPr>
          <w:rFonts w:hint="default" w:ascii="Calibri" w:hAnsi="Calibri" w:cs="Calibri"/>
          <w:szCs w:val="21"/>
        </w:rPr>
        <w:instrText xml:space="preserve"> HYPERLINK \l _Toc6085 </w:instrText>
      </w:r>
      <w:r>
        <w:rPr>
          <w:rFonts w:hint="default" w:ascii="Calibri" w:hAnsi="Calibri" w:cs="Calibri"/>
          <w:szCs w:val="21"/>
        </w:rPr>
        <w:fldChar w:fldCharType="separate"/>
      </w:r>
      <w:r>
        <w:rPr>
          <w:rFonts w:hint="default"/>
          <w:szCs w:val="21"/>
        </w:rPr>
        <w:t>Figure S</w:t>
      </w:r>
      <w:r>
        <w:rPr>
          <w:rFonts w:hint="eastAsia"/>
          <w:szCs w:val="21"/>
          <w:lang w:val="en-US" w:eastAsia="zh-CN"/>
        </w:rPr>
        <w:t>1</w:t>
      </w:r>
      <w:r>
        <w:rPr>
          <w:rFonts w:hint="default"/>
          <w:szCs w:val="21"/>
        </w:rPr>
        <w:t xml:space="preserve">. </w:t>
      </w:r>
      <w:r>
        <w:rPr>
          <w:rFonts w:hint="default"/>
          <w:szCs w:val="21"/>
          <w:lang w:val="en-US"/>
        </w:rPr>
        <w:t>SDS-PAGE analyses of cell-free extract and cell</w:t>
      </w:r>
      <w:r>
        <w:rPr>
          <w:rFonts w:hint="eastAsia"/>
          <w:szCs w:val="21"/>
          <w:lang w:val="en-US" w:eastAsia="zh-CN"/>
        </w:rPr>
        <w:t xml:space="preserve">-debris </w:t>
      </w:r>
      <w:r>
        <w:rPr>
          <w:rFonts w:hint="default"/>
          <w:szCs w:val="21"/>
          <w:lang w:val="en-US"/>
        </w:rPr>
        <w:t>pellet from the same whole catalysts comprising YsADH, TkNOX and/or VsHGB</w:t>
      </w:r>
      <w:r>
        <w:tab/>
      </w:r>
      <w:r>
        <w:fldChar w:fldCharType="begin"/>
      </w:r>
      <w:r>
        <w:instrText xml:space="preserve"> PAGEREF _Toc6085 </w:instrText>
      </w:r>
      <w:r>
        <w:fldChar w:fldCharType="separate"/>
      </w:r>
      <w:r>
        <w:t>3</w:t>
      </w:r>
      <w:r>
        <w:fldChar w:fldCharType="end"/>
      </w:r>
      <w:r>
        <w:rPr>
          <w:rFonts w:hint="default" w:ascii="Calibri" w:hAnsi="Calibri" w:cs="Calibri"/>
          <w:szCs w:val="21"/>
        </w:rPr>
        <w:fldChar w:fldCharType="end"/>
      </w:r>
    </w:p>
    <w:p>
      <w:pPr>
        <w:pStyle w:val="7"/>
        <w:tabs>
          <w:tab w:val="right" w:leader="dot" w:pos="8306"/>
        </w:tabs>
      </w:pPr>
      <w:r>
        <w:rPr>
          <w:rFonts w:hint="default" w:ascii="Calibri" w:hAnsi="Calibri" w:cs="Calibri"/>
          <w:szCs w:val="21"/>
        </w:rPr>
        <w:fldChar w:fldCharType="begin"/>
      </w:r>
      <w:r>
        <w:rPr>
          <w:rFonts w:hint="default" w:ascii="Calibri" w:hAnsi="Calibri" w:cs="Calibri"/>
          <w:szCs w:val="21"/>
        </w:rPr>
        <w:instrText xml:space="preserve"> HYPERLINK \l _Toc18733 </w:instrText>
      </w:r>
      <w:r>
        <w:rPr>
          <w:rFonts w:hint="default" w:ascii="Calibri" w:hAnsi="Calibri" w:cs="Calibri"/>
          <w:szCs w:val="21"/>
        </w:rPr>
        <w:fldChar w:fldCharType="separate"/>
      </w:r>
      <w:r>
        <w:rPr>
          <w:rFonts w:hint="default"/>
          <w:szCs w:val="21"/>
        </w:rPr>
        <w:t>Figure S</w:t>
      </w:r>
      <w:r>
        <w:rPr>
          <w:rFonts w:hint="eastAsia"/>
          <w:szCs w:val="21"/>
          <w:lang w:val="en-US" w:eastAsia="zh-CN"/>
        </w:rPr>
        <w:t>2</w:t>
      </w:r>
      <w:r>
        <w:rPr>
          <w:rFonts w:hint="default"/>
          <w:szCs w:val="21"/>
        </w:rPr>
        <w:t xml:space="preserve">. </w:t>
      </w:r>
      <w:r>
        <w:rPr>
          <w:rFonts w:hint="default"/>
          <w:szCs w:val="21"/>
          <w:lang w:val="en-US"/>
        </w:rPr>
        <w:t>SDS-PAGE analyses of cell-free extract and cell</w:t>
      </w:r>
      <w:r>
        <w:rPr>
          <w:rFonts w:hint="eastAsia"/>
          <w:szCs w:val="21"/>
          <w:lang w:val="en-US" w:eastAsia="zh-CN"/>
        </w:rPr>
        <w:t xml:space="preserve">-debris </w:t>
      </w:r>
      <w:r>
        <w:rPr>
          <w:rFonts w:hint="default"/>
          <w:szCs w:val="21"/>
          <w:lang w:val="en-US"/>
        </w:rPr>
        <w:t>pellet from the same whole catalysts comprising</w:t>
      </w:r>
      <w:r>
        <w:rPr>
          <w:rFonts w:hint="eastAsia"/>
          <w:szCs w:val="21"/>
          <w:lang w:val="en-US"/>
        </w:rPr>
        <w:t xml:space="preserve"> </w:t>
      </w:r>
      <w:r>
        <w:rPr>
          <w:rFonts w:hint="default"/>
          <w:szCs w:val="21"/>
          <w:lang w:val="en-US"/>
        </w:rPr>
        <w:t>the fusion enzyme of YsADH</w:t>
      </w:r>
      <w:r>
        <w:rPr>
          <w:rFonts w:hint="eastAsia"/>
          <w:szCs w:val="21"/>
          <w:lang w:val="en-US"/>
        </w:rPr>
        <w:t xml:space="preserve"> </w:t>
      </w:r>
      <w:r>
        <w:rPr>
          <w:rFonts w:hint="default"/>
          <w:szCs w:val="21"/>
          <w:lang w:val="en-US"/>
        </w:rPr>
        <w:t>and TkNOX</w:t>
      </w:r>
      <w:r>
        <w:tab/>
      </w:r>
      <w:r>
        <w:fldChar w:fldCharType="begin"/>
      </w:r>
      <w:r>
        <w:instrText xml:space="preserve"> PAGEREF _Toc18733 </w:instrText>
      </w:r>
      <w:r>
        <w:fldChar w:fldCharType="separate"/>
      </w:r>
      <w:r>
        <w:t>4</w:t>
      </w:r>
      <w:r>
        <w:fldChar w:fldCharType="end"/>
      </w:r>
      <w:r>
        <w:rPr>
          <w:rFonts w:hint="default" w:ascii="Calibri" w:hAnsi="Calibri" w:cs="Calibri"/>
          <w:szCs w:val="21"/>
        </w:rPr>
        <w:fldChar w:fldCharType="end"/>
      </w:r>
    </w:p>
    <w:p>
      <w:pPr>
        <w:pStyle w:val="7"/>
        <w:tabs>
          <w:tab w:val="right" w:leader="dot" w:pos="8306"/>
        </w:tabs>
      </w:pPr>
      <w:r>
        <w:rPr>
          <w:rFonts w:hint="default" w:ascii="Calibri" w:hAnsi="Calibri" w:cs="Calibri"/>
          <w:szCs w:val="21"/>
        </w:rPr>
        <w:fldChar w:fldCharType="begin"/>
      </w:r>
      <w:r>
        <w:rPr>
          <w:rFonts w:hint="default" w:ascii="Calibri" w:hAnsi="Calibri" w:cs="Calibri"/>
          <w:szCs w:val="21"/>
        </w:rPr>
        <w:instrText xml:space="preserve"> HYPERLINK \l _Toc31881 </w:instrText>
      </w:r>
      <w:r>
        <w:rPr>
          <w:rFonts w:hint="default" w:ascii="Calibri" w:hAnsi="Calibri" w:cs="Calibri"/>
          <w:szCs w:val="21"/>
        </w:rPr>
        <w:fldChar w:fldCharType="separate"/>
      </w:r>
      <w:r>
        <w:rPr>
          <w:rFonts w:hint="default"/>
          <w:szCs w:val="21"/>
        </w:rPr>
        <w:t>Figure S</w:t>
      </w:r>
      <w:r>
        <w:rPr>
          <w:rFonts w:hint="eastAsia"/>
          <w:szCs w:val="21"/>
          <w:lang w:val="en-US" w:eastAsia="zh-CN"/>
        </w:rPr>
        <w:t>3</w:t>
      </w:r>
      <w:r>
        <w:rPr>
          <w:rFonts w:hint="default"/>
          <w:szCs w:val="21"/>
        </w:rPr>
        <w:t xml:space="preserve">. </w:t>
      </w:r>
      <w:r>
        <w:rPr>
          <w:rFonts w:hint="default"/>
          <w:szCs w:val="21"/>
          <w:lang w:val="en-US"/>
        </w:rPr>
        <w:t>SDS-PAGE analyses of cell-free extract and cell</w:t>
      </w:r>
      <w:r>
        <w:rPr>
          <w:rFonts w:hint="eastAsia"/>
          <w:szCs w:val="21"/>
          <w:lang w:val="en-US" w:eastAsia="zh-CN"/>
        </w:rPr>
        <w:t xml:space="preserve">-debris </w:t>
      </w:r>
      <w:r>
        <w:rPr>
          <w:rFonts w:hint="default"/>
          <w:szCs w:val="21"/>
          <w:lang w:val="en-US"/>
        </w:rPr>
        <w:t>pellet from the same whole catalysts comprising</w:t>
      </w:r>
      <w:r>
        <w:rPr>
          <w:rFonts w:hint="eastAsia"/>
          <w:szCs w:val="21"/>
          <w:lang w:val="en-US"/>
        </w:rPr>
        <w:t xml:space="preserve"> </w:t>
      </w:r>
      <w:r>
        <w:rPr>
          <w:rFonts w:hint="default"/>
          <w:szCs w:val="21"/>
          <w:lang w:val="en-US"/>
        </w:rPr>
        <w:t>the fusion enzyme of YsADH, TkNOX and VsHGB</w:t>
      </w:r>
      <w:r>
        <w:tab/>
      </w:r>
      <w:r>
        <w:fldChar w:fldCharType="begin"/>
      </w:r>
      <w:r>
        <w:instrText xml:space="preserve"> PAGEREF _Toc31881 </w:instrText>
      </w:r>
      <w:r>
        <w:fldChar w:fldCharType="separate"/>
      </w:r>
      <w:r>
        <w:t>5</w:t>
      </w:r>
      <w:r>
        <w:fldChar w:fldCharType="end"/>
      </w:r>
      <w:r>
        <w:rPr>
          <w:rFonts w:hint="default" w:ascii="Calibri" w:hAnsi="Calibri" w:cs="Calibri"/>
          <w:szCs w:val="21"/>
        </w:rPr>
        <w:fldChar w:fldCharType="end"/>
      </w:r>
    </w:p>
    <w:p>
      <w:pPr>
        <w:pStyle w:val="7"/>
        <w:tabs>
          <w:tab w:val="right" w:leader="dot" w:pos="8306"/>
        </w:tabs>
      </w:pPr>
      <w:r>
        <w:rPr>
          <w:rFonts w:hint="default" w:ascii="Calibri" w:hAnsi="Calibri" w:cs="Calibri"/>
          <w:szCs w:val="21"/>
        </w:rPr>
        <w:fldChar w:fldCharType="begin"/>
      </w:r>
      <w:r>
        <w:rPr>
          <w:rFonts w:hint="default" w:ascii="Calibri" w:hAnsi="Calibri" w:cs="Calibri"/>
          <w:szCs w:val="21"/>
        </w:rPr>
        <w:instrText xml:space="preserve"> HYPERLINK \l _Toc31030 </w:instrText>
      </w:r>
      <w:r>
        <w:rPr>
          <w:rFonts w:hint="default" w:ascii="Calibri" w:hAnsi="Calibri" w:cs="Calibri"/>
          <w:szCs w:val="21"/>
        </w:rPr>
        <w:fldChar w:fldCharType="separate"/>
      </w:r>
      <w:r>
        <w:rPr>
          <w:rFonts w:hint="default"/>
          <w:szCs w:val="21"/>
        </w:rPr>
        <w:t>Figure S</w:t>
      </w:r>
      <w:r>
        <w:rPr>
          <w:rFonts w:hint="eastAsia"/>
          <w:szCs w:val="21"/>
          <w:lang w:val="en-US" w:eastAsia="zh-CN"/>
        </w:rPr>
        <w:t>4</w:t>
      </w:r>
      <w:r>
        <w:rPr>
          <w:rFonts w:hint="default"/>
          <w:szCs w:val="21"/>
        </w:rPr>
        <w:t xml:space="preserve">. </w:t>
      </w:r>
      <w:r>
        <w:rPr>
          <w:rFonts w:hint="default"/>
          <w:szCs w:val="21"/>
          <w:lang w:val="en-US"/>
        </w:rPr>
        <w:t>The codon-optimized nucleotide sequences encoding YsADH (a), TkNOX (b) and VsHGB (c).</w:t>
      </w:r>
      <w:r>
        <w:tab/>
      </w:r>
      <w:r>
        <w:fldChar w:fldCharType="begin"/>
      </w:r>
      <w:r>
        <w:instrText xml:space="preserve"> PAGEREF _Toc31030 </w:instrText>
      </w:r>
      <w:r>
        <w:fldChar w:fldCharType="separate"/>
      </w:r>
      <w:r>
        <w:t>6</w:t>
      </w:r>
      <w:r>
        <w:fldChar w:fldCharType="end"/>
      </w:r>
      <w:r>
        <w:rPr>
          <w:rFonts w:hint="default" w:ascii="Calibri" w:hAnsi="Calibri" w:cs="Calibri"/>
          <w:szCs w:val="21"/>
        </w:rPr>
        <w:fldChar w:fldCharType="end"/>
      </w:r>
    </w:p>
    <w:p>
      <w:pPr>
        <w:pStyle w:val="7"/>
        <w:tabs>
          <w:tab w:val="right" w:leader="dot" w:pos="8306"/>
        </w:tabs>
      </w:pPr>
      <w:r>
        <w:rPr>
          <w:rFonts w:hint="default" w:ascii="Calibri" w:hAnsi="Calibri" w:cs="Calibri"/>
          <w:szCs w:val="21"/>
        </w:rPr>
        <w:fldChar w:fldCharType="begin"/>
      </w:r>
      <w:r>
        <w:rPr>
          <w:rFonts w:hint="default" w:ascii="Calibri" w:hAnsi="Calibri" w:cs="Calibri"/>
          <w:szCs w:val="21"/>
        </w:rPr>
        <w:instrText xml:space="preserve"> HYPERLINK \l _Toc30819 </w:instrText>
      </w:r>
      <w:r>
        <w:rPr>
          <w:rFonts w:hint="default" w:ascii="Calibri" w:hAnsi="Calibri" w:cs="Calibri"/>
          <w:szCs w:val="21"/>
        </w:rPr>
        <w:fldChar w:fldCharType="separate"/>
      </w:r>
      <w:r>
        <w:rPr>
          <w:rFonts w:hint="default"/>
          <w:szCs w:val="21"/>
        </w:rPr>
        <w:t>Figure S</w:t>
      </w:r>
      <w:r>
        <w:rPr>
          <w:rFonts w:hint="eastAsia"/>
          <w:szCs w:val="21"/>
          <w:lang w:val="en-US" w:eastAsia="zh-CN"/>
        </w:rPr>
        <w:t>5</w:t>
      </w:r>
      <w:r>
        <w:rPr>
          <w:rFonts w:hint="default"/>
          <w:szCs w:val="21"/>
        </w:rPr>
        <w:t xml:space="preserve">. </w:t>
      </w:r>
      <w:r>
        <w:rPr>
          <w:rFonts w:hint="default"/>
          <w:szCs w:val="21"/>
          <w:lang w:val="en-US"/>
        </w:rPr>
        <w:t>The construction of the pACYCDuet1-</w:t>
      </w:r>
      <w:r>
        <w:rPr>
          <w:rFonts w:hint="default"/>
          <w:i/>
          <w:iCs/>
          <w:szCs w:val="21"/>
          <w:lang w:val="en-US"/>
        </w:rPr>
        <w:t>YsADH</w:t>
      </w:r>
      <w:r>
        <w:rPr>
          <w:rFonts w:hint="default"/>
          <w:szCs w:val="21"/>
          <w:lang w:val="en-US"/>
        </w:rPr>
        <w:t>-(GSG)-</w:t>
      </w:r>
      <w:r>
        <w:rPr>
          <w:rFonts w:hint="default"/>
          <w:i/>
          <w:iCs/>
          <w:szCs w:val="21"/>
          <w:lang w:val="en-US"/>
        </w:rPr>
        <w:t>TkNOX</w:t>
      </w:r>
      <w:r>
        <w:rPr>
          <w:rFonts w:hint="default"/>
          <w:szCs w:val="21"/>
          <w:lang w:val="en-US"/>
        </w:rPr>
        <w:t>.</w:t>
      </w:r>
      <w:r>
        <w:tab/>
      </w:r>
      <w:r>
        <w:fldChar w:fldCharType="begin"/>
      </w:r>
      <w:r>
        <w:instrText xml:space="preserve"> PAGEREF _Toc30819 </w:instrText>
      </w:r>
      <w:r>
        <w:fldChar w:fldCharType="separate"/>
      </w:r>
      <w:r>
        <w:t>7</w:t>
      </w:r>
      <w:r>
        <w:fldChar w:fldCharType="end"/>
      </w:r>
      <w:r>
        <w:rPr>
          <w:rFonts w:hint="default" w:ascii="Calibri" w:hAnsi="Calibri" w:cs="Calibri"/>
          <w:szCs w:val="21"/>
        </w:rPr>
        <w:fldChar w:fldCharType="end"/>
      </w:r>
    </w:p>
    <w:p>
      <w:pPr>
        <w:pStyle w:val="7"/>
        <w:tabs>
          <w:tab w:val="right" w:leader="dot" w:pos="8306"/>
        </w:tabs>
      </w:pPr>
      <w:r>
        <w:rPr>
          <w:rFonts w:hint="default" w:ascii="Calibri" w:hAnsi="Calibri" w:cs="Calibri"/>
          <w:szCs w:val="21"/>
        </w:rPr>
        <w:fldChar w:fldCharType="begin"/>
      </w:r>
      <w:r>
        <w:rPr>
          <w:rFonts w:hint="default" w:ascii="Calibri" w:hAnsi="Calibri" w:cs="Calibri"/>
          <w:szCs w:val="21"/>
        </w:rPr>
        <w:instrText xml:space="preserve"> HYPERLINK \l _Toc16967 </w:instrText>
      </w:r>
      <w:r>
        <w:rPr>
          <w:rFonts w:hint="default" w:ascii="Calibri" w:hAnsi="Calibri" w:cs="Calibri"/>
          <w:szCs w:val="21"/>
        </w:rPr>
        <w:fldChar w:fldCharType="separate"/>
      </w:r>
      <w:r>
        <w:rPr>
          <w:rFonts w:hint="default"/>
          <w:szCs w:val="21"/>
        </w:rPr>
        <w:t>Figure S</w:t>
      </w:r>
      <w:r>
        <w:rPr>
          <w:rFonts w:hint="eastAsia"/>
          <w:szCs w:val="21"/>
          <w:lang w:val="en-US" w:eastAsia="zh-CN"/>
        </w:rPr>
        <w:t>6</w:t>
      </w:r>
      <w:r>
        <w:rPr>
          <w:rFonts w:hint="default"/>
          <w:szCs w:val="21"/>
        </w:rPr>
        <w:t xml:space="preserve">. </w:t>
      </w:r>
      <w:r>
        <w:rPr>
          <w:rFonts w:hint="default"/>
          <w:szCs w:val="21"/>
          <w:lang w:val="en-US"/>
        </w:rPr>
        <w:t>The construction of the pACYCDuet1-</w:t>
      </w:r>
      <w:r>
        <w:rPr>
          <w:rFonts w:hint="default"/>
          <w:i/>
          <w:iCs/>
          <w:szCs w:val="21"/>
          <w:lang w:val="en-US"/>
        </w:rPr>
        <w:t>YsADH</w:t>
      </w:r>
      <w:r>
        <w:rPr>
          <w:rFonts w:hint="default"/>
          <w:szCs w:val="21"/>
          <w:lang w:val="en-US"/>
        </w:rPr>
        <w:t>-(GSG)-</w:t>
      </w:r>
      <w:r>
        <w:rPr>
          <w:rFonts w:hint="default"/>
          <w:i/>
          <w:iCs/>
          <w:szCs w:val="21"/>
          <w:lang w:val="en-US"/>
        </w:rPr>
        <w:t>TkNOX</w:t>
      </w:r>
      <w:r>
        <w:rPr>
          <w:rFonts w:hint="default"/>
          <w:szCs w:val="21"/>
          <w:lang w:val="en-US"/>
        </w:rPr>
        <w:t>-</w:t>
      </w:r>
      <w:r>
        <w:rPr>
          <w:rFonts w:hint="default"/>
          <w:szCs w:val="21"/>
          <w:lang w:val="en-US" w:eastAsia="zh-CN"/>
        </w:rPr>
        <w:t>(GSG)-</w:t>
      </w:r>
      <w:r>
        <w:rPr>
          <w:rFonts w:hint="default"/>
          <w:i/>
          <w:iCs/>
          <w:szCs w:val="21"/>
          <w:lang w:val="en-US" w:eastAsia="zh-CN"/>
        </w:rPr>
        <w:t>VsHGB</w:t>
      </w:r>
      <w:r>
        <w:rPr>
          <w:rFonts w:hint="default"/>
          <w:szCs w:val="21"/>
          <w:lang w:val="en-US" w:eastAsia="zh-CN"/>
        </w:rPr>
        <w:t>.</w:t>
      </w:r>
      <w:r>
        <w:tab/>
      </w:r>
      <w:r>
        <w:fldChar w:fldCharType="begin"/>
      </w:r>
      <w:r>
        <w:instrText xml:space="preserve"> PAGEREF _Toc16967 </w:instrText>
      </w:r>
      <w:r>
        <w:fldChar w:fldCharType="separate"/>
      </w:r>
      <w:r>
        <w:t>8</w:t>
      </w:r>
      <w:r>
        <w:fldChar w:fldCharType="end"/>
      </w:r>
      <w:r>
        <w:rPr>
          <w:rFonts w:hint="default" w:ascii="Calibri" w:hAnsi="Calibri" w:cs="Calibri"/>
          <w:szCs w:val="21"/>
        </w:rPr>
        <w:fldChar w:fldCharType="end"/>
      </w:r>
    </w:p>
    <w:p>
      <w:pPr>
        <w:pStyle w:val="7"/>
        <w:tabs>
          <w:tab w:val="right" w:leader="dot" w:pos="8306"/>
        </w:tabs>
      </w:pPr>
      <w:r>
        <w:rPr>
          <w:rFonts w:hint="default" w:ascii="Calibri" w:hAnsi="Calibri" w:cs="Calibri"/>
          <w:szCs w:val="21"/>
        </w:rPr>
        <w:fldChar w:fldCharType="begin"/>
      </w:r>
      <w:r>
        <w:rPr>
          <w:rFonts w:hint="default" w:ascii="Calibri" w:hAnsi="Calibri" w:cs="Calibri"/>
          <w:szCs w:val="21"/>
        </w:rPr>
        <w:instrText xml:space="preserve"> HYPERLINK \l _Toc29499 </w:instrText>
      </w:r>
      <w:r>
        <w:rPr>
          <w:rFonts w:hint="default" w:ascii="Calibri" w:hAnsi="Calibri" w:cs="Calibri"/>
          <w:szCs w:val="21"/>
        </w:rPr>
        <w:fldChar w:fldCharType="separate"/>
      </w:r>
      <w:r>
        <w:rPr>
          <w:rFonts w:hint="default"/>
          <w:szCs w:val="21"/>
        </w:rPr>
        <w:t>Figure S</w:t>
      </w:r>
      <w:r>
        <w:rPr>
          <w:rFonts w:hint="default"/>
          <w:szCs w:val="21"/>
          <w:lang w:val="en-US"/>
        </w:rPr>
        <w:t>7</w:t>
      </w:r>
      <w:r>
        <w:rPr>
          <w:rFonts w:hint="default"/>
          <w:szCs w:val="21"/>
        </w:rPr>
        <w:t xml:space="preserve">. </w:t>
      </w:r>
      <w:r>
        <w:rPr>
          <w:rFonts w:hint="default"/>
          <w:szCs w:val="21"/>
          <w:lang w:val="en-US"/>
        </w:rPr>
        <w:t xml:space="preserve">The reactor with </w:t>
      </w:r>
      <w:r>
        <w:rPr>
          <w:rFonts w:hint="eastAsia"/>
          <w:szCs w:val="21"/>
          <w:lang w:val="en-US" w:eastAsia="zh-CN"/>
        </w:rPr>
        <w:t>hot plate/magnetic stirrer</w:t>
      </w:r>
      <w:r>
        <w:rPr>
          <w:rFonts w:hint="default"/>
          <w:szCs w:val="21"/>
          <w:lang w:val="en-US"/>
        </w:rPr>
        <w:t xml:space="preserve"> (a) and its key components (b)</w:t>
      </w:r>
      <w:r>
        <w:tab/>
      </w:r>
      <w:r>
        <w:fldChar w:fldCharType="begin"/>
      </w:r>
      <w:r>
        <w:instrText xml:space="preserve"> PAGEREF _Toc29499 </w:instrText>
      </w:r>
      <w:r>
        <w:fldChar w:fldCharType="separate"/>
      </w:r>
      <w:r>
        <w:t>9</w:t>
      </w:r>
      <w:r>
        <w:fldChar w:fldCharType="end"/>
      </w:r>
      <w:r>
        <w:rPr>
          <w:rFonts w:hint="default" w:ascii="Calibri" w:hAnsi="Calibri" w:cs="Calibri"/>
          <w:szCs w:val="21"/>
        </w:rPr>
        <w:fldChar w:fldCharType="end"/>
      </w:r>
    </w:p>
    <w:p>
      <w:pPr>
        <w:jc w:val="center"/>
        <w:outlineLvl w:val="0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Cs w:val="21"/>
        </w:rPr>
        <w:fldChar w:fldCharType="end"/>
      </w:r>
      <w:bookmarkStart w:id="5" w:name="_Toc5840"/>
      <w:bookmarkStart w:id="6" w:name="_Toc9486"/>
      <w:bookmarkStart w:id="7" w:name="_Toc31204"/>
      <w:bookmarkStart w:id="8" w:name="_Toc31983"/>
      <w:bookmarkStart w:id="9" w:name="_Toc9557"/>
      <w:bookmarkStart w:id="10" w:name="_Toc13757"/>
      <w:bookmarkStart w:id="11" w:name="_Toc26128"/>
      <w:bookmarkStart w:id="12" w:name="_Toc30613"/>
      <w:bookmarkStart w:id="13" w:name="_Toc22561"/>
      <w:bookmarkStart w:id="14" w:name="_Toc8185"/>
      <w:bookmarkStart w:id="15" w:name="_Toc3778"/>
      <w:bookmarkStart w:id="16" w:name="_Toc25607"/>
      <w:bookmarkStart w:id="17" w:name="_Toc25488"/>
      <w:r>
        <w:rPr>
          <w:rFonts w:hint="default" w:ascii="Calibri" w:hAnsi="Calibri" w:cs="Calibri"/>
          <w:sz w:val="21"/>
          <w:szCs w:val="21"/>
        </w:rPr>
        <w:br w:type="page"/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</w:p>
    <w:p>
      <w:pPr>
        <w:jc w:val="center"/>
        <w:rPr>
          <w:rStyle w:val="16"/>
          <w:rFonts w:hint="default" w:ascii="Calibri" w:hAnsi="Calibri" w:eastAsia="宋体" w:cs="Calibri"/>
          <w:b w:val="0"/>
          <w:bCs/>
          <w:sz w:val="21"/>
          <w:szCs w:val="21"/>
          <w:lang w:val="en-US" w:eastAsia="zh-CN"/>
        </w:rPr>
      </w:pPr>
      <w:bookmarkStart w:id="18" w:name="_Toc26826"/>
      <w:bookmarkStart w:id="19" w:name="_Toc26649"/>
      <w:bookmarkStart w:id="20" w:name="_Toc19535"/>
      <w:bookmarkStart w:id="21" w:name="_Toc11447"/>
      <w:bookmarkStart w:id="22" w:name="_Toc25402"/>
      <w:bookmarkStart w:id="23" w:name="_Toc17423"/>
      <w:bookmarkStart w:id="24" w:name="_Toc21116"/>
      <w:bookmarkStart w:id="25" w:name="_Toc10453"/>
      <w:bookmarkStart w:id="26" w:name="_Toc18885"/>
      <w:bookmarkStart w:id="27" w:name="_Toc21104"/>
      <w:bookmarkStart w:id="28" w:name="_Toc3101"/>
      <w:bookmarkStart w:id="29" w:name="_Toc8321"/>
      <w:bookmarkStart w:id="30" w:name="_Toc1543"/>
      <w:bookmarkStart w:id="31" w:name="_Toc20810"/>
      <w:bookmarkStart w:id="32" w:name="_Toc3086"/>
      <w:bookmarkStart w:id="33" w:name="_Toc470944106"/>
      <w:r>
        <w:rPr>
          <w:rStyle w:val="16"/>
          <w:rFonts w:hint="default" w:ascii="Calibri" w:hAnsi="Calibri" w:cs="Calibri"/>
          <w:b w:val="0"/>
          <w:bCs/>
          <w:sz w:val="21"/>
          <w:szCs w:val="21"/>
        </w:rPr>
        <w:t>Supplementary table</w:t>
      </w:r>
      <w:bookmarkEnd w:id="18"/>
      <w:bookmarkEnd w:id="19"/>
      <w:bookmarkEnd w:id="20"/>
      <w:bookmarkStart w:id="34" w:name="_Toc19271"/>
      <w:bookmarkStart w:id="35" w:name="_Toc21221"/>
      <w:bookmarkStart w:id="36" w:name="_Toc31408"/>
      <w:bookmarkStart w:id="37" w:name="_Toc470944107"/>
      <w:r>
        <w:rPr>
          <w:rStyle w:val="16"/>
          <w:rFonts w:hint="default" w:ascii="Calibri" w:hAnsi="Calibri" w:cs="Calibri"/>
          <w:b w:val="0"/>
          <w:bCs/>
          <w:sz w:val="21"/>
          <w:szCs w:val="21"/>
          <w:lang w:val="en-US" w:eastAsia="zh-CN"/>
        </w:rPr>
        <w:t>s</w:t>
      </w:r>
    </w:p>
    <w:bookmarkEnd w:id="21"/>
    <w:bookmarkEnd w:id="22"/>
    <w:bookmarkEnd w:id="23"/>
    <w:bookmarkEnd w:id="24"/>
    <w:bookmarkEnd w:id="25"/>
    <w:bookmarkEnd w:id="26"/>
    <w:bookmarkEnd w:id="27"/>
    <w:bookmarkEnd w:id="28"/>
    <w:bookmarkEnd w:id="34"/>
    <w:bookmarkEnd w:id="35"/>
    <w:bookmarkEnd w:id="36"/>
    <w:bookmarkEnd w:id="37"/>
    <w:p>
      <w:pPr>
        <w:pStyle w:val="2"/>
        <w:bidi w:val="0"/>
        <w:rPr>
          <w:rFonts w:hint="default"/>
          <w:sz w:val="21"/>
          <w:szCs w:val="21"/>
          <w:lang w:val="en-US" w:eastAsia="zh-CN"/>
        </w:rPr>
      </w:pPr>
      <w:bookmarkStart w:id="38" w:name="_Toc29911"/>
      <w:bookmarkStart w:id="39" w:name="_Toc12339"/>
      <w:r>
        <w:rPr>
          <w:rFonts w:hint="default"/>
          <w:sz w:val="21"/>
          <w:szCs w:val="21"/>
        </w:rPr>
        <w:t xml:space="preserve">Table S1. The </w:t>
      </w:r>
      <w:r>
        <w:rPr>
          <w:rFonts w:hint="default"/>
          <w:sz w:val="21"/>
          <w:szCs w:val="21"/>
          <w:lang w:val="en-US" w:eastAsia="zh-CN"/>
        </w:rPr>
        <w:t xml:space="preserve">activities for YsADH and TkNOX in </w:t>
      </w:r>
      <w:bookmarkEnd w:id="38"/>
      <w:r>
        <w:rPr>
          <w:rFonts w:hint="default"/>
          <w:sz w:val="21"/>
          <w:szCs w:val="21"/>
          <w:lang w:val="en-US" w:eastAsia="zh-CN"/>
        </w:rPr>
        <w:t>the</w:t>
      </w:r>
      <w:r>
        <w:rPr>
          <w:rFonts w:hint="eastAsia"/>
          <w:sz w:val="21"/>
          <w:szCs w:val="21"/>
          <w:lang w:val="en-US" w:eastAsia="zh-CN"/>
        </w:rPr>
        <w:t xml:space="preserve"> cell-free extracts of </w:t>
      </w:r>
      <w:bookmarkStart w:id="70" w:name="_GoBack"/>
      <w:bookmarkEnd w:id="70"/>
      <w:r>
        <w:rPr>
          <w:rFonts w:hint="default"/>
          <w:sz w:val="21"/>
          <w:szCs w:val="21"/>
          <w:lang w:val="en-US" w:eastAsia="zh-CN"/>
        </w:rPr>
        <w:t>whole-cell catalysts</w:t>
      </w:r>
      <w:bookmarkEnd w:id="39"/>
    </w:p>
    <w:tbl>
      <w:tblPr>
        <w:tblStyle w:val="35"/>
        <w:tblW w:w="8000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6"/>
        <w:gridCol w:w="2400"/>
        <w:gridCol w:w="238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3216" w:type="dxa"/>
            <w:tcBorders>
              <w:top w:val="single" w:color="000000" w:sz="12" w:space="0"/>
              <w:bottom w:val="single" w:color="000000" w:sz="12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default" w:ascii="Calibri" w:hAnsi="Calibri" w:eastAsia="宋体" w:cs="Calibri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auto"/>
                <w:sz w:val="21"/>
                <w:szCs w:val="21"/>
                <w:lang w:val="en-US" w:eastAsia="zh-CN"/>
              </w:rPr>
              <w:t>The enzyme(s) expressed in the whole cell catalyst</w:t>
            </w:r>
          </w:p>
        </w:tc>
        <w:tc>
          <w:tcPr>
            <w:tcW w:w="240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default" w:ascii="Calibri" w:hAnsi="Calibri" w:eastAsia="宋体" w:cs="Calibri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auto"/>
                <w:sz w:val="21"/>
                <w:szCs w:val="21"/>
                <w:lang w:val="en-US" w:eastAsia="zh-CN"/>
              </w:rPr>
              <w:t>YsADH activity (U/g)</w:t>
            </w:r>
          </w:p>
        </w:tc>
        <w:tc>
          <w:tcPr>
            <w:tcW w:w="2384" w:type="dxa"/>
            <w:tcBorders>
              <w:top w:val="single" w:color="000000" w:sz="12" w:space="0"/>
              <w:left w:val="nil"/>
              <w:bottom w:val="single" w:color="000000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auto"/>
              <w:rPr>
                <w:rFonts w:hint="default" w:ascii="Calibri" w:hAnsi="Calibri" w:eastAsia="宋体" w:cs="Calibri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auto"/>
                <w:sz w:val="21"/>
                <w:szCs w:val="21"/>
                <w:lang w:val="en-US" w:eastAsia="zh-CN"/>
              </w:rPr>
              <w:t>TkNOX activity (U/g)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3216" w:type="dxa"/>
            <w:tcBorders>
              <w:top w:val="single" w:color="000000" w:sz="12" w:space="0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宋体" w:cs="Calibri"/>
                <w:b w:val="0"/>
                <w:bCs w:val="0"/>
                <w:i w:val="0"/>
                <w:i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i w:val="0"/>
                <w:i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YsADH</w:t>
            </w:r>
          </w:p>
        </w:tc>
        <w:tc>
          <w:tcPr>
            <w:tcW w:w="2400" w:type="dxa"/>
            <w:tcBorders>
              <w:top w:val="single" w:color="000000" w:sz="12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宋体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3568</w:t>
            </w:r>
            <w:r>
              <w:rPr>
                <w:rFonts w:hint="default" w:ascii="Calibri" w:hAnsi="Calibri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± 102</w:t>
            </w:r>
          </w:p>
        </w:tc>
        <w:tc>
          <w:tcPr>
            <w:tcW w:w="2384" w:type="dxa"/>
            <w:tcBorders>
              <w:top w:val="single" w:color="000000" w:sz="12" w:space="0"/>
              <w:left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宋体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3216" w:type="dxa"/>
            <w:tcBorders>
              <w:top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宋体" w:cs="Calibri"/>
                <w:b w:val="0"/>
                <w:bCs w:val="0"/>
                <w:i w:val="0"/>
                <w:i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 w:val="0"/>
                <w:bCs w:val="0"/>
                <w:i w:val="0"/>
                <w:i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YsADH, TkNOX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宋体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 xml:space="preserve">650 </w:t>
            </w:r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± 22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宋体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 xml:space="preserve">1618 </w:t>
            </w:r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± 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3216" w:type="dxa"/>
            <w:tcBorders>
              <w:top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宋体" w:cs="Calibri"/>
                <w:b w:val="0"/>
                <w:bCs w:val="0"/>
                <w:i w:val="0"/>
                <w:iCs w:val="0"/>
                <w:color w:val="auto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Calibri" w:hAnsi="Calibri" w:cs="Calibri"/>
                <w:b w:val="0"/>
                <w:bCs w:val="0"/>
                <w:i w:val="0"/>
                <w:i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YsADH, TkNOX and VsHGB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宋体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613 ± 24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宋体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1542</w:t>
            </w:r>
            <w:r>
              <w:rPr>
                <w:rFonts w:hint="default" w:ascii="Calibri" w:hAnsi="Calibri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± 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3216" w:type="dxa"/>
            <w:tcBorders>
              <w:top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宋体" w:cs="Calibri"/>
                <w:b w:val="0"/>
                <w:bCs w:val="0"/>
                <w:i w:val="0"/>
                <w:i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 w:val="0"/>
                <w:bCs w:val="0"/>
                <w:i w:val="0"/>
                <w:i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YsADH-(GSG)-TkNOX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宋体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797 ± 31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宋体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1156</w:t>
            </w:r>
            <w:r>
              <w:rPr>
                <w:rFonts w:hint="default" w:ascii="Calibri" w:hAnsi="Calibri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± 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3216" w:type="dxa"/>
            <w:tcBorders>
              <w:top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宋体" w:cs="Calibri"/>
                <w:b w:val="0"/>
                <w:bCs w:val="0"/>
                <w:i w:val="0"/>
                <w:i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 w:val="0"/>
                <w:bCs w:val="0"/>
                <w:i w:val="0"/>
                <w:i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YsADH-(GSG)</w:t>
            </w:r>
            <w:r>
              <w:rPr>
                <w:rFonts w:hint="default" w:ascii="Calibri" w:hAnsi="Calibri" w:eastAsia="宋体" w:cs="Calibri"/>
                <w:b w:val="0"/>
                <w:bCs w:val="0"/>
                <w:i w:val="0"/>
                <w:iCs w:val="0"/>
                <w:color w:val="auto"/>
                <w:sz w:val="21"/>
                <w:szCs w:val="21"/>
                <w:shd w:val="clear" w:color="auto" w:fill="auto"/>
                <w:vertAlign w:val="subscript"/>
                <w:lang w:val="en-US" w:eastAsia="zh-CN"/>
              </w:rPr>
              <w:t>2</w:t>
            </w:r>
            <w:r>
              <w:rPr>
                <w:rFonts w:hint="default" w:ascii="Calibri" w:hAnsi="Calibri" w:eastAsia="宋体" w:cs="Calibri"/>
                <w:b w:val="0"/>
                <w:bCs w:val="0"/>
                <w:i w:val="0"/>
                <w:i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-TkNOX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宋体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783 ± 30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宋体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1128</w:t>
            </w:r>
            <w:r>
              <w:rPr>
                <w:rFonts w:hint="default" w:ascii="Calibri" w:hAnsi="Calibri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± 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3216" w:type="dxa"/>
            <w:tcBorders>
              <w:top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微软雅黑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Calibri" w:hAnsi="Calibri" w:eastAsia="微软雅黑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YsADH-(GGGGS)-TkNOX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宋体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Calibri" w:hAnsi="Calibri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 xml:space="preserve">780 </w:t>
            </w:r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± 19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宋体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Calibri" w:hAnsi="Calibri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 xml:space="preserve">1154 </w:t>
            </w:r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± 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3216" w:type="dxa"/>
            <w:tcBorders>
              <w:top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微软雅黑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Calibri" w:hAnsi="Calibri" w:eastAsia="微软雅黑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YsADH-(GGGGS)</w:t>
            </w:r>
            <w:r>
              <w:rPr>
                <w:rFonts w:hint="default" w:ascii="Calibri" w:hAnsi="Calibri" w:eastAsia="微软雅黑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Calibri" w:hAnsi="Calibri" w:eastAsia="微软雅黑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-TkNOX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宋体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Calibri" w:hAnsi="Calibri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 xml:space="preserve">775 </w:t>
            </w:r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± 16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宋体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Calibri" w:hAnsi="Calibri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 xml:space="preserve">1087 </w:t>
            </w:r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± 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3216" w:type="dxa"/>
            <w:tcBorders>
              <w:top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微软雅黑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Calibri" w:hAnsi="Calibri" w:eastAsia="微软雅黑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YsADH-(GSG)-TkNOX-(GSG)-VsHGB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宋体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Calibri" w:hAnsi="Calibri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 xml:space="preserve">801 </w:t>
            </w:r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± 28</w:t>
            </w:r>
          </w:p>
        </w:tc>
        <w:tc>
          <w:tcPr>
            <w:tcW w:w="2384" w:type="dxa"/>
            <w:tcBorders>
              <w:top w:val="nil"/>
              <w:left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宋体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Calibri" w:hAnsi="Calibri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 xml:space="preserve">983 </w:t>
            </w:r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± 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3216" w:type="dxa"/>
            <w:tcBorders>
              <w:top w:val="nil"/>
              <w:bottom w:val="single" w:color="000000" w:sz="12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微软雅黑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Calibri" w:hAnsi="Calibri" w:eastAsia="微软雅黑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VsHGB-(GSG)-TkNOX-(GSG)-YsADH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12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宋体" w:cs="Calibri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cs="Calibri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752</w:t>
            </w:r>
            <w:r>
              <w:rPr>
                <w:rFonts w:hint="default" w:ascii="Calibri" w:hAnsi="Calibri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± 17</w:t>
            </w:r>
          </w:p>
        </w:tc>
        <w:tc>
          <w:tcPr>
            <w:tcW w:w="2384" w:type="dxa"/>
            <w:tcBorders>
              <w:top w:val="nil"/>
              <w:left w:val="nil"/>
              <w:bottom w:val="single" w:color="000000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left"/>
              <w:textAlignment w:val="center"/>
              <w:rPr>
                <w:rFonts w:hint="default" w:ascii="Calibri" w:hAnsi="Calibri" w:eastAsia="宋体" w:cs="Calibri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cs="Calibri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1064</w:t>
            </w:r>
            <w:r>
              <w:rPr>
                <w:rFonts w:hint="default" w:ascii="Calibri" w:hAnsi="Calibri" w:cs="Calibri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± 33</w:t>
            </w:r>
          </w:p>
        </w:tc>
      </w:tr>
    </w:tbl>
    <w:p>
      <w:pPr>
        <w:rPr>
          <w:rFonts w:hint="default" w:ascii="Calibri" w:hAnsi="Calibri" w:eastAsia="宋体" w:cs="Calibri"/>
          <w:sz w:val="21"/>
          <w:szCs w:val="21"/>
          <w:lang w:val="en-US" w:eastAsia="zh-CN"/>
        </w:rPr>
      </w:pPr>
    </w:p>
    <w:p>
      <w:pPr>
        <w:jc w:val="left"/>
        <w:rPr>
          <w:rFonts w:hint="default" w:ascii="Calibri" w:hAnsi="Calibri" w:eastAsia="宋体" w:cs="Calibri"/>
          <w:sz w:val="21"/>
          <w:szCs w:val="21"/>
          <w:lang w:val="en-US" w:eastAsia="zh-CN"/>
        </w:rPr>
      </w:pPr>
    </w:p>
    <w:p>
      <w:pPr>
        <w:spacing w:line="360" w:lineRule="auto"/>
        <w:rPr>
          <w:rFonts w:hint="default" w:ascii="Calibri" w:hAnsi="Calibri" w:cs="Calibri"/>
          <w:sz w:val="21"/>
          <w:szCs w:val="21"/>
        </w:rPr>
      </w:pPr>
    </w:p>
    <w:p>
      <w:pPr>
        <w:spacing w:line="360" w:lineRule="auto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br w:type="page"/>
      </w:r>
    </w:p>
    <w:p>
      <w:pPr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t>Supplementary figures</w:t>
      </w:r>
      <w:bookmarkEnd w:id="29"/>
      <w:bookmarkEnd w:id="30"/>
      <w:bookmarkEnd w:id="31"/>
      <w:bookmarkEnd w:id="32"/>
    </w:p>
    <w:p>
      <w:pPr>
        <w:rPr>
          <w:rStyle w:val="21"/>
          <w:rFonts w:hint="default" w:ascii="Calibri" w:hAnsi="Calibri" w:cs="Calibri"/>
          <w:b w:val="0"/>
          <w:bCs/>
          <w:sz w:val="21"/>
          <w:szCs w:val="21"/>
        </w:rPr>
      </w:pPr>
    </w:p>
    <w:p>
      <w:pPr>
        <w:jc w:val="both"/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</w:pPr>
    </w:p>
    <w:p>
      <w:pPr>
        <w:jc w:val="both"/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</w:pPr>
    </w:p>
    <w:p>
      <w:pPr>
        <w:jc w:val="center"/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</w:pPr>
      <w:r>
        <w:rPr>
          <w:rFonts w:hint="default" w:ascii="Calibri" w:hAnsi="Calibri" w:eastAsia="宋体" w:cs="Calibri"/>
          <w:lang w:eastAsia="zh-CN"/>
        </w:rPr>
        <w:drawing>
          <wp:inline distT="0" distB="0" distL="114300" distR="114300">
            <wp:extent cx="3950335" cy="3101975"/>
            <wp:effectExtent l="0" t="0" r="0" b="9525"/>
            <wp:docPr id="4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50335" cy="310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</w:pPr>
      <w:bookmarkStart w:id="40" w:name="_Toc6085"/>
      <w:bookmarkStart w:id="41" w:name="_Toc19110"/>
      <w:r>
        <w:rPr>
          <w:rStyle w:val="16"/>
          <w:rFonts w:hint="default"/>
          <w:sz w:val="21"/>
          <w:szCs w:val="21"/>
        </w:rPr>
        <w:t>Figure S</w:t>
      </w:r>
      <w:r>
        <w:rPr>
          <w:rStyle w:val="16"/>
          <w:rFonts w:hint="eastAsia"/>
          <w:sz w:val="21"/>
          <w:szCs w:val="21"/>
          <w:lang w:val="en-US" w:eastAsia="zh-CN"/>
        </w:rPr>
        <w:t>1</w:t>
      </w:r>
      <w:r>
        <w:rPr>
          <w:rStyle w:val="16"/>
          <w:rFonts w:hint="default"/>
          <w:sz w:val="21"/>
          <w:szCs w:val="21"/>
        </w:rPr>
        <w:t xml:space="preserve">. </w:t>
      </w:r>
      <w:r>
        <w:rPr>
          <w:rStyle w:val="16"/>
          <w:rFonts w:hint="default"/>
          <w:sz w:val="21"/>
          <w:szCs w:val="21"/>
          <w:lang w:val="en-US"/>
        </w:rPr>
        <w:t>SDS-PAGE analyses of cell-free extract and cell</w:t>
      </w:r>
      <w:r>
        <w:rPr>
          <w:rStyle w:val="16"/>
          <w:rFonts w:hint="eastAsia"/>
          <w:sz w:val="21"/>
          <w:szCs w:val="21"/>
          <w:lang w:val="en-US" w:eastAsia="zh-CN"/>
        </w:rPr>
        <w:t xml:space="preserve">-debris </w:t>
      </w:r>
      <w:r>
        <w:rPr>
          <w:rStyle w:val="16"/>
          <w:rFonts w:hint="default"/>
          <w:sz w:val="21"/>
          <w:szCs w:val="21"/>
          <w:lang w:val="en-US"/>
        </w:rPr>
        <w:t>pellet from the same whole catalysts comprising YsADH, TkNOX and/or VsHGB</w:t>
      </w:r>
      <w:bookmarkEnd w:id="40"/>
      <w:r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  <w:t xml:space="preserve">. </w:t>
      </w:r>
      <w:r>
        <w:rPr>
          <w:rFonts w:hint="default"/>
          <w:lang w:val="en-US"/>
        </w:rPr>
        <w:t>Lane M, marker; Lane 1 and 2, cell-free extract and cell-debris pellet from the catalyst comprising YsADH</w:t>
      </w:r>
      <w:r>
        <w:rPr>
          <w:rFonts w:hint="eastAsia"/>
          <w:lang w:val="en-US" w:eastAsia="zh-CN"/>
        </w:rPr>
        <w:t xml:space="preserve"> (34 kDa)</w:t>
      </w:r>
      <w:r>
        <w:rPr>
          <w:rFonts w:hint="default"/>
          <w:lang w:val="en-US"/>
        </w:rPr>
        <w:t>; Lane 3 and 4, cell-free extract and cell-debris pellet from the catalyst comprising VsHGB</w:t>
      </w:r>
      <w:r>
        <w:rPr>
          <w:rFonts w:hint="eastAsia"/>
          <w:lang w:val="en-US" w:eastAsia="zh-CN"/>
        </w:rPr>
        <w:t xml:space="preserve"> (18 kDa)</w:t>
      </w:r>
      <w:r>
        <w:rPr>
          <w:rFonts w:hint="default"/>
          <w:lang w:val="en-US"/>
        </w:rPr>
        <w:t>; Lane 5 and 6, cell-free extract and cell-debris pellet from the catalyst comprising YsADH and TkNOX</w:t>
      </w:r>
      <w:r>
        <w:rPr>
          <w:rFonts w:hint="eastAsia"/>
          <w:lang w:val="en-US" w:eastAsia="zh-CN"/>
        </w:rPr>
        <w:t xml:space="preserve"> (44 kDa)</w:t>
      </w:r>
      <w:r>
        <w:rPr>
          <w:rFonts w:hint="default"/>
          <w:lang w:val="en-US"/>
        </w:rPr>
        <w:t>.</w:t>
      </w:r>
      <w:r>
        <w:rPr>
          <w:rFonts w:hint="eastAsia"/>
          <w:lang w:val="en-US" w:eastAsia="zh-CN"/>
        </w:rPr>
        <w:t xml:space="preserve"> The percentage of acrylamide in the resolving gel was 12%. The value in the bracket represents the apparent molecular mass of YsADH, TkNOX or VsHGB.</w:t>
      </w:r>
    </w:p>
    <w:p>
      <w:pPr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</w:pPr>
      <w:r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  <w:br w:type="page"/>
      </w:r>
    </w:p>
    <w:p>
      <w:pPr>
        <w:jc w:val="both"/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</w:pPr>
    </w:p>
    <w:bookmarkEnd w:id="41"/>
    <w:p>
      <w:pPr>
        <w:rPr>
          <w:rStyle w:val="21"/>
          <w:rFonts w:hint="default" w:ascii="Calibri" w:hAnsi="Calibri" w:cs="Calibri"/>
          <w:b w:val="0"/>
          <w:bCs/>
          <w:sz w:val="21"/>
          <w:szCs w:val="21"/>
        </w:rPr>
      </w:pPr>
    </w:p>
    <w:p>
      <w:pPr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宋体" w:cs="Calibri"/>
          <w:lang w:eastAsia="zh-CN"/>
        </w:rPr>
        <w:drawing>
          <wp:inline distT="0" distB="0" distL="114300" distR="114300">
            <wp:extent cx="4363085" cy="2597150"/>
            <wp:effectExtent l="0" t="0" r="0" b="6350"/>
            <wp:docPr id="3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63085" cy="259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Calibri" w:hAnsi="Calibri" w:cs="Calibri"/>
          <w:sz w:val="21"/>
          <w:szCs w:val="21"/>
        </w:rPr>
      </w:pPr>
    </w:p>
    <w:p>
      <w:pPr>
        <w:jc w:val="both"/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</w:pPr>
      <w:bookmarkStart w:id="42" w:name="_Toc7206"/>
      <w:bookmarkStart w:id="43" w:name="_Toc18733"/>
      <w:r>
        <w:rPr>
          <w:rStyle w:val="16"/>
          <w:rFonts w:hint="default"/>
          <w:sz w:val="21"/>
          <w:szCs w:val="21"/>
        </w:rPr>
        <w:t>Figure S</w:t>
      </w:r>
      <w:r>
        <w:rPr>
          <w:rStyle w:val="16"/>
          <w:rFonts w:hint="eastAsia"/>
          <w:sz w:val="21"/>
          <w:szCs w:val="21"/>
          <w:lang w:val="en-US" w:eastAsia="zh-CN"/>
        </w:rPr>
        <w:t>2</w:t>
      </w:r>
      <w:r>
        <w:rPr>
          <w:rStyle w:val="16"/>
          <w:rFonts w:hint="default"/>
          <w:sz w:val="21"/>
          <w:szCs w:val="21"/>
        </w:rPr>
        <w:t xml:space="preserve">. </w:t>
      </w:r>
      <w:bookmarkEnd w:id="42"/>
      <w:r>
        <w:rPr>
          <w:rStyle w:val="16"/>
          <w:rFonts w:hint="default"/>
          <w:sz w:val="21"/>
          <w:szCs w:val="21"/>
          <w:lang w:val="en-US"/>
        </w:rPr>
        <w:t>SDS-PAGE analyses of cell-free extract and cell</w:t>
      </w:r>
      <w:r>
        <w:rPr>
          <w:rStyle w:val="16"/>
          <w:rFonts w:hint="eastAsia"/>
          <w:sz w:val="21"/>
          <w:szCs w:val="21"/>
          <w:lang w:val="en-US" w:eastAsia="zh-CN"/>
        </w:rPr>
        <w:t xml:space="preserve">-debris </w:t>
      </w:r>
      <w:r>
        <w:rPr>
          <w:rStyle w:val="16"/>
          <w:rFonts w:hint="default"/>
          <w:sz w:val="21"/>
          <w:szCs w:val="21"/>
          <w:lang w:val="en-US"/>
        </w:rPr>
        <w:t>pellet from the same whole catalysts comprising</w:t>
      </w:r>
      <w:r>
        <w:rPr>
          <w:rStyle w:val="16"/>
          <w:rFonts w:hint="eastAsia"/>
          <w:sz w:val="21"/>
          <w:szCs w:val="21"/>
          <w:lang w:val="en-US"/>
        </w:rPr>
        <w:t xml:space="preserve"> </w:t>
      </w:r>
      <w:r>
        <w:rPr>
          <w:rStyle w:val="16"/>
          <w:rFonts w:hint="default"/>
          <w:sz w:val="21"/>
          <w:szCs w:val="21"/>
          <w:lang w:val="en-US"/>
        </w:rPr>
        <w:t>the fusion enzyme of YsADH</w:t>
      </w:r>
      <w:r>
        <w:rPr>
          <w:rStyle w:val="16"/>
          <w:rFonts w:hint="eastAsia"/>
          <w:sz w:val="21"/>
          <w:szCs w:val="21"/>
          <w:lang w:val="en-US"/>
        </w:rPr>
        <w:t xml:space="preserve"> </w:t>
      </w:r>
      <w:r>
        <w:rPr>
          <w:rStyle w:val="16"/>
          <w:rFonts w:hint="default"/>
          <w:sz w:val="21"/>
          <w:szCs w:val="21"/>
          <w:lang w:val="en-US"/>
        </w:rPr>
        <w:t>and TkNOX</w:t>
      </w:r>
      <w:bookmarkEnd w:id="43"/>
      <w:r>
        <w:rPr>
          <w:rStyle w:val="16"/>
          <w:rFonts w:hint="eastAsia"/>
          <w:sz w:val="21"/>
          <w:szCs w:val="21"/>
          <w:lang w:val="en-US" w:eastAsia="zh-CN"/>
        </w:rPr>
        <w:t xml:space="preserve"> (80 kDa)</w:t>
      </w:r>
      <w:r>
        <w:rPr>
          <w:rFonts w:hint="default" w:ascii="Calibri" w:hAnsi="Calibri" w:cs="Calibri"/>
          <w:sz w:val="21"/>
          <w:szCs w:val="21"/>
          <w:lang w:val="en-US" w:eastAsia="zh-CN"/>
        </w:rPr>
        <w:t>.</w:t>
      </w:r>
      <w:r>
        <w:rPr>
          <w:rFonts w:hint="default" w:ascii="Calibri" w:hAnsi="Calibri" w:eastAsia="宋体" w:cs="Calibri"/>
          <w:sz w:val="21"/>
          <w:szCs w:val="21"/>
          <w:lang w:val="en-US" w:eastAsia="zh-CN"/>
        </w:rPr>
        <w:t xml:space="preserve"> </w:t>
      </w:r>
      <w:r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  <w:t>Lane M, marker; Lane 1 and 2, cell-free extract and cell-debris pellet from the catalyst comprising YsADH-(GGGGS)-TkNOX; Lane 3 and 4, cell-free extract and cell-debris pellet from the catalyst comprising YsADH-(GSG)-TkNOX; Lane 5 and 6, cell-free extract and cell-debris pellet from the catalyst comprising YsADH-(GGGGS)</w:t>
      </w:r>
      <w:r>
        <w:rPr>
          <w:rStyle w:val="21"/>
          <w:rFonts w:hint="default" w:ascii="Calibri" w:hAnsi="Calibri" w:cs="Calibri"/>
          <w:b w:val="0"/>
          <w:bCs/>
          <w:sz w:val="21"/>
          <w:szCs w:val="21"/>
          <w:vertAlign w:val="subscript"/>
          <w:lang w:val="en-US"/>
        </w:rPr>
        <w:t>2</w:t>
      </w:r>
      <w:r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  <w:t>-TkNOX;</w:t>
      </w:r>
      <w:r>
        <w:rPr>
          <w:rStyle w:val="21"/>
          <w:rFonts w:hint="eastAsia" w:cs="Calibri"/>
          <w:b w:val="0"/>
          <w:bCs/>
          <w:sz w:val="21"/>
          <w:szCs w:val="21"/>
          <w:lang w:val="en-US"/>
        </w:rPr>
        <w:t xml:space="preserve"> </w:t>
      </w:r>
      <w:r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  <w:t>Lane 7 and 8, cell-free extract and cell pellet from the catalyst comprising YsADH-(GSG)</w:t>
      </w:r>
      <w:r>
        <w:rPr>
          <w:rStyle w:val="21"/>
          <w:rFonts w:hint="default" w:ascii="Calibri" w:hAnsi="Calibri" w:cs="Calibri"/>
          <w:b w:val="0"/>
          <w:bCs/>
          <w:sz w:val="21"/>
          <w:szCs w:val="21"/>
          <w:vertAlign w:val="subscript"/>
          <w:lang w:val="en-US"/>
        </w:rPr>
        <w:t>2</w:t>
      </w:r>
      <w:r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  <w:t>-TkNOX.</w:t>
      </w:r>
      <w:r>
        <w:rPr>
          <w:rStyle w:val="21"/>
          <w:rFonts w:hint="eastAsia" w:cs="Calibri"/>
          <w:b w:val="0"/>
          <w:bCs/>
          <w:sz w:val="21"/>
          <w:szCs w:val="21"/>
          <w:lang w:val="en-US"/>
        </w:rPr>
        <w:t xml:space="preserve"> </w:t>
      </w:r>
      <w:r>
        <w:rPr>
          <w:rFonts w:hint="eastAsia"/>
          <w:lang w:val="en-US" w:eastAsia="zh-CN"/>
        </w:rPr>
        <w:t>The percentage of acrylamide in the resolving gel was 12%. The value in the bracket represents the apparent molecular mass of the fusion enzyme.</w:t>
      </w:r>
    </w:p>
    <w:p>
      <w:pPr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</w:pPr>
    </w:p>
    <w:p>
      <w:pPr>
        <w:rPr>
          <w:rStyle w:val="21"/>
          <w:rFonts w:hint="default" w:ascii="Calibri" w:hAnsi="Calibri" w:cs="Calibri"/>
          <w:sz w:val="21"/>
          <w:szCs w:val="21"/>
        </w:rPr>
      </w:pPr>
    </w:p>
    <w:p>
      <w:pPr>
        <w:jc w:val="center"/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</w:pPr>
      <w:r>
        <w:rPr>
          <w:rFonts w:hint="default" w:ascii="Calibri" w:hAnsi="Calibri" w:eastAsia="宋体" w:cs="Calibri"/>
          <w:lang w:eastAsia="zh-CN"/>
        </w:rPr>
        <w:drawing>
          <wp:inline distT="0" distB="0" distL="114300" distR="114300">
            <wp:extent cx="3081655" cy="3041650"/>
            <wp:effectExtent l="0" t="0" r="4445" b="6350"/>
            <wp:docPr id="8" name="图片 1" descr="1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1改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81655" cy="304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Style w:val="21"/>
          <w:rFonts w:hint="default" w:ascii="Calibri" w:hAnsi="Calibri" w:cs="Calibri"/>
          <w:b w:val="0"/>
          <w:bCs/>
          <w:sz w:val="21"/>
          <w:szCs w:val="21"/>
        </w:rPr>
      </w:pPr>
    </w:p>
    <w:p>
      <w:pPr>
        <w:rPr>
          <w:rStyle w:val="21"/>
          <w:rFonts w:hint="default" w:ascii="Calibri" w:hAnsi="Calibri" w:cs="Calibri"/>
          <w:b/>
          <w:bCs w:val="0"/>
          <w:sz w:val="21"/>
          <w:szCs w:val="21"/>
          <w:lang w:val="en-US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bookmarkStart w:id="44" w:name="_Toc31881"/>
      <w:r>
        <w:rPr>
          <w:rStyle w:val="16"/>
          <w:rFonts w:hint="default"/>
          <w:sz w:val="21"/>
          <w:szCs w:val="21"/>
        </w:rPr>
        <w:t>Figure S</w:t>
      </w:r>
      <w:r>
        <w:rPr>
          <w:rStyle w:val="16"/>
          <w:rFonts w:hint="eastAsia"/>
          <w:sz w:val="21"/>
          <w:szCs w:val="21"/>
          <w:lang w:val="en-US" w:eastAsia="zh-CN"/>
        </w:rPr>
        <w:t>3</w:t>
      </w:r>
      <w:r>
        <w:rPr>
          <w:rStyle w:val="16"/>
          <w:rFonts w:hint="default"/>
          <w:sz w:val="21"/>
          <w:szCs w:val="21"/>
        </w:rPr>
        <w:t xml:space="preserve">. </w:t>
      </w:r>
      <w:r>
        <w:rPr>
          <w:rStyle w:val="16"/>
          <w:rFonts w:hint="default"/>
          <w:sz w:val="21"/>
          <w:szCs w:val="21"/>
          <w:lang w:val="en-US"/>
        </w:rPr>
        <w:t>SDS-PAGE analyses of cell-free extract and cell</w:t>
      </w:r>
      <w:r>
        <w:rPr>
          <w:rStyle w:val="16"/>
          <w:rFonts w:hint="eastAsia"/>
          <w:sz w:val="21"/>
          <w:szCs w:val="21"/>
          <w:lang w:val="en-US" w:eastAsia="zh-CN"/>
        </w:rPr>
        <w:t xml:space="preserve">-debris </w:t>
      </w:r>
      <w:r>
        <w:rPr>
          <w:rStyle w:val="16"/>
          <w:rFonts w:hint="default"/>
          <w:sz w:val="21"/>
          <w:szCs w:val="21"/>
          <w:lang w:val="en-US"/>
        </w:rPr>
        <w:t>pellet from the same whole catalysts comprising</w:t>
      </w:r>
      <w:r>
        <w:rPr>
          <w:rStyle w:val="16"/>
          <w:rFonts w:hint="eastAsia"/>
          <w:sz w:val="21"/>
          <w:szCs w:val="21"/>
          <w:lang w:val="en-US"/>
        </w:rPr>
        <w:t xml:space="preserve"> </w:t>
      </w:r>
      <w:r>
        <w:rPr>
          <w:rStyle w:val="16"/>
          <w:rFonts w:hint="default"/>
          <w:sz w:val="21"/>
          <w:szCs w:val="21"/>
          <w:lang w:val="en-US"/>
        </w:rPr>
        <w:t>the fusion enzyme of YsADH, TkNOX and VsHGB</w:t>
      </w:r>
      <w:bookmarkEnd w:id="44"/>
      <w:r>
        <w:rPr>
          <w:rStyle w:val="16"/>
          <w:rFonts w:hint="eastAsia"/>
          <w:sz w:val="21"/>
          <w:szCs w:val="21"/>
          <w:lang w:val="en-US" w:eastAsia="zh-CN"/>
        </w:rPr>
        <w:t xml:space="preserve"> (95 kDa)</w:t>
      </w:r>
      <w:r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  <w:t>.</w:t>
      </w:r>
      <w:r>
        <w:rPr>
          <w:rStyle w:val="21"/>
          <w:rFonts w:hint="eastAsia" w:cs="Calibri"/>
          <w:b w:val="0"/>
          <w:bCs/>
          <w:sz w:val="21"/>
          <w:szCs w:val="21"/>
          <w:lang w:val="en-US"/>
        </w:rPr>
        <w:t xml:space="preserve"> </w:t>
      </w:r>
      <w:r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  <w:t>Lane M, marker; Lane 1 and 2, cell-free extract and cell-debris pellet from the catalyst comprising YsADH-(GSG)-TkNOX-(GSG)-VsHGB; Lane 3 and 4, cell-free extract and cell-debris pellet from the catalyst comprising VsHGB-(GSG)-TkNOX-(GSG)-YsADH.</w:t>
      </w:r>
      <w:r>
        <w:rPr>
          <w:rStyle w:val="21"/>
          <w:rFonts w:hint="eastAsia" w:cs="Calibri"/>
          <w:b w:val="0"/>
          <w:bCs/>
          <w:sz w:val="21"/>
          <w:szCs w:val="21"/>
          <w:lang w:val="en-US"/>
        </w:rPr>
        <w:t xml:space="preserve"> </w:t>
      </w:r>
      <w:r>
        <w:rPr>
          <w:rFonts w:hint="eastAsia"/>
          <w:lang w:val="en-US" w:eastAsia="zh-CN"/>
        </w:rPr>
        <w:t>The percentage of acrylamide in the resolving gel was 12%. The value in the bracket represents the apparent molecular mass of the fusion enzyme.</w:t>
      </w:r>
    </w:p>
    <w:p>
      <w:pPr>
        <w:rPr>
          <w:rStyle w:val="21"/>
          <w:rFonts w:hint="default" w:ascii="Calibri" w:hAnsi="Calibri" w:cs="Calibri"/>
          <w:sz w:val="21"/>
          <w:szCs w:val="21"/>
        </w:rPr>
      </w:pPr>
    </w:p>
    <w:p>
      <w:pPr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</w:pPr>
      <w:bookmarkStart w:id="45" w:name="_Toc19437"/>
      <w:bookmarkStart w:id="46" w:name="_Toc6506"/>
      <w:r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  <w:t>atgtctattataaaaagctatgccgcaaaagaggcgggcagcgaactcgaactttacgaatatgatgccggtgaactcaggccggaagatgtcgaggtgcaggtcgactactgcggtatctgccattccgatctttccatgatcgacaacgaatggggattctctcagtatccgctggttgccgggcatgaagtgattggccgcgtggcggcgctcggcagtgcggcgcaggaaaaaggggtgaaagttggtcagcgcgtgggcgtaggctggacggcgcgcagctgtgggcattgcgatgcatgtatcagcggtaatcagattaactgcctggaaggcgccgtagccaccattctcaaccgtggcggttttgccgagaaactgcgggcagactggcagtgggtgatcccgcttccggagagcatcgatattgagtcggcaggtcctctgttatgcggcggtattacggtttttaaacctctgctgatgcaccacatcaccgcgaccagtcgcgtgggggtgatcggcatcggcggtcttgggcacattgccattaaactgttgcacgcaatgggctgtgaagtgaccgcattcagctcgaatccgtcgaaagaacaggaagtgctggcaatgggggcggataaagtcgtgaacagtcgcgatccagacgcgttaaatgcgctggcaggccagtttgatctcattatcaacaccgttaatgtcgacctcgactggcagccctactttgaagcgctggcctatggcggccatttccacaccgtcggcgcagtgatgaagccgctgccggttccggcgtttacattgattgctggcgatcgcagcatctccggctcagcaaccggtacgccctatgagctgcgcaaattgatgaagtttgccgggcgcagcaaggtctcgccgacgacagagctgttcccaatgtcgcaaatcaacgaagccatccagcacgttcgcgacggcaaagcgcgttaccgcgtggtactgcaagccgacttttga</w:t>
      </w:r>
    </w:p>
    <w:bookmarkEnd w:id="45"/>
    <w:bookmarkEnd w:id="46"/>
    <w:p>
      <w:pPr>
        <w:jc w:val="center"/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</w:pPr>
      <w:bookmarkStart w:id="47" w:name="_Toc3176"/>
      <w:bookmarkStart w:id="48" w:name="_Toc8390"/>
      <w:r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  <w:t>（a）</w:t>
      </w:r>
    </w:p>
    <w:bookmarkEnd w:id="47"/>
    <w:bookmarkEnd w:id="48"/>
    <w:p>
      <w:pPr>
        <w:jc w:val="center"/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</w:pPr>
    </w:p>
    <w:p>
      <w:pPr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</w:pPr>
      <w:bookmarkStart w:id="49" w:name="_Toc16624"/>
      <w:bookmarkStart w:id="50" w:name="_Toc6876"/>
      <w:r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  <w:t>Atggaacgtaaaaccgtggtggttattggtggtggtgcggccggtatgagcaccgcgagccgtgtgaaacgtctgaaaccggaatgggatgtgaaagtttttgaagcaaccgaatgggtgagccatgcaccgtgtggaattccgtatgttgttgagggaattagcccgaaagaaaaactgatgcattatccgccggaagtgtttattaaaaagcgtggtattgatctgcatctgaaagcagaagttattgaggttgaacagggtcgtgttcgtgtgcgtgaagaagatggagaaaaaacctatgaatgggattatctggtttttgcaaatggtgcaagcccgcaggttccggcaattgaaggtattgatctgccgggtgtttttaccgcagatctgccgccggatgcagttgcaattaccgaatatctggaaaaaaatccggttgaaaatgttgttgttattggtaccggttatattgcaattgaaatggcagaagcatttgttgaacgtggtaaaaatgttaccctgattggtcgtagcgaacgtgttctgcgtaaaacctttgataaagaaattaccgatattgttgaagaaaaactgcgtaatcatctgaatctgcgtctggaagaagttaccctgcgtattgaaggtaaagaacgtgttgaacgtgttgttaccgatgcaggtgaatatccggcagatctggttattgttgcaaccggtattaaaccgaataccgaactggcacgtggtctgggtgttcgtattggtgaaaccggtgcaatttggaccaatgatcgtatgcagaccagcgttgaaaatgtttatgcagcaggtgatgttgcagaaaccaaacatctgattaccggtcgtcgtgtttggatgccgctggcaccggcaggtaataaaatgggttatgttgcaggtagcaatattgcaggtaaagaaattcattttccgggtgttctgggtaccagcattaccaaatttctggatctggaaattggtaaaaccggtctgaccgaagcagaagcaatgaaagaaggttatgatgttcgtaccgcatttattaaagcaggtacccgtccgcattattatccgggtagcaaaaccatttggctgaaaggtgttgttgataatgaaaccaatcgtctgctgggtgttcaggcagttggtggtgatattctgccgcgtattgataccgcagcagcaatgattaccgcaggttttaccaccaaagatgttttttttaccgatctggcatacgctccgccgtttgcaccggtttgggatccgctgattgttctggcacgtgttctgaaattt</w:t>
      </w:r>
    </w:p>
    <w:bookmarkEnd w:id="49"/>
    <w:bookmarkEnd w:id="50"/>
    <w:p>
      <w:pPr>
        <w:jc w:val="center"/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</w:pPr>
      <w:bookmarkStart w:id="51" w:name="_Toc24773"/>
      <w:bookmarkStart w:id="52" w:name="_Toc15781"/>
      <w:r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  <w:t>(b)</w:t>
      </w:r>
    </w:p>
    <w:bookmarkEnd w:id="51"/>
    <w:bookmarkEnd w:id="52"/>
    <w:p>
      <w:pPr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</w:pPr>
    </w:p>
    <w:p>
      <w:pPr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</w:pPr>
      <w:bookmarkStart w:id="53" w:name="_Toc29020"/>
      <w:bookmarkStart w:id="54" w:name="_Toc22315"/>
      <w:r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  <w:t>atgctggaccagcagaccattaatattat1taaagccaccgttccggtgctgaaagaacacggggtgaccattaccaccaccttttataaaaacctgtttgccaaacacccggaagttcgccctctgtttgatatgggtcgccaggagagcctggaacagccaaaagcactggcaatgaccgttctggcagcagcacagaatatcgaaaacctgcctgcaatcctgcctgcagtgaaaaagattgccgtgaaacattgtcaggcaggagtcgcagcagcacactatcctattgtgggccaagaactgctgggtgcaatcaaagaagtcctgggtgatgcagcaacagatgatattctggacgcatggggtaaagcctatggagtgattgcagatgtttttattcaggtggaagcagatctgtacgctcaggcagttgaataa</w:t>
      </w:r>
    </w:p>
    <w:bookmarkEnd w:id="53"/>
    <w:bookmarkEnd w:id="54"/>
    <w:p>
      <w:pPr>
        <w:jc w:val="center"/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</w:pPr>
      <w:bookmarkStart w:id="55" w:name="_Toc1974"/>
      <w:bookmarkStart w:id="56" w:name="_Toc21616"/>
      <w:r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  <w:t>(c)</w:t>
      </w:r>
    </w:p>
    <w:bookmarkEnd w:id="55"/>
    <w:bookmarkEnd w:id="56"/>
    <w:p>
      <w:pPr>
        <w:rPr>
          <w:rStyle w:val="21"/>
          <w:rFonts w:hint="default" w:ascii="Calibri" w:hAnsi="Calibri" w:cs="Calibri"/>
          <w:sz w:val="21"/>
          <w:szCs w:val="21"/>
        </w:rPr>
      </w:pPr>
    </w:p>
    <w:p>
      <w:pPr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</w:pPr>
      <w:bookmarkStart w:id="57" w:name="_Toc31030"/>
      <w:r>
        <w:rPr>
          <w:rStyle w:val="16"/>
          <w:rFonts w:hint="default"/>
          <w:sz w:val="21"/>
          <w:szCs w:val="21"/>
        </w:rPr>
        <w:t>Figure S</w:t>
      </w:r>
      <w:r>
        <w:rPr>
          <w:rStyle w:val="16"/>
          <w:rFonts w:hint="eastAsia"/>
          <w:sz w:val="21"/>
          <w:szCs w:val="21"/>
          <w:lang w:val="en-US" w:eastAsia="zh-CN"/>
        </w:rPr>
        <w:t>4</w:t>
      </w:r>
      <w:r>
        <w:rPr>
          <w:rStyle w:val="16"/>
          <w:rFonts w:hint="default"/>
          <w:sz w:val="21"/>
          <w:szCs w:val="21"/>
        </w:rPr>
        <w:t xml:space="preserve">. </w:t>
      </w:r>
      <w:r>
        <w:rPr>
          <w:rStyle w:val="16"/>
          <w:rFonts w:hint="default"/>
          <w:sz w:val="21"/>
          <w:szCs w:val="21"/>
          <w:lang w:val="en-US"/>
        </w:rPr>
        <w:t>The codon-optimized nucleotide sequences encoding YsADH (a), TkNOX (b) and VsHGB (c).</w:t>
      </w:r>
      <w:bookmarkEnd w:id="57"/>
      <w:r>
        <w:rPr>
          <w:rStyle w:val="21"/>
          <w:rFonts w:hint="default" w:ascii="Calibri" w:hAnsi="Calibri" w:cs="Calibri"/>
          <w:sz w:val="21"/>
          <w:szCs w:val="21"/>
          <w:lang w:val="en-US"/>
        </w:rPr>
        <w:t xml:space="preserve"> </w:t>
      </w:r>
    </w:p>
    <w:p>
      <w:pPr>
        <w:jc w:val="center"/>
        <w:rPr>
          <w:rFonts w:hint="default" w:ascii="Calibri" w:hAnsi="Calibri" w:eastAsia="宋体" w:cs="Calibri"/>
          <w:sz w:val="21"/>
          <w:szCs w:val="21"/>
          <w:lang w:eastAsia="zh-CN"/>
        </w:rPr>
      </w:pPr>
    </w:p>
    <w:p>
      <w:pPr>
        <w:jc w:val="center"/>
        <w:rPr>
          <w:rStyle w:val="21"/>
          <w:rFonts w:hint="default" w:ascii="Calibri" w:hAnsi="Calibri" w:cs="Calibri"/>
          <w:sz w:val="21"/>
          <w:szCs w:val="21"/>
        </w:rPr>
      </w:pPr>
      <w:bookmarkStart w:id="58" w:name="_Toc7580"/>
      <w:bookmarkStart w:id="59" w:name="_Toc20202"/>
      <w:bookmarkStart w:id="60" w:name="_Toc17358"/>
      <w:bookmarkStart w:id="61" w:name="_Toc16485"/>
    </w:p>
    <w:bookmarkEnd w:id="58"/>
    <w:p>
      <w:pPr>
        <w:jc w:val="center"/>
        <w:rPr>
          <w:rStyle w:val="21"/>
          <w:rFonts w:hint="default" w:ascii="Calibri" w:hAnsi="Calibri" w:cs="Calibri"/>
          <w:sz w:val="21"/>
          <w:szCs w:val="21"/>
        </w:rPr>
      </w:pPr>
      <w:bookmarkStart w:id="62" w:name="_Toc5506"/>
      <w:bookmarkStart w:id="63" w:name="_Toc27400"/>
    </w:p>
    <w:p>
      <w:pPr>
        <w:jc w:val="center"/>
        <w:rPr>
          <w:rStyle w:val="21"/>
          <w:rFonts w:hint="default" w:ascii="Calibri" w:hAnsi="Calibri" w:cs="Calibri"/>
          <w:sz w:val="21"/>
          <w:szCs w:val="21"/>
        </w:rPr>
      </w:pPr>
      <w:bookmarkStart w:id="64" w:name="_Toc1747"/>
    </w:p>
    <w:p>
      <w:pPr>
        <w:jc w:val="center"/>
        <w:rPr>
          <w:rStyle w:val="21"/>
          <w:rFonts w:hint="default" w:ascii="Calibri" w:hAnsi="Calibri" w:cs="Calibri"/>
          <w:sz w:val="21"/>
          <w:szCs w:val="21"/>
        </w:rPr>
      </w:pPr>
      <w:r>
        <w:rPr>
          <w:rStyle w:val="21"/>
          <w:rFonts w:hint="default" w:ascii="Calibri" w:hAnsi="Calibri" w:cs="Calibri"/>
          <w:sz w:val="21"/>
          <w:szCs w:val="21"/>
        </w:rPr>
        <w:drawing>
          <wp:inline distT="0" distB="0" distL="114300" distR="114300">
            <wp:extent cx="5271770" cy="5733415"/>
            <wp:effectExtent l="0" t="0" r="11430" b="6985"/>
            <wp:docPr id="9" name="图片 9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73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62"/>
    <w:bookmarkEnd w:id="63"/>
    <w:bookmarkEnd w:id="64"/>
    <w:p>
      <w:pPr>
        <w:rPr>
          <w:rFonts w:hint="eastAsia" w:eastAsia="宋体"/>
          <w:lang w:val="en-US" w:eastAsia="zh-CN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bookmarkStart w:id="65" w:name="_Toc30819"/>
      <w:bookmarkStart w:id="66" w:name="_Toc14738"/>
      <w:r>
        <w:rPr>
          <w:rStyle w:val="16"/>
          <w:rFonts w:hint="default"/>
          <w:sz w:val="21"/>
          <w:szCs w:val="21"/>
        </w:rPr>
        <w:t>Figure S</w:t>
      </w:r>
      <w:r>
        <w:rPr>
          <w:rStyle w:val="16"/>
          <w:rFonts w:hint="eastAsia"/>
          <w:sz w:val="21"/>
          <w:szCs w:val="21"/>
          <w:lang w:val="en-US" w:eastAsia="zh-CN"/>
        </w:rPr>
        <w:t>5</w:t>
      </w:r>
      <w:r>
        <w:rPr>
          <w:rStyle w:val="16"/>
          <w:rFonts w:hint="default"/>
          <w:sz w:val="21"/>
          <w:szCs w:val="21"/>
        </w:rPr>
        <w:t xml:space="preserve">. </w:t>
      </w:r>
      <w:r>
        <w:rPr>
          <w:rStyle w:val="16"/>
          <w:rFonts w:hint="default"/>
          <w:sz w:val="21"/>
          <w:szCs w:val="21"/>
          <w:lang w:val="en-US"/>
        </w:rPr>
        <w:t>The construction of the pACYCDuet1-</w:t>
      </w:r>
      <w:r>
        <w:rPr>
          <w:rStyle w:val="16"/>
          <w:rFonts w:hint="default"/>
          <w:i/>
          <w:iCs/>
          <w:sz w:val="21"/>
          <w:szCs w:val="21"/>
          <w:lang w:val="en-US"/>
        </w:rPr>
        <w:t>YsADH</w:t>
      </w:r>
      <w:r>
        <w:rPr>
          <w:rStyle w:val="16"/>
          <w:rFonts w:hint="default"/>
          <w:sz w:val="21"/>
          <w:szCs w:val="21"/>
          <w:lang w:val="en-US"/>
        </w:rPr>
        <w:t>-(GSG)-</w:t>
      </w:r>
      <w:r>
        <w:rPr>
          <w:rStyle w:val="16"/>
          <w:rFonts w:hint="default"/>
          <w:i/>
          <w:iCs/>
          <w:sz w:val="21"/>
          <w:szCs w:val="21"/>
          <w:lang w:val="en-US"/>
        </w:rPr>
        <w:t>TkNOX</w:t>
      </w:r>
      <w:r>
        <w:rPr>
          <w:rStyle w:val="16"/>
          <w:rFonts w:hint="default"/>
          <w:sz w:val="21"/>
          <w:szCs w:val="21"/>
          <w:lang w:val="en-US"/>
        </w:rPr>
        <w:t>.</w:t>
      </w:r>
      <w:bookmarkEnd w:id="65"/>
      <w:r>
        <w:rPr>
          <w:rStyle w:val="21"/>
          <w:rFonts w:hint="default" w:ascii="Calibri" w:hAnsi="Calibri" w:cs="Calibri"/>
          <w:sz w:val="21"/>
          <w:szCs w:val="21"/>
          <w:lang w:val="en-US"/>
        </w:rPr>
        <w:t xml:space="preserve"> </w:t>
      </w:r>
      <w:bookmarkEnd w:id="59"/>
      <w:bookmarkEnd w:id="60"/>
      <w:r>
        <w:rPr>
          <w:rFonts w:hint="default"/>
          <w:lang w:val="en-US"/>
        </w:rPr>
        <w:t xml:space="preserve">The primer </w:t>
      </w:r>
      <w:r>
        <w:rPr>
          <w:rFonts w:hint="default"/>
        </w:rPr>
        <w:t>pACYCDuet1-R2</w:t>
      </w:r>
      <w:r>
        <w:rPr>
          <w:rFonts w:hint="default"/>
          <w:lang w:eastAsia="zh-CN"/>
        </w:rPr>
        <w:t>：</w:t>
      </w:r>
      <w:r>
        <w:rPr>
          <w:rFonts w:hint="default"/>
          <w:lang w:val="en-US" w:eastAsia="zh-CN"/>
        </w:rPr>
        <w:t>5’-</w:t>
      </w:r>
      <w:r>
        <w:rPr>
          <w:rFonts w:hint="default"/>
        </w:rPr>
        <w:t>TGCGGCCGCATAA</w:t>
      </w:r>
      <w:r>
        <w:rPr>
          <w:rFonts w:hint="default"/>
          <w:lang w:val="en-US" w:eastAsia="zh-CN"/>
        </w:rPr>
        <w:t xml:space="preserve">ATGTCTA-3’; </w:t>
      </w:r>
      <w:r>
        <w:rPr>
          <w:rFonts w:hint="default"/>
        </w:rPr>
        <w:t>pACYCDuet1-</w:t>
      </w:r>
      <w:r>
        <w:rPr>
          <w:rFonts w:hint="default"/>
          <w:lang w:val="en-US" w:eastAsia="zh-CN"/>
        </w:rPr>
        <w:t>F</w:t>
      </w:r>
      <w:r>
        <w:rPr>
          <w:rFonts w:hint="default"/>
        </w:rPr>
        <w:t>2</w:t>
      </w:r>
      <w:r>
        <w:rPr>
          <w:rFonts w:hint="default"/>
          <w:lang w:val="en-US" w:eastAsia="zh-CN"/>
        </w:rPr>
        <w:t>：5’-TATATCTCCTTATTAAAGTTAAACAAAAAATTTC-3’</w:t>
      </w:r>
      <w:r>
        <w:rPr>
          <w:rFonts w:hint="default"/>
          <w:lang w:val="en-US"/>
        </w:rPr>
        <w:t>.</w:t>
      </w:r>
      <w:r>
        <w:rPr>
          <w:rFonts w:hint="eastAsia"/>
          <w:lang w:val="en-US"/>
        </w:rPr>
        <w:t xml:space="preserve"> </w:t>
      </w:r>
      <w:r>
        <w:rPr>
          <w:rFonts w:hint="default"/>
          <w:lang w:val="en-US"/>
        </w:rPr>
        <w:t>Other primers were summarized in Table 3</w:t>
      </w:r>
      <w:r>
        <w:rPr>
          <w:rFonts w:hint="eastAsia"/>
          <w:lang w:val="en-US" w:eastAsia="zh-CN"/>
        </w:rPr>
        <w:t>.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Calibri" w:hAnsi="Calibri" w:cs="Calibri"/>
          <w:b w:val="0"/>
          <w:bCs w:val="0"/>
          <w:sz w:val="21"/>
          <w:szCs w:val="21"/>
          <w:lang w:val="en-US" w:eastAsia="zh-CN"/>
        </w:rPr>
      </w:pPr>
      <w:bookmarkStart w:id="67" w:name="_Toc16967"/>
      <w:r>
        <w:rPr>
          <w:rFonts w:hint="eastAsia" w:eastAsia="宋体"/>
          <w:sz w:val="21"/>
          <w:szCs w:val="21"/>
          <w:lang w:eastAsia="zh-CN"/>
        </w:rPr>
        <w:drawing>
          <wp:inline distT="0" distB="0" distL="114300" distR="114300">
            <wp:extent cx="5263515" cy="5217795"/>
            <wp:effectExtent l="0" t="0" r="6985" b="1905"/>
            <wp:docPr id="11" name="图片 1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5217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sz w:val="21"/>
          <w:szCs w:val="21"/>
        </w:rPr>
        <w:t>Figure S</w:t>
      </w:r>
      <w:r>
        <w:rPr>
          <w:rFonts w:hint="eastAsia"/>
          <w:sz w:val="21"/>
          <w:szCs w:val="21"/>
          <w:lang w:val="en-US" w:eastAsia="zh-CN"/>
        </w:rPr>
        <w:t>6</w:t>
      </w:r>
      <w:r>
        <w:rPr>
          <w:rFonts w:hint="default"/>
          <w:sz w:val="21"/>
          <w:szCs w:val="21"/>
        </w:rPr>
        <w:t xml:space="preserve">. </w:t>
      </w:r>
      <w:r>
        <w:rPr>
          <w:rFonts w:hint="default"/>
          <w:sz w:val="21"/>
          <w:szCs w:val="21"/>
          <w:lang w:val="en-US"/>
        </w:rPr>
        <w:t>The construction of the pACYCDuet1-</w:t>
      </w:r>
      <w:r>
        <w:rPr>
          <w:rFonts w:hint="default"/>
          <w:i/>
          <w:iCs/>
          <w:sz w:val="21"/>
          <w:szCs w:val="21"/>
          <w:lang w:val="en-US"/>
        </w:rPr>
        <w:t>YsADH</w:t>
      </w:r>
      <w:r>
        <w:rPr>
          <w:rFonts w:hint="default"/>
          <w:sz w:val="21"/>
          <w:szCs w:val="21"/>
          <w:lang w:val="en-US"/>
        </w:rPr>
        <w:t>-(GSG)-</w:t>
      </w:r>
      <w:r>
        <w:rPr>
          <w:rFonts w:hint="default"/>
          <w:i/>
          <w:iCs/>
          <w:sz w:val="21"/>
          <w:szCs w:val="21"/>
          <w:lang w:val="en-US"/>
        </w:rPr>
        <w:t>TkNOX</w:t>
      </w:r>
      <w:r>
        <w:rPr>
          <w:rFonts w:hint="default"/>
          <w:sz w:val="21"/>
          <w:szCs w:val="21"/>
          <w:lang w:val="en-US"/>
        </w:rPr>
        <w:t>-</w:t>
      </w:r>
      <w:r>
        <w:rPr>
          <w:rFonts w:hint="default"/>
          <w:sz w:val="21"/>
          <w:szCs w:val="21"/>
          <w:lang w:val="en-US" w:eastAsia="zh-CN"/>
        </w:rPr>
        <w:t>(GSG)-</w:t>
      </w:r>
      <w:r>
        <w:rPr>
          <w:rFonts w:hint="default"/>
          <w:i/>
          <w:iCs/>
          <w:sz w:val="21"/>
          <w:szCs w:val="21"/>
          <w:lang w:val="en-US" w:eastAsia="zh-CN"/>
        </w:rPr>
        <w:t>VsHGB</w:t>
      </w:r>
      <w:r>
        <w:rPr>
          <w:rFonts w:hint="default"/>
          <w:sz w:val="21"/>
          <w:szCs w:val="21"/>
          <w:lang w:val="en-US" w:eastAsia="zh-CN"/>
        </w:rPr>
        <w:t>.</w:t>
      </w:r>
      <w:bookmarkEnd w:id="67"/>
      <w:r>
        <w:rPr>
          <w:rFonts w:hint="default"/>
          <w:sz w:val="21"/>
          <w:szCs w:val="21"/>
          <w:lang w:val="en-US" w:eastAsia="zh-CN"/>
        </w:rPr>
        <w:t xml:space="preserve"> </w:t>
      </w:r>
      <w:r>
        <w:rPr>
          <w:rFonts w:hint="default" w:ascii="Calibri" w:hAnsi="Calibri" w:cs="Calibri"/>
          <w:b w:val="0"/>
          <w:bCs w:val="0"/>
          <w:sz w:val="21"/>
          <w:szCs w:val="21"/>
          <w:lang w:val="en-US" w:eastAsia="zh-CN"/>
        </w:rPr>
        <w:t>The primer pACYCDuet1-R3：5’-TGCGGCCGCATAAATGTCTA-3’</w:t>
      </w:r>
      <w:r>
        <w:rPr>
          <w:rFonts w:hint="eastAsia" w:cs="Calibri"/>
          <w:b w:val="0"/>
          <w:bCs w:val="0"/>
          <w:sz w:val="21"/>
          <w:szCs w:val="21"/>
          <w:lang w:val="en-US" w:eastAsia="zh-CN"/>
        </w:rPr>
        <w:t xml:space="preserve">; </w:t>
      </w:r>
      <w:r>
        <w:rPr>
          <w:rFonts w:hint="default" w:ascii="Calibri" w:hAnsi="Calibri" w:cs="Calibri"/>
          <w:b w:val="0"/>
          <w:bCs w:val="0"/>
          <w:sz w:val="21"/>
          <w:szCs w:val="21"/>
          <w:lang w:val="en-US" w:eastAsia="zh-CN"/>
        </w:rPr>
        <w:t>pACYCDuet1-F3：5’-ATATCTCCTTATTAAAGTTAAACAAATTATTCAAC-3’. Other primers were summarized in Table 3.</w:t>
      </w:r>
    </w:p>
    <w:p>
      <w:pPr>
        <w:jc w:val="center"/>
        <w:rPr>
          <w:rFonts w:hint="default" w:ascii="Calibri" w:hAnsi="Calibri" w:eastAsia="TimesNewRomanPSMT" w:cs="Calibri"/>
          <w:color w:val="000000"/>
          <w:kern w:val="0"/>
          <w:sz w:val="21"/>
          <w:szCs w:val="21"/>
          <w:lang w:val="en-US" w:eastAsia="zh-CN" w:bidi="ar"/>
        </w:rPr>
      </w:pPr>
    </w:p>
    <w:p>
      <w:pPr>
        <w:jc w:val="center"/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</w:pPr>
    </w:p>
    <w:bookmarkEnd w:id="33"/>
    <w:bookmarkEnd w:id="61"/>
    <w:bookmarkEnd w:id="66"/>
    <w:p>
      <w:pPr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br w:type="page"/>
      </w: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rPr>
          <w:rFonts w:hint="default" w:ascii="Calibri" w:hAnsi="Calibri" w:cs="Calibri"/>
          <w:sz w:val="21"/>
          <w:szCs w:val="21"/>
        </w:rPr>
      </w:pPr>
    </w:p>
    <w:p>
      <w:pPr>
        <w:jc w:val="center"/>
        <w:rPr>
          <w:rFonts w:hint="default" w:cs="Calibri"/>
          <w:sz w:val="21"/>
          <w:szCs w:val="21"/>
          <w:lang w:val="en-US" w:eastAsia="zh-CN"/>
        </w:rPr>
      </w:pPr>
      <w:r>
        <w:rPr>
          <w:rFonts w:hint="eastAsia" w:ascii="Calibri" w:hAnsi="Calibri" w:eastAsia="宋体" w:cs="Calibri"/>
          <w:sz w:val="21"/>
          <w:szCs w:val="21"/>
          <w:lang w:eastAsia="zh-CN"/>
        </w:rPr>
        <w:drawing>
          <wp:inline distT="0" distB="0" distL="114300" distR="114300">
            <wp:extent cx="3434080" cy="2575560"/>
            <wp:effectExtent l="0" t="0" r="2540" b="7620"/>
            <wp:docPr id="7" name="图片 7" descr="图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434080" cy="257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cs="Calibri"/>
          <w:sz w:val="21"/>
          <w:szCs w:val="21"/>
          <w:lang w:val="en-US" w:eastAsia="zh-CN"/>
        </w:rPr>
        <w:t xml:space="preserve">     </w:t>
      </w:r>
      <w:r>
        <w:rPr>
          <w:rFonts w:hint="default" w:cs="Calibri"/>
          <w:sz w:val="21"/>
          <w:szCs w:val="21"/>
          <w:lang w:val="en-US" w:eastAsia="zh-CN"/>
        </w:rPr>
        <w:drawing>
          <wp:inline distT="0" distB="0" distL="114300" distR="114300">
            <wp:extent cx="2043430" cy="2155190"/>
            <wp:effectExtent l="0" t="0" r="1270" b="3810"/>
            <wp:docPr id="10" name="图片 10" descr="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43430" cy="2155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1785" w:leftChars="0" w:firstLine="0" w:firstLineChars="0"/>
        <w:jc w:val="left"/>
        <w:rPr>
          <w:rFonts w:hint="default" w:cs="Calibri"/>
          <w:sz w:val="21"/>
          <w:szCs w:val="21"/>
          <w:lang w:val="en-US" w:eastAsia="zh-CN"/>
        </w:rPr>
      </w:pPr>
      <w:r>
        <w:rPr>
          <w:rFonts w:hint="eastAsia" w:cs="Calibri"/>
          <w:sz w:val="21"/>
          <w:szCs w:val="21"/>
          <w:lang w:val="en-US" w:eastAsia="zh-CN"/>
        </w:rPr>
        <w:t xml:space="preserve">                                      (b)</w:t>
      </w:r>
    </w:p>
    <w:p>
      <w:pPr>
        <w:jc w:val="center"/>
        <w:rPr>
          <w:rFonts w:hint="default" w:ascii="Calibri" w:hAnsi="Calibri" w:cs="Calibri"/>
          <w:sz w:val="21"/>
          <w:szCs w:val="21"/>
        </w:rPr>
      </w:pPr>
    </w:p>
    <w:p>
      <w:pPr>
        <w:jc w:val="both"/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</w:pPr>
      <w:bookmarkStart w:id="68" w:name="_Toc29499"/>
      <w:bookmarkStart w:id="69" w:name="_Toc15394"/>
      <w:r>
        <w:rPr>
          <w:rStyle w:val="16"/>
          <w:rFonts w:hint="default"/>
          <w:sz w:val="21"/>
          <w:szCs w:val="21"/>
        </w:rPr>
        <w:t>Figure S</w:t>
      </w:r>
      <w:r>
        <w:rPr>
          <w:rStyle w:val="16"/>
          <w:rFonts w:hint="default"/>
          <w:sz w:val="21"/>
          <w:szCs w:val="21"/>
          <w:lang w:val="en-US"/>
        </w:rPr>
        <w:t>7</w:t>
      </w:r>
      <w:r>
        <w:rPr>
          <w:rStyle w:val="16"/>
          <w:rFonts w:hint="default"/>
          <w:sz w:val="21"/>
          <w:szCs w:val="21"/>
        </w:rPr>
        <w:t xml:space="preserve">. </w:t>
      </w:r>
      <w:r>
        <w:rPr>
          <w:rStyle w:val="16"/>
          <w:rFonts w:hint="default"/>
          <w:sz w:val="21"/>
          <w:szCs w:val="21"/>
          <w:lang w:val="en-US"/>
        </w:rPr>
        <w:t xml:space="preserve">The reactor with </w:t>
      </w:r>
      <w:r>
        <w:rPr>
          <w:rStyle w:val="16"/>
          <w:rFonts w:hint="eastAsia"/>
          <w:sz w:val="21"/>
          <w:szCs w:val="21"/>
          <w:lang w:val="en-US" w:eastAsia="zh-CN"/>
        </w:rPr>
        <w:t>hot plate/magnetic stirrer</w:t>
      </w:r>
      <w:r>
        <w:rPr>
          <w:rStyle w:val="16"/>
          <w:rFonts w:hint="default"/>
          <w:sz w:val="21"/>
          <w:szCs w:val="21"/>
          <w:lang w:val="en-US"/>
        </w:rPr>
        <w:t xml:space="preserve"> (a) and its key components (b)</w:t>
      </w:r>
      <w:bookmarkEnd w:id="68"/>
      <w:r>
        <w:rPr>
          <w:rStyle w:val="21"/>
          <w:rFonts w:hint="default" w:ascii="Calibri" w:hAnsi="Calibri" w:cs="Calibri"/>
          <w:sz w:val="21"/>
          <w:szCs w:val="21"/>
          <w:lang w:val="en-US"/>
        </w:rPr>
        <w:t xml:space="preserve">. </w:t>
      </w:r>
      <w:r>
        <w:rPr>
          <w:rStyle w:val="21"/>
          <w:rFonts w:hint="default" w:ascii="Calibri" w:hAnsi="Calibri" w:cs="Calibri"/>
          <w:b w:val="0"/>
          <w:bCs/>
          <w:sz w:val="21"/>
          <w:szCs w:val="21"/>
          <w:lang w:val="en-US"/>
        </w:rPr>
        <w:t xml:space="preserve">The three-neck flask with magnetic stirring bar was used as reaction vessel and the balloon was used to fill the atmosphere of reactor with oxygen. </w:t>
      </w:r>
    </w:p>
    <w:bookmarkEnd w:id="69"/>
    <w:p>
      <w:pPr>
        <w:rPr>
          <w:rFonts w:hint="default" w:ascii="Calibri" w:hAnsi="Calibri" w:cs="Calibri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</w:rPr>
      <w:t>11</w:t>
    </w:r>
    <w:r>
      <w:rPr>
        <w:rStyle w:val="13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8768AC0"/>
    <w:multiLevelType w:val="singleLevel"/>
    <w:tmpl w:val="88768AC0"/>
    <w:lvl w:ilvl="0" w:tentative="0">
      <w:start w:val="1"/>
      <w:numFmt w:val="lowerLetter"/>
      <w:suff w:val="space"/>
      <w:lvlText w:val="(%1)"/>
      <w:lvlJc w:val="left"/>
      <w:pPr>
        <w:ind w:left="1785" w:leftChars="0" w:firstLine="0" w:firstLineChars="0"/>
      </w:pPr>
    </w:lvl>
  </w:abstractNum>
  <w:abstractNum w:abstractNumId="1">
    <w:nsid w:val="250A245F"/>
    <w:multiLevelType w:val="multilevel"/>
    <w:tmpl w:val="250A245F"/>
    <w:lvl w:ilvl="0" w:tentative="0">
      <w:start w:val="1"/>
      <w:numFmt w:val="decimal"/>
      <w:pStyle w:val="36"/>
      <w:lvlText w:val="%1."/>
      <w:lvlJc w:val="left"/>
      <w:pPr>
        <w:ind w:left="780" w:hanging="42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8D30DC"/>
    <w:rsid w:val="00001449"/>
    <w:rsid w:val="00007989"/>
    <w:rsid w:val="00013C27"/>
    <w:rsid w:val="00014EF5"/>
    <w:rsid w:val="00017A5B"/>
    <w:rsid w:val="000208C7"/>
    <w:rsid w:val="0002217C"/>
    <w:rsid w:val="00022DDF"/>
    <w:rsid w:val="00022E43"/>
    <w:rsid w:val="000337B9"/>
    <w:rsid w:val="0003394B"/>
    <w:rsid w:val="00047572"/>
    <w:rsid w:val="0005259A"/>
    <w:rsid w:val="00057419"/>
    <w:rsid w:val="00070D10"/>
    <w:rsid w:val="000754D2"/>
    <w:rsid w:val="00080EDC"/>
    <w:rsid w:val="00081EA6"/>
    <w:rsid w:val="000C1F07"/>
    <w:rsid w:val="000D4AD9"/>
    <w:rsid w:val="000E0CD5"/>
    <w:rsid w:val="000E2E8C"/>
    <w:rsid w:val="000E6BE8"/>
    <w:rsid w:val="000E788E"/>
    <w:rsid w:val="000F01AD"/>
    <w:rsid w:val="000F3337"/>
    <w:rsid w:val="001053AF"/>
    <w:rsid w:val="00117489"/>
    <w:rsid w:val="00122F7D"/>
    <w:rsid w:val="00127EFB"/>
    <w:rsid w:val="00131E4E"/>
    <w:rsid w:val="00133EE6"/>
    <w:rsid w:val="0014371E"/>
    <w:rsid w:val="001446FC"/>
    <w:rsid w:val="00156389"/>
    <w:rsid w:val="00164614"/>
    <w:rsid w:val="00171014"/>
    <w:rsid w:val="00185A1E"/>
    <w:rsid w:val="00186A53"/>
    <w:rsid w:val="00191B11"/>
    <w:rsid w:val="00192A25"/>
    <w:rsid w:val="00193D6B"/>
    <w:rsid w:val="00196604"/>
    <w:rsid w:val="001A567D"/>
    <w:rsid w:val="001B0266"/>
    <w:rsid w:val="001C57F4"/>
    <w:rsid w:val="001C71F2"/>
    <w:rsid w:val="001D0BBB"/>
    <w:rsid w:val="001D44EF"/>
    <w:rsid w:val="001D5EA5"/>
    <w:rsid w:val="001E17CF"/>
    <w:rsid w:val="001E56FC"/>
    <w:rsid w:val="001E5E66"/>
    <w:rsid w:val="001E7842"/>
    <w:rsid w:val="001F0FF9"/>
    <w:rsid w:val="001F6C97"/>
    <w:rsid w:val="0020521A"/>
    <w:rsid w:val="002065F4"/>
    <w:rsid w:val="002125C6"/>
    <w:rsid w:val="002264FB"/>
    <w:rsid w:val="00226FC5"/>
    <w:rsid w:val="00230084"/>
    <w:rsid w:val="00252A10"/>
    <w:rsid w:val="002540AA"/>
    <w:rsid w:val="0025715D"/>
    <w:rsid w:val="0026019F"/>
    <w:rsid w:val="00262F4E"/>
    <w:rsid w:val="00272054"/>
    <w:rsid w:val="00273271"/>
    <w:rsid w:val="00280337"/>
    <w:rsid w:val="00294C75"/>
    <w:rsid w:val="00295132"/>
    <w:rsid w:val="00297921"/>
    <w:rsid w:val="002B198A"/>
    <w:rsid w:val="002B4F3E"/>
    <w:rsid w:val="002B5973"/>
    <w:rsid w:val="002B7DE5"/>
    <w:rsid w:val="002C07D4"/>
    <w:rsid w:val="002C08D9"/>
    <w:rsid w:val="002C5EF4"/>
    <w:rsid w:val="002E4B79"/>
    <w:rsid w:val="002F53AF"/>
    <w:rsid w:val="003039F6"/>
    <w:rsid w:val="003055DA"/>
    <w:rsid w:val="003065CE"/>
    <w:rsid w:val="003067CB"/>
    <w:rsid w:val="003122B4"/>
    <w:rsid w:val="0031608C"/>
    <w:rsid w:val="003247C1"/>
    <w:rsid w:val="00326BBF"/>
    <w:rsid w:val="00327E3B"/>
    <w:rsid w:val="00330AB3"/>
    <w:rsid w:val="0033143C"/>
    <w:rsid w:val="00332D98"/>
    <w:rsid w:val="00341664"/>
    <w:rsid w:val="00343A30"/>
    <w:rsid w:val="00354FD7"/>
    <w:rsid w:val="00362B32"/>
    <w:rsid w:val="00367B39"/>
    <w:rsid w:val="003810B9"/>
    <w:rsid w:val="0038276A"/>
    <w:rsid w:val="003829EC"/>
    <w:rsid w:val="00394239"/>
    <w:rsid w:val="003C43C5"/>
    <w:rsid w:val="003C712E"/>
    <w:rsid w:val="003D4CC1"/>
    <w:rsid w:val="003D78FD"/>
    <w:rsid w:val="003E2146"/>
    <w:rsid w:val="003E773A"/>
    <w:rsid w:val="003F2837"/>
    <w:rsid w:val="00412023"/>
    <w:rsid w:val="004177CF"/>
    <w:rsid w:val="00432577"/>
    <w:rsid w:val="00443C0F"/>
    <w:rsid w:val="00444135"/>
    <w:rsid w:val="004458EA"/>
    <w:rsid w:val="00446E49"/>
    <w:rsid w:val="0045656A"/>
    <w:rsid w:val="00484819"/>
    <w:rsid w:val="0048669C"/>
    <w:rsid w:val="004A2698"/>
    <w:rsid w:val="004B350C"/>
    <w:rsid w:val="004B7C69"/>
    <w:rsid w:val="004C0F18"/>
    <w:rsid w:val="004C2D24"/>
    <w:rsid w:val="004C2F8C"/>
    <w:rsid w:val="004D6301"/>
    <w:rsid w:val="004D766F"/>
    <w:rsid w:val="004E2043"/>
    <w:rsid w:val="004F12A9"/>
    <w:rsid w:val="004F6E15"/>
    <w:rsid w:val="004F70EC"/>
    <w:rsid w:val="005006D9"/>
    <w:rsid w:val="00500A34"/>
    <w:rsid w:val="005224F9"/>
    <w:rsid w:val="0052486E"/>
    <w:rsid w:val="00525DB0"/>
    <w:rsid w:val="00526CE3"/>
    <w:rsid w:val="0053278B"/>
    <w:rsid w:val="0053480A"/>
    <w:rsid w:val="00544BA4"/>
    <w:rsid w:val="00545B85"/>
    <w:rsid w:val="00550B42"/>
    <w:rsid w:val="00556C0F"/>
    <w:rsid w:val="00557D51"/>
    <w:rsid w:val="00565AF3"/>
    <w:rsid w:val="00586279"/>
    <w:rsid w:val="005868E9"/>
    <w:rsid w:val="00593CED"/>
    <w:rsid w:val="005A7683"/>
    <w:rsid w:val="005B0336"/>
    <w:rsid w:val="005B186E"/>
    <w:rsid w:val="005B4E30"/>
    <w:rsid w:val="005C293E"/>
    <w:rsid w:val="005D59D7"/>
    <w:rsid w:val="005E1B59"/>
    <w:rsid w:val="005E376D"/>
    <w:rsid w:val="005E51BB"/>
    <w:rsid w:val="005E6C76"/>
    <w:rsid w:val="005F2DD6"/>
    <w:rsid w:val="005F34BC"/>
    <w:rsid w:val="005F415F"/>
    <w:rsid w:val="0060130C"/>
    <w:rsid w:val="00603E1A"/>
    <w:rsid w:val="006040CA"/>
    <w:rsid w:val="00617E65"/>
    <w:rsid w:val="00625676"/>
    <w:rsid w:val="00633C9F"/>
    <w:rsid w:val="006461E2"/>
    <w:rsid w:val="00650EB3"/>
    <w:rsid w:val="00652711"/>
    <w:rsid w:val="00661665"/>
    <w:rsid w:val="00662720"/>
    <w:rsid w:val="00663106"/>
    <w:rsid w:val="006845BA"/>
    <w:rsid w:val="00693A3B"/>
    <w:rsid w:val="00694AA5"/>
    <w:rsid w:val="006959BD"/>
    <w:rsid w:val="006A261B"/>
    <w:rsid w:val="006A296C"/>
    <w:rsid w:val="006A4917"/>
    <w:rsid w:val="006C6E57"/>
    <w:rsid w:val="006F2455"/>
    <w:rsid w:val="006F4E75"/>
    <w:rsid w:val="006F6E32"/>
    <w:rsid w:val="00701250"/>
    <w:rsid w:val="00701F49"/>
    <w:rsid w:val="00702040"/>
    <w:rsid w:val="00704E5C"/>
    <w:rsid w:val="00712840"/>
    <w:rsid w:val="00714B1F"/>
    <w:rsid w:val="00720BC2"/>
    <w:rsid w:val="00721319"/>
    <w:rsid w:val="0072167C"/>
    <w:rsid w:val="007225BA"/>
    <w:rsid w:val="00722C5F"/>
    <w:rsid w:val="00732C56"/>
    <w:rsid w:val="007372B5"/>
    <w:rsid w:val="00740B9C"/>
    <w:rsid w:val="007420E8"/>
    <w:rsid w:val="007428E1"/>
    <w:rsid w:val="00743A5C"/>
    <w:rsid w:val="00760470"/>
    <w:rsid w:val="00761479"/>
    <w:rsid w:val="00763977"/>
    <w:rsid w:val="00763F4B"/>
    <w:rsid w:val="00774056"/>
    <w:rsid w:val="00774645"/>
    <w:rsid w:val="0078418B"/>
    <w:rsid w:val="007862C5"/>
    <w:rsid w:val="00790681"/>
    <w:rsid w:val="00792225"/>
    <w:rsid w:val="00792953"/>
    <w:rsid w:val="007A28C0"/>
    <w:rsid w:val="007A3A03"/>
    <w:rsid w:val="007B3073"/>
    <w:rsid w:val="007B39FD"/>
    <w:rsid w:val="007C283B"/>
    <w:rsid w:val="007C738F"/>
    <w:rsid w:val="007D00CA"/>
    <w:rsid w:val="007F362D"/>
    <w:rsid w:val="007F50F4"/>
    <w:rsid w:val="00807E64"/>
    <w:rsid w:val="00814B4B"/>
    <w:rsid w:val="00814CCE"/>
    <w:rsid w:val="00815F6E"/>
    <w:rsid w:val="00830157"/>
    <w:rsid w:val="008378F1"/>
    <w:rsid w:val="008402ED"/>
    <w:rsid w:val="008431DB"/>
    <w:rsid w:val="00843401"/>
    <w:rsid w:val="00843700"/>
    <w:rsid w:val="00857B83"/>
    <w:rsid w:val="00860198"/>
    <w:rsid w:val="0086476C"/>
    <w:rsid w:val="008763B9"/>
    <w:rsid w:val="008820A8"/>
    <w:rsid w:val="00882A7E"/>
    <w:rsid w:val="00882BAE"/>
    <w:rsid w:val="00883995"/>
    <w:rsid w:val="00890DDD"/>
    <w:rsid w:val="00892A83"/>
    <w:rsid w:val="008949F9"/>
    <w:rsid w:val="008A4E4A"/>
    <w:rsid w:val="008A6C92"/>
    <w:rsid w:val="008B0309"/>
    <w:rsid w:val="008C01C8"/>
    <w:rsid w:val="008C7F2D"/>
    <w:rsid w:val="008D186B"/>
    <w:rsid w:val="008D38BF"/>
    <w:rsid w:val="008F0F41"/>
    <w:rsid w:val="008F222F"/>
    <w:rsid w:val="008F38B8"/>
    <w:rsid w:val="00904D23"/>
    <w:rsid w:val="00910086"/>
    <w:rsid w:val="009146B1"/>
    <w:rsid w:val="00915F92"/>
    <w:rsid w:val="00920F3F"/>
    <w:rsid w:val="00923D7E"/>
    <w:rsid w:val="00926B60"/>
    <w:rsid w:val="0092748F"/>
    <w:rsid w:val="009454D9"/>
    <w:rsid w:val="009506C5"/>
    <w:rsid w:val="009509A1"/>
    <w:rsid w:val="0095677B"/>
    <w:rsid w:val="00957FCC"/>
    <w:rsid w:val="0096050A"/>
    <w:rsid w:val="009627CB"/>
    <w:rsid w:val="00962D0A"/>
    <w:rsid w:val="0096550E"/>
    <w:rsid w:val="009760E2"/>
    <w:rsid w:val="00982893"/>
    <w:rsid w:val="00983011"/>
    <w:rsid w:val="00983D09"/>
    <w:rsid w:val="00987C00"/>
    <w:rsid w:val="009A26A9"/>
    <w:rsid w:val="009A297B"/>
    <w:rsid w:val="009B1A8B"/>
    <w:rsid w:val="009D3E66"/>
    <w:rsid w:val="009D49E8"/>
    <w:rsid w:val="009E0FB2"/>
    <w:rsid w:val="009F19F0"/>
    <w:rsid w:val="009F2015"/>
    <w:rsid w:val="00A02667"/>
    <w:rsid w:val="00A043B4"/>
    <w:rsid w:val="00A05071"/>
    <w:rsid w:val="00A05623"/>
    <w:rsid w:val="00A13012"/>
    <w:rsid w:val="00A172D9"/>
    <w:rsid w:val="00A24347"/>
    <w:rsid w:val="00A2580B"/>
    <w:rsid w:val="00A37DFB"/>
    <w:rsid w:val="00A42589"/>
    <w:rsid w:val="00A44EC7"/>
    <w:rsid w:val="00A45FE3"/>
    <w:rsid w:val="00A466C5"/>
    <w:rsid w:val="00A47B2A"/>
    <w:rsid w:val="00A63EEC"/>
    <w:rsid w:val="00A65616"/>
    <w:rsid w:val="00A716A9"/>
    <w:rsid w:val="00A75B75"/>
    <w:rsid w:val="00A775D7"/>
    <w:rsid w:val="00A92ECB"/>
    <w:rsid w:val="00AB7E8A"/>
    <w:rsid w:val="00AD0E85"/>
    <w:rsid w:val="00AD43B8"/>
    <w:rsid w:val="00AD6856"/>
    <w:rsid w:val="00B11598"/>
    <w:rsid w:val="00B21AC5"/>
    <w:rsid w:val="00B26C0E"/>
    <w:rsid w:val="00B33EEA"/>
    <w:rsid w:val="00B50E8F"/>
    <w:rsid w:val="00B627CD"/>
    <w:rsid w:val="00B66036"/>
    <w:rsid w:val="00B77DEF"/>
    <w:rsid w:val="00B82833"/>
    <w:rsid w:val="00B879E2"/>
    <w:rsid w:val="00B907AC"/>
    <w:rsid w:val="00B9082D"/>
    <w:rsid w:val="00B91404"/>
    <w:rsid w:val="00B96E27"/>
    <w:rsid w:val="00BB1C2B"/>
    <w:rsid w:val="00BB6ADB"/>
    <w:rsid w:val="00BE53C1"/>
    <w:rsid w:val="00BE59E7"/>
    <w:rsid w:val="00BF5446"/>
    <w:rsid w:val="00C01946"/>
    <w:rsid w:val="00C01BE4"/>
    <w:rsid w:val="00C037BB"/>
    <w:rsid w:val="00C10ACA"/>
    <w:rsid w:val="00C12D83"/>
    <w:rsid w:val="00C13CCF"/>
    <w:rsid w:val="00C13EAB"/>
    <w:rsid w:val="00C14A5C"/>
    <w:rsid w:val="00C31720"/>
    <w:rsid w:val="00C33770"/>
    <w:rsid w:val="00C46E4A"/>
    <w:rsid w:val="00C50983"/>
    <w:rsid w:val="00C64817"/>
    <w:rsid w:val="00C660BA"/>
    <w:rsid w:val="00C80C60"/>
    <w:rsid w:val="00C8216B"/>
    <w:rsid w:val="00C851F1"/>
    <w:rsid w:val="00C85838"/>
    <w:rsid w:val="00C873A0"/>
    <w:rsid w:val="00C94237"/>
    <w:rsid w:val="00CA0D5D"/>
    <w:rsid w:val="00CA1452"/>
    <w:rsid w:val="00CA19C1"/>
    <w:rsid w:val="00CA4A77"/>
    <w:rsid w:val="00CB2B42"/>
    <w:rsid w:val="00CB3B1B"/>
    <w:rsid w:val="00CC38EF"/>
    <w:rsid w:val="00CD2644"/>
    <w:rsid w:val="00CD5052"/>
    <w:rsid w:val="00CD56FC"/>
    <w:rsid w:val="00CD5EDB"/>
    <w:rsid w:val="00CD69DF"/>
    <w:rsid w:val="00CE1B41"/>
    <w:rsid w:val="00CF6EFE"/>
    <w:rsid w:val="00D102E8"/>
    <w:rsid w:val="00D135CC"/>
    <w:rsid w:val="00D40897"/>
    <w:rsid w:val="00D41817"/>
    <w:rsid w:val="00D72A5E"/>
    <w:rsid w:val="00D87F52"/>
    <w:rsid w:val="00D908D0"/>
    <w:rsid w:val="00D92FF2"/>
    <w:rsid w:val="00D95661"/>
    <w:rsid w:val="00DA0423"/>
    <w:rsid w:val="00DB460B"/>
    <w:rsid w:val="00DC0846"/>
    <w:rsid w:val="00DC7EC9"/>
    <w:rsid w:val="00DE0F34"/>
    <w:rsid w:val="00DE72BA"/>
    <w:rsid w:val="00DF06AD"/>
    <w:rsid w:val="00DF41BD"/>
    <w:rsid w:val="00E02640"/>
    <w:rsid w:val="00E042A5"/>
    <w:rsid w:val="00E118C5"/>
    <w:rsid w:val="00E11C32"/>
    <w:rsid w:val="00E20F01"/>
    <w:rsid w:val="00E24F7E"/>
    <w:rsid w:val="00E26C55"/>
    <w:rsid w:val="00E26EBD"/>
    <w:rsid w:val="00E578E4"/>
    <w:rsid w:val="00E66006"/>
    <w:rsid w:val="00E909CA"/>
    <w:rsid w:val="00E91CA7"/>
    <w:rsid w:val="00EA3EAD"/>
    <w:rsid w:val="00EA704D"/>
    <w:rsid w:val="00EC5F7F"/>
    <w:rsid w:val="00EC7F3F"/>
    <w:rsid w:val="00EE33AD"/>
    <w:rsid w:val="00EF16AE"/>
    <w:rsid w:val="00EF579D"/>
    <w:rsid w:val="00F008F7"/>
    <w:rsid w:val="00F016E4"/>
    <w:rsid w:val="00F03719"/>
    <w:rsid w:val="00F03CD1"/>
    <w:rsid w:val="00F13DFB"/>
    <w:rsid w:val="00F22D4D"/>
    <w:rsid w:val="00F252EC"/>
    <w:rsid w:val="00F3348F"/>
    <w:rsid w:val="00F37635"/>
    <w:rsid w:val="00F46003"/>
    <w:rsid w:val="00F556A7"/>
    <w:rsid w:val="00F578E1"/>
    <w:rsid w:val="00F60C81"/>
    <w:rsid w:val="00F61D57"/>
    <w:rsid w:val="00F8116B"/>
    <w:rsid w:val="00F84157"/>
    <w:rsid w:val="00F93060"/>
    <w:rsid w:val="00FA0C8A"/>
    <w:rsid w:val="00FB1BB6"/>
    <w:rsid w:val="00FB30C2"/>
    <w:rsid w:val="00FC72D6"/>
    <w:rsid w:val="00FD3C71"/>
    <w:rsid w:val="00FD48B9"/>
    <w:rsid w:val="00FD66EF"/>
    <w:rsid w:val="00FE0767"/>
    <w:rsid w:val="00FE6056"/>
    <w:rsid w:val="00FF7898"/>
    <w:rsid w:val="01F262B2"/>
    <w:rsid w:val="02111ED0"/>
    <w:rsid w:val="02427F52"/>
    <w:rsid w:val="0316160A"/>
    <w:rsid w:val="04517803"/>
    <w:rsid w:val="053D0CC8"/>
    <w:rsid w:val="05635E6F"/>
    <w:rsid w:val="05833ADF"/>
    <w:rsid w:val="05AF1D30"/>
    <w:rsid w:val="05B677EC"/>
    <w:rsid w:val="05CB55A5"/>
    <w:rsid w:val="05EF5CE1"/>
    <w:rsid w:val="066C025D"/>
    <w:rsid w:val="069A4BE8"/>
    <w:rsid w:val="075456E5"/>
    <w:rsid w:val="07984AE5"/>
    <w:rsid w:val="082A76F9"/>
    <w:rsid w:val="096D5880"/>
    <w:rsid w:val="097C4EE2"/>
    <w:rsid w:val="09FB55B8"/>
    <w:rsid w:val="0AD97983"/>
    <w:rsid w:val="0AF85292"/>
    <w:rsid w:val="0B565B17"/>
    <w:rsid w:val="0B5E6202"/>
    <w:rsid w:val="0C651D2D"/>
    <w:rsid w:val="0CBE1C80"/>
    <w:rsid w:val="0D044FF2"/>
    <w:rsid w:val="0D226189"/>
    <w:rsid w:val="0D7F03AA"/>
    <w:rsid w:val="0F712FF5"/>
    <w:rsid w:val="0FB9202C"/>
    <w:rsid w:val="10732BF0"/>
    <w:rsid w:val="110322F2"/>
    <w:rsid w:val="11466835"/>
    <w:rsid w:val="1200055E"/>
    <w:rsid w:val="121B2FD5"/>
    <w:rsid w:val="127E6D67"/>
    <w:rsid w:val="13B21E64"/>
    <w:rsid w:val="13CE6D08"/>
    <w:rsid w:val="1401513F"/>
    <w:rsid w:val="1436539E"/>
    <w:rsid w:val="15243D11"/>
    <w:rsid w:val="15A42BC8"/>
    <w:rsid w:val="16B871A6"/>
    <w:rsid w:val="17F210A7"/>
    <w:rsid w:val="187227D5"/>
    <w:rsid w:val="196F4FF2"/>
    <w:rsid w:val="19BE0B35"/>
    <w:rsid w:val="19D70A90"/>
    <w:rsid w:val="1A651725"/>
    <w:rsid w:val="1AFC30B9"/>
    <w:rsid w:val="1B0E76E6"/>
    <w:rsid w:val="1BAA57E0"/>
    <w:rsid w:val="1BAE4D6C"/>
    <w:rsid w:val="1C520D65"/>
    <w:rsid w:val="1C8C7838"/>
    <w:rsid w:val="1DFB6B53"/>
    <w:rsid w:val="1ECC0773"/>
    <w:rsid w:val="1F4A196D"/>
    <w:rsid w:val="1F5736D5"/>
    <w:rsid w:val="1F80594B"/>
    <w:rsid w:val="20DB6CEC"/>
    <w:rsid w:val="21020875"/>
    <w:rsid w:val="224B7963"/>
    <w:rsid w:val="23ED2502"/>
    <w:rsid w:val="24BE3812"/>
    <w:rsid w:val="257D7F2E"/>
    <w:rsid w:val="25AD5CD6"/>
    <w:rsid w:val="25CB77A5"/>
    <w:rsid w:val="260658FC"/>
    <w:rsid w:val="26BB1EFF"/>
    <w:rsid w:val="27566315"/>
    <w:rsid w:val="28286EFF"/>
    <w:rsid w:val="297D2D13"/>
    <w:rsid w:val="29D8737A"/>
    <w:rsid w:val="29F84AFF"/>
    <w:rsid w:val="2A263FE8"/>
    <w:rsid w:val="2A2D2DAA"/>
    <w:rsid w:val="2B1C274F"/>
    <w:rsid w:val="2B694968"/>
    <w:rsid w:val="2C3A39A4"/>
    <w:rsid w:val="2DFF7012"/>
    <w:rsid w:val="2EA1167B"/>
    <w:rsid w:val="2FC23ECB"/>
    <w:rsid w:val="3030647E"/>
    <w:rsid w:val="30CC217A"/>
    <w:rsid w:val="31172AED"/>
    <w:rsid w:val="314F7AF4"/>
    <w:rsid w:val="322834CD"/>
    <w:rsid w:val="324911FC"/>
    <w:rsid w:val="326744CA"/>
    <w:rsid w:val="32C26BA6"/>
    <w:rsid w:val="32E62E72"/>
    <w:rsid w:val="334631F0"/>
    <w:rsid w:val="33B54D54"/>
    <w:rsid w:val="35766229"/>
    <w:rsid w:val="35C24796"/>
    <w:rsid w:val="36225549"/>
    <w:rsid w:val="36F155C0"/>
    <w:rsid w:val="38034E6A"/>
    <w:rsid w:val="38C10001"/>
    <w:rsid w:val="390C6496"/>
    <w:rsid w:val="39485018"/>
    <w:rsid w:val="397E566D"/>
    <w:rsid w:val="3B82598F"/>
    <w:rsid w:val="3B9E5AD2"/>
    <w:rsid w:val="3BE208DB"/>
    <w:rsid w:val="3C246AC1"/>
    <w:rsid w:val="3D617F14"/>
    <w:rsid w:val="3E1E6335"/>
    <w:rsid w:val="3E694D40"/>
    <w:rsid w:val="3EA76C9E"/>
    <w:rsid w:val="3EC54E6F"/>
    <w:rsid w:val="3EFB70FC"/>
    <w:rsid w:val="3F5226D7"/>
    <w:rsid w:val="3F9D160B"/>
    <w:rsid w:val="40317059"/>
    <w:rsid w:val="40DF38F8"/>
    <w:rsid w:val="412164CA"/>
    <w:rsid w:val="414D6E3B"/>
    <w:rsid w:val="42622FC6"/>
    <w:rsid w:val="42A5267C"/>
    <w:rsid w:val="42B94BFC"/>
    <w:rsid w:val="42EB25C0"/>
    <w:rsid w:val="449A4E1E"/>
    <w:rsid w:val="44CC5A47"/>
    <w:rsid w:val="45724F89"/>
    <w:rsid w:val="465828F1"/>
    <w:rsid w:val="471467C4"/>
    <w:rsid w:val="475816EE"/>
    <w:rsid w:val="47B31AFF"/>
    <w:rsid w:val="49195AF9"/>
    <w:rsid w:val="497931EC"/>
    <w:rsid w:val="4A397CF8"/>
    <w:rsid w:val="4A764C98"/>
    <w:rsid w:val="4A9617A5"/>
    <w:rsid w:val="4AD52280"/>
    <w:rsid w:val="4B8644EC"/>
    <w:rsid w:val="4C5F2035"/>
    <w:rsid w:val="4C885A8C"/>
    <w:rsid w:val="4CEF6EA9"/>
    <w:rsid w:val="4E573232"/>
    <w:rsid w:val="4F806937"/>
    <w:rsid w:val="507B124E"/>
    <w:rsid w:val="511D4636"/>
    <w:rsid w:val="51924E11"/>
    <w:rsid w:val="53443658"/>
    <w:rsid w:val="54F6093E"/>
    <w:rsid w:val="5548492B"/>
    <w:rsid w:val="559722C6"/>
    <w:rsid w:val="560041FE"/>
    <w:rsid w:val="568978DA"/>
    <w:rsid w:val="57ED049A"/>
    <w:rsid w:val="57FC396E"/>
    <w:rsid w:val="58011FBB"/>
    <w:rsid w:val="58CE4824"/>
    <w:rsid w:val="59021A29"/>
    <w:rsid w:val="5962250D"/>
    <w:rsid w:val="5A0758BB"/>
    <w:rsid w:val="5A653370"/>
    <w:rsid w:val="5A7B51F8"/>
    <w:rsid w:val="5A813DA7"/>
    <w:rsid w:val="5A8D30DC"/>
    <w:rsid w:val="5AA661FA"/>
    <w:rsid w:val="5AED2CC6"/>
    <w:rsid w:val="5B9E3991"/>
    <w:rsid w:val="5C5459C2"/>
    <w:rsid w:val="5C5D50AA"/>
    <w:rsid w:val="5EAD7362"/>
    <w:rsid w:val="5F0252C8"/>
    <w:rsid w:val="5F4934C7"/>
    <w:rsid w:val="5F873746"/>
    <w:rsid w:val="601343F1"/>
    <w:rsid w:val="602105EA"/>
    <w:rsid w:val="60260ED4"/>
    <w:rsid w:val="62507EE6"/>
    <w:rsid w:val="62621708"/>
    <w:rsid w:val="62780EF2"/>
    <w:rsid w:val="62F544B0"/>
    <w:rsid w:val="631115CD"/>
    <w:rsid w:val="635C4F7B"/>
    <w:rsid w:val="63962C63"/>
    <w:rsid w:val="65B14AAE"/>
    <w:rsid w:val="65E20127"/>
    <w:rsid w:val="65E37B2C"/>
    <w:rsid w:val="670E6D75"/>
    <w:rsid w:val="672C10A2"/>
    <w:rsid w:val="67AE5C53"/>
    <w:rsid w:val="6820209A"/>
    <w:rsid w:val="68427995"/>
    <w:rsid w:val="6974179B"/>
    <w:rsid w:val="69B56BEA"/>
    <w:rsid w:val="6A265139"/>
    <w:rsid w:val="6A496585"/>
    <w:rsid w:val="6A8A5565"/>
    <w:rsid w:val="6AC06591"/>
    <w:rsid w:val="6ACB24D7"/>
    <w:rsid w:val="6BBC67D6"/>
    <w:rsid w:val="6C0D33C6"/>
    <w:rsid w:val="6D054279"/>
    <w:rsid w:val="6DA62287"/>
    <w:rsid w:val="6E0541B2"/>
    <w:rsid w:val="6F1C7131"/>
    <w:rsid w:val="6FB3345C"/>
    <w:rsid w:val="71600FFB"/>
    <w:rsid w:val="71690896"/>
    <w:rsid w:val="71902F85"/>
    <w:rsid w:val="722045C8"/>
    <w:rsid w:val="722D5198"/>
    <w:rsid w:val="727534D8"/>
    <w:rsid w:val="72BA35B9"/>
    <w:rsid w:val="72E70858"/>
    <w:rsid w:val="73C4041F"/>
    <w:rsid w:val="73E873CB"/>
    <w:rsid w:val="74815F36"/>
    <w:rsid w:val="74EB223F"/>
    <w:rsid w:val="75116A10"/>
    <w:rsid w:val="758259DC"/>
    <w:rsid w:val="75AE4622"/>
    <w:rsid w:val="75C176D3"/>
    <w:rsid w:val="75E927B6"/>
    <w:rsid w:val="777C2593"/>
    <w:rsid w:val="77BD5650"/>
    <w:rsid w:val="793A760B"/>
    <w:rsid w:val="79FF5E49"/>
    <w:rsid w:val="7C404149"/>
    <w:rsid w:val="7C7928AB"/>
    <w:rsid w:val="7CF33987"/>
    <w:rsid w:val="7D747675"/>
    <w:rsid w:val="7DA06283"/>
    <w:rsid w:val="7DAE7369"/>
    <w:rsid w:val="7DC43D7E"/>
    <w:rsid w:val="7EDF05B0"/>
    <w:rsid w:val="7F990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nhideWhenUsed="0" w:uiPriority="9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99" w:name="toc 1" w:locked="1"/>
    <w:lsdException w:qFormat="1" w:unhideWhenUsed="0" w:uiPriority="99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locked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1"/>
    <w:qFormat/>
    <w:locked/>
    <w:uiPriority w:val="9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sz w:val="32"/>
      <w:szCs w:val="20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8"/>
    <w:semiHidden/>
    <w:qFormat/>
    <w:uiPriority w:val="99"/>
    <w:rPr>
      <w:kern w:val="0"/>
      <w:sz w:val="2"/>
      <w:szCs w:val="20"/>
    </w:rPr>
  </w:style>
  <w:style w:type="paragraph" w:styleId="5">
    <w:name w:val="footer"/>
    <w:basedOn w:val="1"/>
    <w:link w:val="2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qFormat/>
    <w:locked/>
    <w:uiPriority w:val="99"/>
  </w:style>
  <w:style w:type="paragraph" w:styleId="8">
    <w:name w:val="toc 2"/>
    <w:basedOn w:val="1"/>
    <w:next w:val="1"/>
    <w:semiHidden/>
    <w:qFormat/>
    <w:locked/>
    <w:uiPriority w:val="99"/>
    <w:pPr>
      <w:ind w:left="420" w:leftChars="200"/>
    </w:pPr>
  </w:style>
  <w:style w:type="paragraph" w:styleId="9">
    <w:name w:val="HTML Preformatted"/>
    <w:basedOn w:val="1"/>
    <w:link w:val="19"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/>
      <w:kern w:val="0"/>
      <w:sz w:val="20"/>
      <w:szCs w:val="20"/>
    </w:rPr>
  </w:style>
  <w:style w:type="table" w:styleId="11">
    <w:name w:val="Table Grid"/>
    <w:basedOn w:val="10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99"/>
    <w:rPr>
      <w:rFonts w:cs="Times New Roman"/>
    </w:rPr>
  </w:style>
  <w:style w:type="character" w:styleId="14">
    <w:name w:val="Emphasis"/>
    <w:basedOn w:val="12"/>
    <w:qFormat/>
    <w:uiPriority w:val="99"/>
    <w:rPr>
      <w:rFonts w:cs="Times New Roman"/>
      <w:i/>
    </w:rPr>
  </w:style>
  <w:style w:type="character" w:styleId="15">
    <w:name w:val="Hyperlink"/>
    <w:basedOn w:val="12"/>
    <w:qFormat/>
    <w:uiPriority w:val="99"/>
    <w:rPr>
      <w:rFonts w:cs="Times New Roman"/>
      <w:color w:val="0000FF"/>
      <w:u w:val="single"/>
    </w:rPr>
  </w:style>
  <w:style w:type="character" w:customStyle="1" w:styleId="16">
    <w:name w:val="标题 1 字符"/>
    <w:basedOn w:val="12"/>
    <w:link w:val="2"/>
    <w:qFormat/>
    <w:locked/>
    <w:uiPriority w:val="99"/>
    <w:rPr>
      <w:rFonts w:ascii="Calibri" w:hAnsi="Calibri" w:cs="Times New Roman"/>
      <w:b/>
      <w:kern w:val="44"/>
      <w:sz w:val="44"/>
    </w:rPr>
  </w:style>
  <w:style w:type="character" w:customStyle="1" w:styleId="17">
    <w:name w:val="Heading 2 Char"/>
    <w:basedOn w:val="12"/>
    <w:semiHidden/>
    <w:qFormat/>
    <w:locked/>
    <w:uiPriority w:val="99"/>
    <w:rPr>
      <w:rFonts w:ascii="Cambria" w:hAnsi="Cambria" w:eastAsia="宋体" w:cs="Times New Roman"/>
      <w:b/>
      <w:sz w:val="32"/>
    </w:rPr>
  </w:style>
  <w:style w:type="character" w:customStyle="1" w:styleId="18">
    <w:name w:val="批注框文本 字符"/>
    <w:basedOn w:val="12"/>
    <w:link w:val="4"/>
    <w:semiHidden/>
    <w:qFormat/>
    <w:locked/>
    <w:uiPriority w:val="99"/>
    <w:rPr>
      <w:rFonts w:ascii="Calibri" w:hAnsi="Calibri" w:cs="Times New Roman"/>
      <w:sz w:val="2"/>
    </w:rPr>
  </w:style>
  <w:style w:type="character" w:customStyle="1" w:styleId="19">
    <w:name w:val="HTML 预设格式 字符"/>
    <w:basedOn w:val="12"/>
    <w:link w:val="9"/>
    <w:semiHidden/>
    <w:qFormat/>
    <w:locked/>
    <w:uiPriority w:val="99"/>
    <w:rPr>
      <w:rFonts w:ascii="Courier New" w:hAnsi="Courier New" w:cs="Times New Roman"/>
      <w:sz w:val="20"/>
    </w:rPr>
  </w:style>
  <w:style w:type="paragraph" w:customStyle="1" w:styleId="20">
    <w:name w:val="RSC B06 B Heading (Sub-Section)"/>
    <w:qFormat/>
    <w:uiPriority w:val="99"/>
    <w:pPr>
      <w:spacing w:after="80" w:line="240" w:lineRule="exact"/>
    </w:pPr>
    <w:rPr>
      <w:rFonts w:ascii="Calibri" w:hAnsi="Calibri" w:eastAsia="宋体" w:cs="Times New Roman"/>
      <w:b/>
      <w:sz w:val="18"/>
      <w:szCs w:val="22"/>
      <w:lang w:val="en-GB" w:eastAsia="en-US" w:bidi="ar-SA"/>
    </w:rPr>
  </w:style>
  <w:style w:type="character" w:customStyle="1" w:styleId="21">
    <w:name w:val="标题 2 字符"/>
    <w:link w:val="3"/>
    <w:qFormat/>
    <w:locked/>
    <w:uiPriority w:val="99"/>
    <w:rPr>
      <w:rFonts w:ascii="Arial" w:hAnsi="Arial" w:eastAsia="黑体"/>
      <w:b/>
      <w:kern w:val="2"/>
      <w:sz w:val="32"/>
      <w:lang w:val="en-US" w:eastAsia="zh-CN"/>
    </w:rPr>
  </w:style>
  <w:style w:type="paragraph" w:customStyle="1" w:styleId="22">
    <w:name w:val="Char Char"/>
    <w:basedOn w:val="1"/>
    <w:qFormat/>
    <w:uiPriority w:val="99"/>
    <w:rPr>
      <w:rFonts w:ascii="Times New Roman" w:hAnsi="Times New Roman"/>
      <w:sz w:val="24"/>
    </w:rPr>
  </w:style>
  <w:style w:type="paragraph" w:customStyle="1" w:styleId="23">
    <w:name w:val="TA_Main_Text"/>
    <w:basedOn w:val="1"/>
    <w:qFormat/>
    <w:uiPriority w:val="99"/>
    <w:pPr>
      <w:widowControl/>
      <w:spacing w:line="480" w:lineRule="auto"/>
      <w:ind w:firstLine="202"/>
    </w:pPr>
    <w:rPr>
      <w:rFonts w:ascii="Times" w:hAnsi="Times"/>
      <w:kern w:val="0"/>
      <w:sz w:val="24"/>
      <w:szCs w:val="20"/>
      <w:lang w:eastAsia="en-US"/>
    </w:rPr>
  </w:style>
  <w:style w:type="character" w:customStyle="1" w:styleId="24">
    <w:name w:val="页脚 字符"/>
    <w:basedOn w:val="12"/>
    <w:link w:val="5"/>
    <w:semiHidden/>
    <w:qFormat/>
    <w:locked/>
    <w:uiPriority w:val="99"/>
    <w:rPr>
      <w:rFonts w:ascii="Calibri" w:hAnsi="Calibri" w:cs="Times New Roman"/>
      <w:sz w:val="18"/>
      <w:szCs w:val="18"/>
    </w:rPr>
  </w:style>
  <w:style w:type="paragraph" w:customStyle="1" w:styleId="25">
    <w:name w:val="MDPI_1.2_title"/>
    <w:next w:val="26"/>
    <w:qFormat/>
    <w:uiPriority w:val="0"/>
    <w:pPr>
      <w:adjustRightInd w:val="0"/>
      <w:snapToGrid w:val="0"/>
      <w:spacing w:after="240" w:line="400" w:lineRule="exact"/>
    </w:pPr>
    <w:rPr>
      <w:rFonts w:ascii="Palatino Linotype" w:hAnsi="Palatino Linotype" w:eastAsia="Times New Roman" w:cs="Times New Roman"/>
      <w:b/>
      <w:snapToGrid w:val="0"/>
      <w:color w:val="000000"/>
      <w:sz w:val="36"/>
      <w:lang w:val="en-US" w:eastAsia="de-DE" w:bidi="en-US"/>
    </w:rPr>
  </w:style>
  <w:style w:type="paragraph" w:customStyle="1" w:styleId="26">
    <w:name w:val="MDPI_1.3_authornames"/>
    <w:basedOn w:val="27"/>
    <w:next w:val="28"/>
    <w:qFormat/>
    <w:uiPriority w:val="0"/>
    <w:pPr>
      <w:spacing w:after="120"/>
      <w:ind w:firstLine="0"/>
      <w:jc w:val="left"/>
    </w:pPr>
    <w:rPr>
      <w:b/>
      <w:snapToGrid/>
    </w:rPr>
  </w:style>
  <w:style w:type="paragraph" w:customStyle="1" w:styleId="27">
    <w:name w:val="MDPI_3.1_text"/>
    <w:qFormat/>
    <w:uiPriority w:val="0"/>
    <w:pPr>
      <w:adjustRightInd w:val="0"/>
      <w:snapToGrid w:val="0"/>
      <w:spacing w:line="260" w:lineRule="atLeast"/>
      <w:ind w:firstLine="425"/>
      <w:jc w:val="both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paragraph" w:customStyle="1" w:styleId="28">
    <w:name w:val="MDPI_1.4_history"/>
    <w:basedOn w:val="29"/>
    <w:next w:val="1"/>
    <w:qFormat/>
    <w:uiPriority w:val="0"/>
    <w:pPr>
      <w:ind w:left="113"/>
      <w:jc w:val="left"/>
    </w:pPr>
    <w:rPr>
      <w:snapToGrid/>
    </w:rPr>
  </w:style>
  <w:style w:type="paragraph" w:customStyle="1" w:styleId="29">
    <w:name w:val="MDPI_6.2_Acknowledgments"/>
    <w:qFormat/>
    <w:uiPriority w:val="0"/>
    <w:pPr>
      <w:adjustRightInd w:val="0"/>
      <w:snapToGrid w:val="0"/>
      <w:spacing w:before="120" w:line="200" w:lineRule="atLeast"/>
      <w:jc w:val="both"/>
    </w:pPr>
    <w:rPr>
      <w:rFonts w:ascii="Palatino Linotype" w:hAnsi="Palatino Linotype" w:eastAsia="Times New Roman" w:cs="Times New Roman"/>
      <w:snapToGrid w:val="0"/>
      <w:color w:val="000000"/>
      <w:sz w:val="18"/>
      <w:lang w:val="en-US" w:eastAsia="de-DE" w:bidi="en-US"/>
    </w:rPr>
  </w:style>
  <w:style w:type="paragraph" w:customStyle="1" w:styleId="30">
    <w:name w:val="MDPI_1.5_academic_editor"/>
    <w:basedOn w:val="29"/>
    <w:qFormat/>
    <w:uiPriority w:val="0"/>
    <w:pPr>
      <w:spacing w:before="0" w:after="120"/>
      <w:ind w:left="113"/>
      <w:jc w:val="left"/>
    </w:pPr>
    <w:rPr>
      <w:snapToGrid/>
      <w:szCs w:val="22"/>
    </w:rPr>
  </w:style>
  <w:style w:type="paragraph" w:customStyle="1" w:styleId="31">
    <w:name w:val="MDPI_1.6_affiliation"/>
    <w:basedOn w:val="29"/>
    <w:qFormat/>
    <w:uiPriority w:val="0"/>
    <w:pPr>
      <w:spacing w:before="0"/>
      <w:ind w:left="311" w:hanging="198"/>
      <w:jc w:val="left"/>
    </w:pPr>
    <w:rPr>
      <w:snapToGrid/>
      <w:szCs w:val="18"/>
    </w:rPr>
  </w:style>
  <w:style w:type="table" w:customStyle="1" w:styleId="32">
    <w:name w:val="网格型1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3">
    <w:name w:val="网格型4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34">
    <w:name w:val="MDPI_4.2_table_body"/>
    <w:qFormat/>
    <w:uiPriority w:val="0"/>
    <w:pPr>
      <w:adjustRightInd w:val="0"/>
      <w:snapToGrid w:val="0"/>
      <w:spacing w:line="260" w:lineRule="atLeast"/>
      <w:jc w:val="center"/>
    </w:pPr>
    <w:rPr>
      <w:rFonts w:ascii="Palatino Linotype" w:hAnsi="Palatino Linotype" w:eastAsia="Times New Roman" w:cs="Times New Roman"/>
      <w:snapToGrid w:val="0"/>
      <w:color w:val="000000"/>
      <w:lang w:val="en-US" w:eastAsia="de-DE" w:bidi="en-US"/>
    </w:rPr>
  </w:style>
  <w:style w:type="table" w:customStyle="1" w:styleId="35">
    <w:name w:val="网格型2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36">
    <w:name w:val="MDPI_7.1_References"/>
    <w:basedOn w:val="29"/>
    <w:qFormat/>
    <w:uiPriority w:val="0"/>
    <w:pPr>
      <w:numPr>
        <w:ilvl w:val="0"/>
        <w:numId w:val="1"/>
      </w:numPr>
      <w:spacing w:before="0" w:line="260" w:lineRule="atLeast"/>
      <w:ind w:left="425" w:hanging="425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928</Words>
  <Characters>5295</Characters>
  <Lines>44</Lines>
  <Paragraphs>12</Paragraphs>
  <TotalTime>0</TotalTime>
  <ScaleCrop>false</ScaleCrop>
  <LinksUpToDate>false</LinksUpToDate>
  <CharactersWithSpaces>6211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2017-01-14T09:02:00Z</dcterms:created>
  <dc:creator>Administrator</dc:creator>
  <cp:lastModifiedBy>应向贤</cp:lastModifiedBy>
  <cp:lastPrinted>2017-01-13T05:04:00Z</cp:lastPrinted>
  <dcterms:modified xsi:type="dcterms:W3CDTF">2020-11-06T04:58:35Z</dcterms:modified>
  <dc:title> 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