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270A" w14:textId="6DCE5C88" w:rsidR="00CF1091" w:rsidRPr="00F3141E" w:rsidRDefault="006510DF" w:rsidP="009E1A1F">
      <w:pPr>
        <w:pStyle w:val="Title2"/>
        <w:jc w:val="center"/>
        <w:outlineLvl w:val="0"/>
        <w:rPr>
          <w:rFonts w:eastAsia="宋体"/>
          <w:b w:val="0"/>
          <w:sz w:val="28"/>
          <w:szCs w:val="28"/>
          <w:lang w:val="en-GB" w:eastAsia="zh-CN"/>
        </w:rPr>
      </w:pPr>
      <w:r w:rsidRPr="00F3141E">
        <w:rPr>
          <w:rFonts w:eastAsia="宋体"/>
          <w:b w:val="0"/>
          <w:sz w:val="28"/>
          <w:szCs w:val="28"/>
          <w:lang w:val="en-GB" w:eastAsia="zh-CN"/>
        </w:rPr>
        <w:t>Su</w:t>
      </w:r>
      <w:r w:rsidR="0041158D">
        <w:rPr>
          <w:rFonts w:eastAsia="宋体"/>
          <w:b w:val="0"/>
          <w:sz w:val="28"/>
          <w:szCs w:val="28"/>
          <w:lang w:val="en-GB" w:eastAsia="zh-CN"/>
        </w:rPr>
        <w:t>pplementary</w:t>
      </w:r>
      <w:r w:rsidRPr="00F3141E">
        <w:rPr>
          <w:rFonts w:eastAsia="宋体"/>
          <w:b w:val="0"/>
          <w:sz w:val="28"/>
          <w:szCs w:val="28"/>
          <w:lang w:val="en-GB" w:eastAsia="zh-CN"/>
        </w:rPr>
        <w:t xml:space="preserve"> </w:t>
      </w:r>
      <w:r w:rsidR="00F3141E">
        <w:rPr>
          <w:rFonts w:eastAsia="宋体"/>
          <w:b w:val="0"/>
          <w:sz w:val="28"/>
          <w:szCs w:val="28"/>
          <w:lang w:val="en-GB" w:eastAsia="zh-CN"/>
        </w:rPr>
        <w:t>I</w:t>
      </w:r>
      <w:r w:rsidR="00E01197" w:rsidRPr="00F3141E">
        <w:rPr>
          <w:rFonts w:eastAsia="宋体"/>
          <w:b w:val="0"/>
          <w:sz w:val="28"/>
          <w:szCs w:val="28"/>
          <w:lang w:val="en-GB" w:eastAsia="zh-CN"/>
        </w:rPr>
        <w:t>nformation</w:t>
      </w:r>
    </w:p>
    <w:p w14:paraId="4E0E7663" w14:textId="77777777" w:rsidR="00CF1091" w:rsidRDefault="00CF1091" w:rsidP="00CF1091">
      <w:pPr>
        <w:pStyle w:val="Title2"/>
        <w:outlineLvl w:val="0"/>
        <w:rPr>
          <w:rFonts w:eastAsia="宋体"/>
          <w:lang w:val="en-GB" w:eastAsia="zh-CN"/>
        </w:rPr>
      </w:pPr>
    </w:p>
    <w:p w14:paraId="1BE07FF2" w14:textId="77777777" w:rsidR="00CF1091" w:rsidRPr="000F6BED" w:rsidRDefault="00CF1091" w:rsidP="00CF1091">
      <w:pPr>
        <w:pStyle w:val="Title2"/>
        <w:outlineLvl w:val="0"/>
        <w:rPr>
          <w:rFonts w:ascii="AdvOT635f2c37" w:hAnsi="AdvOT635f2c37" w:cs="AdvOT635f2c37"/>
          <w:color w:val="000000"/>
          <w:sz w:val="20"/>
          <w:szCs w:val="20"/>
          <w:lang w:val="en-GB"/>
        </w:rPr>
      </w:pPr>
      <w:proofErr w:type="spellStart"/>
      <w:r>
        <w:rPr>
          <w:rFonts w:eastAsia="宋体"/>
          <w:lang w:val="en-GB" w:eastAsia="zh-CN"/>
        </w:rPr>
        <w:t>Tunable</w:t>
      </w:r>
      <w:proofErr w:type="spellEnd"/>
      <w:r w:rsidRPr="00AB382A">
        <w:rPr>
          <w:rFonts w:eastAsia="宋体"/>
          <w:lang w:val="en-GB" w:eastAsia="zh-CN"/>
        </w:rPr>
        <w:t xml:space="preserve"> Parity</w:t>
      </w:r>
      <w:r>
        <w:rPr>
          <w:rFonts w:eastAsia="宋体"/>
          <w:lang w:val="en-GB" w:eastAsia="zh-CN"/>
        </w:rPr>
        <w:t>-</w:t>
      </w:r>
      <w:r w:rsidRPr="00AB382A">
        <w:rPr>
          <w:rFonts w:eastAsia="宋体"/>
          <w:lang w:val="en-GB" w:eastAsia="zh-CN"/>
        </w:rPr>
        <w:t>Time Symmetry</w:t>
      </w:r>
      <w:r>
        <w:rPr>
          <w:rFonts w:eastAsia="宋体"/>
          <w:lang w:val="en-GB" w:eastAsia="zh-CN"/>
        </w:rPr>
        <w:t xml:space="preserve"> Vortex Laser from Phase Change M</w:t>
      </w:r>
      <w:r w:rsidRPr="00AB382A">
        <w:rPr>
          <w:rFonts w:eastAsia="宋体"/>
          <w:lang w:val="en-GB" w:eastAsia="zh-CN"/>
        </w:rPr>
        <w:t>aterial</w:t>
      </w:r>
      <w:r>
        <w:rPr>
          <w:rFonts w:eastAsia="宋体"/>
          <w:lang w:val="en-GB" w:eastAsia="zh-CN"/>
        </w:rPr>
        <w:t xml:space="preserve"> Based Microcavity </w:t>
      </w:r>
    </w:p>
    <w:p w14:paraId="0E992170" w14:textId="77777777" w:rsidR="00CF1091" w:rsidRPr="00AB382A" w:rsidRDefault="00CF1091" w:rsidP="00CF1091">
      <w:pPr>
        <w:pStyle w:val="Tableofcontents"/>
        <w:rPr>
          <w:lang w:val="en-GB"/>
        </w:rPr>
      </w:pPr>
    </w:p>
    <w:p w14:paraId="23A473D8" w14:textId="2136B990" w:rsidR="00CF1091" w:rsidRPr="009E1A1F" w:rsidRDefault="00504651" w:rsidP="00CF1091">
      <w:pPr>
        <w:pStyle w:val="FACorrespondingAuthorFootnote"/>
        <w:spacing w:after="0"/>
        <w:jc w:val="left"/>
        <w:rPr>
          <w:i/>
          <w:lang w:eastAsia="zh-CN"/>
        </w:rPr>
      </w:pPr>
      <w:r w:rsidRPr="009E1A1F">
        <w:rPr>
          <w:rFonts w:hint="eastAsia"/>
          <w:i/>
          <w:lang w:eastAsia="zh-CN"/>
        </w:rPr>
        <w:t>Ying Su</w:t>
      </w:r>
      <w:r w:rsidR="00B455A2">
        <w:rPr>
          <w:lang w:eastAsia="zh-CN"/>
        </w:rPr>
        <w:t>,</w:t>
      </w:r>
      <w:r w:rsidR="007D740E" w:rsidRPr="007D740E">
        <w:rPr>
          <w:vertAlign w:val="superscript"/>
          <w:lang w:eastAsia="zh-CN"/>
        </w:rPr>
        <w:t>1</w:t>
      </w:r>
      <w:r w:rsidR="00B455A2">
        <w:rPr>
          <w:rFonts w:ascii="宋体" w:hAnsi="宋体" w:hint="eastAsia"/>
          <w:lang w:eastAsia="zh-CN"/>
        </w:rPr>
        <w:t xml:space="preserve"> </w:t>
      </w:r>
      <w:proofErr w:type="spellStart"/>
      <w:r w:rsidRPr="009E1A1F">
        <w:rPr>
          <w:rFonts w:hint="eastAsia"/>
          <w:i/>
          <w:lang w:eastAsia="zh-CN"/>
        </w:rPr>
        <w:t>Hongji</w:t>
      </w:r>
      <w:proofErr w:type="spellEnd"/>
      <w:r w:rsidRPr="009E1A1F">
        <w:rPr>
          <w:rFonts w:hint="eastAsia"/>
          <w:i/>
          <w:lang w:eastAsia="zh-CN"/>
        </w:rPr>
        <w:t xml:space="preserve"> Fan</w:t>
      </w:r>
      <w:r w:rsidR="007D740E" w:rsidRPr="007D740E">
        <w:rPr>
          <w:rFonts w:hint="eastAsia"/>
          <w:vertAlign w:val="superscript"/>
          <w:lang w:eastAsia="zh-CN"/>
        </w:rPr>
        <w:t>1</w:t>
      </w:r>
      <w:r w:rsidR="00B455A2">
        <w:rPr>
          <w:rFonts w:ascii="宋体" w:hAnsi="宋体" w:hint="eastAsia"/>
          <w:lang w:eastAsia="zh-CN"/>
        </w:rPr>
        <w:t xml:space="preserve"> </w:t>
      </w:r>
      <w:r w:rsidR="009E1A1F">
        <w:rPr>
          <w:i/>
          <w:lang w:eastAsia="zh-CN"/>
        </w:rPr>
        <w:t>and T</w:t>
      </w:r>
      <w:r w:rsidR="00CF1091" w:rsidRPr="009E1A1F">
        <w:rPr>
          <w:rFonts w:hint="eastAsia"/>
          <w:i/>
          <w:lang w:eastAsia="zh-CN"/>
        </w:rPr>
        <w:t>un Cao</w:t>
      </w:r>
      <w:r w:rsidR="008C42F2" w:rsidRPr="00602CAA">
        <w:rPr>
          <w:vertAlign w:val="superscript"/>
          <w:lang w:eastAsia="zh-CN"/>
        </w:rPr>
        <w:t>1</w:t>
      </w:r>
      <w:r w:rsidR="008C42F2" w:rsidRPr="00B455A2">
        <w:rPr>
          <w:rFonts w:ascii="Times New Roman" w:hAnsi="Times New Roman"/>
          <w:vertAlign w:val="superscript"/>
          <w:lang w:eastAsia="zh-CN"/>
        </w:rPr>
        <w:t>,</w:t>
      </w:r>
      <w:r w:rsidR="008C42F2" w:rsidRPr="00B455A2">
        <w:rPr>
          <w:vertAlign w:val="superscript"/>
          <w:lang w:eastAsia="zh-CN"/>
        </w:rPr>
        <w:t xml:space="preserve"> *</w:t>
      </w:r>
      <w:r w:rsidR="00CF1091" w:rsidRPr="009E1A1F">
        <w:rPr>
          <w:i/>
          <w:lang w:eastAsia="zh-CN"/>
        </w:rPr>
        <w:t xml:space="preserve"> </w:t>
      </w:r>
      <w:r w:rsidR="00CF1091" w:rsidRPr="009E1A1F">
        <w:rPr>
          <w:rFonts w:hint="eastAsia"/>
          <w:i/>
          <w:lang w:eastAsia="zh-CN"/>
        </w:rPr>
        <w:t xml:space="preserve"> </w:t>
      </w:r>
    </w:p>
    <w:p w14:paraId="76FCFB1C" w14:textId="4CD25001" w:rsidR="00CF1091" w:rsidRDefault="00602CAA" w:rsidP="00CF1091">
      <w:pPr>
        <w:pStyle w:val="TAMainText"/>
        <w:ind w:firstLine="0"/>
        <w:rPr>
          <w:rFonts w:ascii="Times New Roman" w:hAnsi="Times New Roman"/>
          <w:lang w:eastAsia="zh-CN"/>
        </w:rPr>
      </w:pPr>
      <w:r>
        <w:rPr>
          <w:rFonts w:ascii="宋体" w:hAnsi="宋体" w:hint="eastAsia"/>
          <w:vertAlign w:val="superscript"/>
          <w:lang w:eastAsia="zh-CN"/>
        </w:rPr>
        <w:t>1</w:t>
      </w:r>
      <w:r w:rsidR="00CF1091" w:rsidRPr="00511B9B">
        <w:rPr>
          <w:rFonts w:ascii="Times New Roman" w:hAnsi="Times New Roman"/>
        </w:rPr>
        <w:t>School of Optoelectronic Engineering and Instrumentation Science, Dalian University of Technology, Dalian</w:t>
      </w:r>
      <w:r w:rsidR="00CF1091">
        <w:rPr>
          <w:rFonts w:ascii="Times New Roman" w:hAnsi="Times New Roman" w:hint="eastAsia"/>
          <w:lang w:eastAsia="zh-CN"/>
        </w:rPr>
        <w:t xml:space="preserve"> </w:t>
      </w:r>
      <w:r w:rsidR="00CF1091" w:rsidRPr="00511B9B">
        <w:rPr>
          <w:rFonts w:ascii="Times New Roman" w:hAnsi="Times New Roman"/>
        </w:rPr>
        <w:t>116024, China</w:t>
      </w:r>
    </w:p>
    <w:p w14:paraId="623A529D" w14:textId="404F7C6C" w:rsidR="00CF1091" w:rsidRPr="00B455A2" w:rsidRDefault="00CF1091" w:rsidP="00B455A2">
      <w:pPr>
        <w:pStyle w:val="Authornames"/>
        <w:rPr>
          <w:b w:val="0"/>
        </w:rPr>
      </w:pPr>
      <w:r w:rsidRPr="00B455A2">
        <w:rPr>
          <w:b w:val="0"/>
        </w:rPr>
        <w:t>*</w:t>
      </w:r>
      <w:r w:rsidRPr="00B455A2">
        <w:t xml:space="preserve"> </w:t>
      </w:r>
      <w:r w:rsidRPr="00B455A2">
        <w:rPr>
          <w:b w:val="0"/>
        </w:rPr>
        <w:t>Corresponding author</w:t>
      </w:r>
      <w:r w:rsidR="009E1A1F" w:rsidRPr="00B455A2">
        <w:rPr>
          <w:b w:val="0"/>
        </w:rPr>
        <w:t xml:space="preserve">: </w:t>
      </w:r>
      <w:r w:rsidR="009E1A1F" w:rsidRPr="00B455A2">
        <w:rPr>
          <w:b w:val="0"/>
          <w:i/>
        </w:rPr>
        <w:t>Tun Cao</w:t>
      </w:r>
      <w:r w:rsidR="009E1A1F" w:rsidRPr="00B455A2">
        <w:rPr>
          <w:b w:val="0"/>
        </w:rPr>
        <w:t xml:space="preserve">, </w:t>
      </w:r>
      <w:hyperlink r:id="rId7" w:history="1">
        <w:r w:rsidR="009E1A1F" w:rsidRPr="00B455A2">
          <w:rPr>
            <w:b w:val="0"/>
          </w:rPr>
          <w:t>caotun1806@dlut.edu.cn</w:t>
        </w:r>
      </w:hyperlink>
    </w:p>
    <w:p w14:paraId="44650A0F" w14:textId="348672B6" w:rsidR="009E1A1F" w:rsidRDefault="009E1A1F" w:rsidP="00B455A2">
      <w:pPr>
        <w:pStyle w:val="Authornames"/>
      </w:pPr>
      <w:r>
        <w:br w:type="page"/>
      </w:r>
    </w:p>
    <w:p w14:paraId="24EB6E89" w14:textId="7FCD6D64" w:rsidR="009E1A1F" w:rsidRPr="00B455A2" w:rsidRDefault="009E1A1F" w:rsidP="00B455A2">
      <w:pPr>
        <w:pStyle w:val="Authornames"/>
      </w:pPr>
      <w:r w:rsidRPr="00B455A2">
        <w:rPr>
          <w:rFonts w:hint="eastAsia"/>
        </w:rPr>
        <w:lastRenderedPageBreak/>
        <w:t>T</w:t>
      </w:r>
      <w:r w:rsidRPr="00B455A2">
        <w:t>able of Content</w:t>
      </w:r>
    </w:p>
    <w:p w14:paraId="06EA9E9A" w14:textId="6CD9254F" w:rsidR="009E1A1F" w:rsidRPr="00B455A2" w:rsidRDefault="009E1A1F" w:rsidP="00B455A2">
      <w:pPr>
        <w:pStyle w:val="Authornames"/>
        <w:rPr>
          <w:b w:val="0"/>
        </w:rPr>
      </w:pPr>
      <w:r w:rsidRPr="00B06EE4">
        <w:t>Note S1:</w:t>
      </w:r>
      <w:r w:rsidRPr="00B455A2">
        <w:rPr>
          <w:b w:val="0"/>
        </w:rPr>
        <w:t xml:space="preserve"> Theoretical analysis of unidirectional laser oscillation at the EP</w:t>
      </w:r>
    </w:p>
    <w:p w14:paraId="6F7F51DD" w14:textId="080C9AF2" w:rsidR="009E1A1F" w:rsidRPr="00B455A2" w:rsidRDefault="009E1A1F" w:rsidP="00B455A2">
      <w:pPr>
        <w:pStyle w:val="Authornames"/>
        <w:rPr>
          <w:b w:val="0"/>
        </w:rPr>
      </w:pPr>
      <w:r w:rsidRPr="00B06EE4">
        <w:rPr>
          <w:rFonts w:hint="eastAsia"/>
        </w:rPr>
        <w:t>F</w:t>
      </w:r>
      <w:r w:rsidRPr="00B06EE4">
        <w:t>ig S1:</w:t>
      </w:r>
      <w:r w:rsidR="00382344" w:rsidRPr="00B455A2">
        <w:rPr>
          <w:b w:val="0"/>
        </w:rPr>
        <w:t xml:space="preserve"> The tunable vortex laser emission from the ring cavity</w:t>
      </w:r>
    </w:p>
    <w:p w14:paraId="47DF3CC9" w14:textId="3AE870A8" w:rsidR="009E1A1F" w:rsidRPr="00B455A2" w:rsidRDefault="009E1A1F" w:rsidP="00B455A2">
      <w:pPr>
        <w:pStyle w:val="Authornames"/>
        <w:rPr>
          <w:b w:val="0"/>
        </w:rPr>
      </w:pPr>
      <w:r w:rsidRPr="00B06EE4">
        <w:rPr>
          <w:rFonts w:hint="eastAsia"/>
        </w:rPr>
        <w:t>T</w:t>
      </w:r>
      <w:r w:rsidRPr="00B06EE4">
        <w:t>ab S1:</w:t>
      </w:r>
      <w:r w:rsidR="00382344" w:rsidRPr="00B455A2">
        <w:rPr>
          <w:b w:val="0"/>
        </w:rPr>
        <w:t xml:space="preserve"> List of parameters required for simulation</w:t>
      </w:r>
    </w:p>
    <w:p w14:paraId="3A052488" w14:textId="14B12B25" w:rsidR="009E1A1F" w:rsidRDefault="009E1A1F" w:rsidP="00B62F8B">
      <w:pPr>
        <w:pStyle w:val="TAMainTex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2573E75" w14:textId="118D469C" w:rsidR="00B62F8B" w:rsidRPr="009E1A1F" w:rsidRDefault="009E1A1F" w:rsidP="009E1A1F">
      <w:pPr>
        <w:pStyle w:val="TAMainText"/>
        <w:ind w:firstLine="0"/>
        <w:jc w:val="left"/>
        <w:rPr>
          <w:rFonts w:ascii="Times New Roman" w:hAnsi="Times New Roman"/>
          <w:b/>
        </w:rPr>
      </w:pPr>
      <w:r w:rsidRPr="009E1A1F">
        <w:rPr>
          <w:rFonts w:ascii="Times New Roman" w:hAnsi="Times New Roman"/>
          <w:b/>
        </w:rPr>
        <w:lastRenderedPageBreak/>
        <w:t xml:space="preserve">Note S1. </w:t>
      </w:r>
      <w:r w:rsidR="00B62F8B" w:rsidRPr="009E1A1F">
        <w:rPr>
          <w:rFonts w:ascii="Times New Roman" w:hAnsi="Times New Roman"/>
          <w:b/>
        </w:rPr>
        <w:t>Theoretical analysis of unidirectional laser oscillation at the EP</w:t>
      </w:r>
    </w:p>
    <w:p w14:paraId="2CE5C913" w14:textId="06350DDD" w:rsidR="00917324" w:rsidRPr="008C42F2" w:rsidRDefault="00917324" w:rsidP="00917324">
      <w:pPr>
        <w:spacing w:after="240" w:line="480" w:lineRule="auto"/>
        <w:jc w:val="both"/>
        <w:rPr>
          <w:rFonts w:eastAsia="等线"/>
          <w:lang w:val="en-US" w:eastAsia="zh-CN"/>
        </w:rPr>
      </w:pPr>
      <w:r w:rsidRPr="008C42F2">
        <w:rPr>
          <w:rFonts w:eastAsia="等线"/>
          <w:lang w:val="en-US" w:eastAsia="zh-CN"/>
        </w:rPr>
        <w:t>the refractive index equations</w:t>
      </w:r>
      <w:r w:rsidR="003E2BCB" w:rsidRPr="008C42F2">
        <w:rPr>
          <w:rFonts w:eastAsia="等线"/>
          <w:lang w:val="en-US" w:eastAsia="zh-CN"/>
        </w:rPr>
        <w:t xml:space="preserve"> as follow:</w:t>
      </w:r>
      <w:r w:rsidR="000B1309" w:rsidRPr="008C42F2">
        <w:rPr>
          <w:rFonts w:eastAsia="等线"/>
          <w:lang w:val="en-US" w:eastAsia="zh-CN"/>
        </w:rPr>
        <w:t xml:space="preserve">   </w:t>
      </w:r>
    </w:p>
    <w:p w14:paraId="7252B5DD" w14:textId="4DE6DE2A" w:rsidR="0004208D" w:rsidRPr="008C42F2" w:rsidRDefault="000B1309" w:rsidP="0004208D">
      <w:pPr>
        <w:spacing w:after="240" w:line="480" w:lineRule="auto"/>
        <w:jc w:val="center"/>
        <w:rPr>
          <w:rFonts w:eastAsia="等线"/>
          <w:lang w:val="en-US" w:eastAsia="zh-CN"/>
        </w:rPr>
      </w:pPr>
      <w:r w:rsidRPr="008C42F2">
        <w:rPr>
          <w:rFonts w:eastAsia="等线"/>
          <w:lang w:val="en-US" w:eastAsia="zh-CN"/>
        </w:rPr>
        <w:t xml:space="preserve">  </w:t>
      </w:r>
      <w:r w:rsidR="0004208D" w:rsidRPr="008C42F2">
        <w:rPr>
          <w:rFonts w:eastAsia="等线"/>
          <w:lang w:val="en-US" w:eastAsia="zh-CN"/>
        </w:rPr>
        <w:object w:dxaOrig="5140" w:dyaOrig="759" w14:anchorId="57870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6" o:spid="_x0000_i1025" type="#_x0000_t75" style="width:269.3pt;height:38.3pt;mso-position-horizontal-relative:page;mso-position-vertical-relative:page" o:ole="">
            <v:imagedata r:id="rId8" o:title=""/>
          </v:shape>
          <o:OLEObject Type="Embed" ProgID="Equation.DSMT4" ShapeID="对象 6" DrawAspect="Content" ObjectID="_1747720153" r:id="rId9"/>
        </w:object>
      </w:r>
      <w:r w:rsidR="0004208D" w:rsidRPr="008C42F2">
        <w:rPr>
          <w:rFonts w:eastAsia="等线"/>
          <w:lang w:val="en-US" w:eastAsia="zh-CN"/>
        </w:rPr>
        <w:t xml:space="preserve">     </w:t>
      </w:r>
      <w:r w:rsidRPr="008C42F2">
        <w:rPr>
          <w:rFonts w:eastAsia="等线"/>
          <w:lang w:val="en-US" w:eastAsia="zh-CN"/>
        </w:rPr>
        <w:t xml:space="preserve">      </w:t>
      </w:r>
      <w:r w:rsidR="0004208D" w:rsidRPr="008C42F2">
        <w:rPr>
          <w:rFonts w:eastAsia="等线"/>
          <w:lang w:val="en-US" w:eastAsia="zh-CN"/>
        </w:rPr>
        <w:t>(</w:t>
      </w:r>
      <w:r w:rsidR="0004208D" w:rsidRPr="008C42F2">
        <w:rPr>
          <w:rFonts w:eastAsia="等线" w:hint="eastAsia"/>
          <w:lang w:val="en-US" w:eastAsia="zh-CN"/>
        </w:rPr>
        <w:t>s</w:t>
      </w:r>
      <w:r w:rsidR="0004208D" w:rsidRPr="008C42F2">
        <w:rPr>
          <w:rFonts w:eastAsia="等线"/>
          <w:lang w:val="en-US" w:eastAsia="zh-CN"/>
        </w:rPr>
        <w:t>1)</w:t>
      </w:r>
    </w:p>
    <w:p w14:paraId="4E998A98" w14:textId="4D06C25E" w:rsidR="0004208D" w:rsidRPr="008C42F2" w:rsidRDefault="0004208D" w:rsidP="0004208D">
      <w:pPr>
        <w:spacing w:line="360" w:lineRule="auto"/>
        <w:jc w:val="both"/>
      </w:pPr>
      <w:r w:rsidRPr="008C42F2">
        <w:rPr>
          <w:rFonts w:eastAsia="等线"/>
          <w:lang w:val="en-US" w:eastAsia="zh-CN"/>
        </w:rPr>
        <w:t xml:space="preserve">where </w:t>
      </w:r>
      <m:oMath>
        <m:sSub>
          <m:sSubPr>
            <m:ctrlPr>
              <w:rPr>
                <w:rFonts w:ascii="Cambria Math" w:eastAsia="等线" w:hAnsi="Cambria Math"/>
                <w:i/>
                <w:lang w:val="en-US" w:eastAsia="zh-CN"/>
              </w:rPr>
            </m:ctrlPr>
          </m:sSubPr>
          <m:e>
            <m:r>
              <w:rPr>
                <w:rFonts w:ascii="Cambria Math" w:eastAsia="等线" w:hAnsi="Cambria Math"/>
                <w:lang w:val="en-US" w:eastAsia="zh-CN"/>
              </w:rPr>
              <m:t>n</m:t>
            </m:r>
          </m:e>
          <m:sub>
            <m:r>
              <w:rPr>
                <w:rFonts w:ascii="Cambria Math" w:eastAsia="等线" w:hAnsi="Cambria Math"/>
                <w:lang w:val="en-US" w:eastAsia="zh-CN"/>
              </w:rPr>
              <m:t>0</m:t>
            </m:r>
          </m:sub>
        </m:sSub>
      </m:oMath>
      <w:r w:rsidRPr="008C42F2">
        <w:rPr>
          <w:rFonts w:eastAsia="等线"/>
          <w:lang w:val="en-US" w:eastAsia="zh-CN"/>
        </w:rPr>
        <w:t xml:space="preserve"> is the unperturbed part of </w:t>
      </w:r>
      <w:bookmarkStart w:id="0" w:name="_Hlk136533513"/>
      <w:r w:rsidRPr="008C42F2">
        <w:rPr>
          <w:rFonts w:eastAsia="等线"/>
          <w:lang w:val="en-US" w:eastAsia="zh-CN"/>
        </w:rPr>
        <w:t>the refractive index</w:t>
      </w:r>
      <w:bookmarkEnd w:id="0"/>
      <w:r w:rsidRPr="008C42F2">
        <w:rPr>
          <w:rFonts w:eastAsia="等线"/>
          <w:lang w:val="en-US" w:eastAsia="zh-CN"/>
        </w:rPr>
        <w:t xml:space="preserve"> (effective index of GST225/</w:t>
      </w:r>
      <w:proofErr w:type="spellStart"/>
      <w:r w:rsidRPr="008C42F2">
        <w:rPr>
          <w:rFonts w:eastAsia="等线"/>
          <w:lang w:val="en-US" w:eastAsia="zh-CN"/>
        </w:rPr>
        <w:t>InGaAsP</w:t>
      </w:r>
      <w:proofErr w:type="spellEnd"/>
      <w:r w:rsidRPr="008C42F2">
        <w:rPr>
          <w:rFonts w:eastAsia="等线"/>
          <w:lang w:val="en-US" w:eastAsia="zh-CN"/>
        </w:rPr>
        <w:t xml:space="preserve"> stacked layers), </w:t>
      </w:r>
      <m:oMath>
        <m:r>
          <w:rPr>
            <w:rFonts w:ascii="Cambria Math" w:eastAsia="等线" w:hAnsi="Cambria Math"/>
            <w:lang w:val="en-US" w:eastAsia="zh-CN"/>
          </w:rPr>
          <m:t>m</m:t>
        </m:r>
      </m:oMath>
      <w:r w:rsidRPr="008C42F2">
        <w:rPr>
          <w:rFonts w:eastAsia="等线"/>
          <w:lang w:val="en-US" w:eastAsia="zh-CN"/>
        </w:rPr>
        <w:t xml:space="preserve"> the azimuthal number of the targeted WGM, </w:t>
      </w:r>
      <m:oMath>
        <m:r>
          <w:rPr>
            <w:rFonts w:ascii="Cambria Math" w:eastAsia="等线" w:hAnsi="Cambria Math"/>
            <w:lang w:val="en-US" w:eastAsia="zh-CN"/>
          </w:rPr>
          <m:t>b</m:t>
        </m:r>
      </m:oMath>
      <w:r w:rsidRPr="008C42F2">
        <w:rPr>
          <w:rFonts w:eastAsia="等线"/>
          <w:lang w:val="en-US" w:eastAsia="zh-CN"/>
        </w:rPr>
        <w:t xml:space="preserve"> integer number from {0, </w:t>
      </w:r>
      <m:oMath>
        <m:r>
          <w:rPr>
            <w:rFonts w:ascii="Cambria Math" w:eastAsia="等线" w:hAnsi="Cambria Math"/>
            <w:lang w:val="en-US" w:eastAsia="zh-CN"/>
          </w:rPr>
          <m:t>m</m:t>
        </m:r>
        <m:r>
          <m:rPr>
            <m:sty m:val="p"/>
          </m:rPr>
          <w:rPr>
            <w:rFonts w:ascii="Cambria Math" w:eastAsia="等线" w:hAnsi="Cambria Math"/>
            <w:lang w:val="en-US" w:eastAsia="zh-CN"/>
          </w:rPr>
          <m:t>-</m:t>
        </m:r>
      </m:oMath>
      <w:r w:rsidRPr="008C42F2">
        <w:rPr>
          <w:rFonts w:eastAsia="等线" w:hint="eastAsia"/>
          <w:lang w:val="en-US" w:eastAsia="zh-CN"/>
        </w:rPr>
        <w:t xml:space="preserve"> 1</w:t>
      </w:r>
      <w:r w:rsidRPr="008C42F2">
        <w:rPr>
          <w:rFonts w:eastAsia="等线"/>
          <w:lang w:val="en-US" w:eastAsia="zh-CN"/>
        </w:rPr>
        <w:t>}.</w:t>
      </w:r>
    </w:p>
    <w:p w14:paraId="18041288" w14:textId="6F2DE43A" w:rsidR="00867DF0" w:rsidRDefault="00A92E67" w:rsidP="00867DF0">
      <w:pPr>
        <w:spacing w:line="360" w:lineRule="auto"/>
        <w:jc w:val="both"/>
        <w:rPr>
          <w:sz w:val="23"/>
          <w:szCs w:val="23"/>
        </w:rPr>
      </w:pPr>
      <w:r>
        <w:t xml:space="preserve">To </w:t>
      </w:r>
      <w:r w:rsidR="00867DF0">
        <w:t>investigate</w:t>
      </w:r>
      <w:r w:rsidR="003C7739">
        <w:rPr>
          <w:rFonts w:hint="eastAsia"/>
        </w:rPr>
        <w:t xml:space="preserve"> </w:t>
      </w:r>
      <w:r w:rsidR="003C7739" w:rsidRPr="008207FF">
        <w:t>unidirectional power flow circulating inside the cavity</w:t>
      </w:r>
      <w:r w:rsidR="003C7739">
        <w:rPr>
          <w:rFonts w:hint="eastAsia"/>
        </w:rPr>
        <w:t xml:space="preserve"> </w:t>
      </w:r>
      <w:r w:rsidR="00867DF0" w:rsidRPr="00867DF0">
        <w:rPr>
          <w:sz w:val="23"/>
          <w:szCs w:val="23"/>
        </w:rPr>
        <w:t xml:space="preserve">at the </w:t>
      </w:r>
      <w:r w:rsidR="00867DF0" w:rsidRPr="00867DF0">
        <w:rPr>
          <w:lang w:val="en-GB" w:eastAsia="zh-CN"/>
        </w:rPr>
        <w:t xml:space="preserve">exceptional point (EP) </w:t>
      </w:r>
      <w:r w:rsidR="00867DF0" w:rsidRPr="00867DF0">
        <w:rPr>
          <w:sz w:val="23"/>
          <w:szCs w:val="23"/>
          <w:lang w:val="en-GB"/>
        </w:rPr>
        <w:t>modification</w:t>
      </w:r>
      <w:r w:rsidR="00867DF0" w:rsidRPr="00867DF0">
        <w:rPr>
          <w:sz w:val="23"/>
          <w:szCs w:val="23"/>
        </w:rPr>
        <w:t xml:space="preserve"> of index and loss/gain gratings (</w:t>
      </w:r>
      <w:r w:rsidR="00867DF0" w:rsidRPr="00595A86">
        <w:rPr>
          <w:position w:val="-6"/>
        </w:rPr>
        <w:object w:dxaOrig="700" w:dyaOrig="279" w14:anchorId="55F4FEC0">
          <v:shape id="_x0000_i1026" type="#_x0000_t75" style="width:36pt;height:15.95pt" o:ole="">
            <v:imagedata r:id="rId10" o:title=""/>
          </v:shape>
          <o:OLEObject Type="Embed" ProgID="Equation.DSMT4" ShapeID="_x0000_i1026" DrawAspect="Content" ObjectID="_1747720154" r:id="rId11"/>
        </w:object>
      </w:r>
      <w:r w:rsidR="00867DF0" w:rsidRPr="00867DF0">
        <w:rPr>
          <w:sz w:val="23"/>
          <w:szCs w:val="23"/>
        </w:rPr>
        <w:t>)</w:t>
      </w:r>
      <w:r>
        <w:rPr>
          <w:sz w:val="23"/>
          <w:szCs w:val="23"/>
        </w:rPr>
        <w:t xml:space="preserve">, </w:t>
      </w:r>
      <w:r>
        <w:t>t</w:t>
      </w:r>
      <w:r w:rsidRPr="009441E0">
        <w:t>he semiconductor rate equations</w:t>
      </w:r>
      <w:r>
        <w:t xml:space="preserve"> are adopt</w:t>
      </w:r>
      <w:r w:rsidR="00FE1CAD">
        <w:t>. The equations</w:t>
      </w:r>
      <w:r>
        <w:rPr>
          <w:rFonts w:eastAsiaTheme="minorEastAsia" w:hint="eastAsia"/>
          <w:lang w:eastAsia="zh-CN"/>
        </w:rPr>
        <w:t xml:space="preserve"> </w:t>
      </w:r>
      <w:r>
        <w:rPr>
          <w:sz w:val="23"/>
          <w:szCs w:val="23"/>
        </w:rPr>
        <w:t>describe</w:t>
      </w:r>
      <w:r w:rsidRPr="00867DF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</w:t>
      </w:r>
      <w:r w:rsidRPr="00867DF0">
        <w:rPr>
          <w:sz w:val="23"/>
          <w:szCs w:val="23"/>
        </w:rPr>
        <w:t xml:space="preserve">linear and nonlinear competition of clockwise and counterclockwise </w:t>
      </w:r>
      <w:r w:rsidRPr="004919A5">
        <w:rPr>
          <w:lang w:val="en-GB" w:eastAsia="zh-CN"/>
        </w:rPr>
        <w:t>whispering gallery</w:t>
      </w:r>
      <w:r>
        <w:rPr>
          <w:rFonts w:hint="eastAsia"/>
          <w:lang w:val="en-GB" w:eastAsia="zh-CN"/>
        </w:rPr>
        <w:t xml:space="preserve"> </w:t>
      </w:r>
      <w:r w:rsidRPr="004919A5">
        <w:rPr>
          <w:lang w:val="en-GB" w:eastAsia="zh-CN"/>
        </w:rPr>
        <w:t>modes (WGMs)</w:t>
      </w:r>
      <w:r>
        <w:rPr>
          <w:lang w:val="en-GB" w:eastAsia="zh-CN"/>
        </w:rPr>
        <w:t xml:space="preserve"> </w:t>
      </w:r>
      <w:r w:rsidRPr="00867DF0">
        <w:rPr>
          <w:sz w:val="23"/>
          <w:szCs w:val="23"/>
        </w:rPr>
        <w:t>in t</w:t>
      </w:r>
      <w:r>
        <w:rPr>
          <w:sz w:val="23"/>
          <w:szCs w:val="23"/>
        </w:rPr>
        <w:t>he microring cavity,</w:t>
      </w:r>
    </w:p>
    <w:p w14:paraId="29F79227" w14:textId="5A1266C6" w:rsidR="003C7739" w:rsidRDefault="00FE1CAD" w:rsidP="00850E5F">
      <w:pPr>
        <w:ind w:firstLineChars="775" w:firstLine="1860"/>
      </w:pPr>
      <w:r w:rsidRPr="00FE1CAD">
        <w:rPr>
          <w:position w:val="-24"/>
        </w:rPr>
        <w:object w:dxaOrig="3720" w:dyaOrig="620" w14:anchorId="32DDEB0F">
          <v:shape id="_x0000_i1027" type="#_x0000_t75" style="width:185.45pt;height:30.1pt" o:ole="">
            <v:imagedata r:id="rId12" o:title=""/>
          </v:shape>
          <o:OLEObject Type="Embed" ProgID="Equation.DSMT4" ShapeID="_x0000_i1027" DrawAspect="Content" ObjectID="_1747720155" r:id="rId13"/>
        </w:object>
      </w:r>
      <w:r>
        <w:t xml:space="preserve">    </w:t>
      </w:r>
      <w:r w:rsidR="00850E5F">
        <w:t xml:space="preserve">  </w:t>
      </w:r>
      <w:r>
        <w:t xml:space="preserve"> </w:t>
      </w:r>
      <w:r w:rsidR="009E1A1F">
        <w:t xml:space="preserve">       </w:t>
      </w:r>
      <w:r>
        <w:t xml:space="preserve"> (s</w:t>
      </w:r>
      <w:r w:rsidR="0004208D">
        <w:t>2</w:t>
      </w:r>
      <w:r>
        <w:t>)</w:t>
      </w:r>
    </w:p>
    <w:p w14:paraId="19AEBB69" w14:textId="0D934CE1" w:rsidR="00FE1CAD" w:rsidRDefault="00FE1CAD" w:rsidP="00850E5F">
      <w:pPr>
        <w:pStyle w:val="a4"/>
        <w:ind w:left="360" w:firstLineChars="600" w:firstLine="1440"/>
      </w:pPr>
      <w:r w:rsidRPr="00FE1CAD">
        <w:rPr>
          <w:position w:val="-24"/>
        </w:rPr>
        <w:object w:dxaOrig="3840" w:dyaOrig="620" w14:anchorId="068F7A17">
          <v:shape id="_x0000_i1028" type="#_x0000_t75" style="width:190.5pt;height:30.1pt" o:ole="">
            <v:imagedata r:id="rId14" o:title=""/>
          </v:shape>
          <o:OLEObject Type="Embed" ProgID="Equation.DSMT4" ShapeID="_x0000_i1028" DrawAspect="Content" ObjectID="_1747720156" r:id="rId15"/>
        </w:object>
      </w:r>
      <w:r>
        <w:t xml:space="preserve">     </w:t>
      </w:r>
      <w:r w:rsidR="009E1A1F">
        <w:t xml:space="preserve">   </w:t>
      </w:r>
      <w:r w:rsidR="00850E5F">
        <w:t xml:space="preserve">   </w:t>
      </w:r>
      <w:r w:rsidR="009E1A1F">
        <w:t xml:space="preserve">   </w:t>
      </w:r>
      <w:r>
        <w:t xml:space="preserve"> (s</w:t>
      </w:r>
      <w:r w:rsidR="0004208D">
        <w:t>3</w:t>
      </w:r>
      <w:r>
        <w:t>)</w:t>
      </w:r>
    </w:p>
    <w:p w14:paraId="5F586B6E" w14:textId="0D5DC1CD" w:rsidR="00FE1CAD" w:rsidRPr="00850E5F" w:rsidRDefault="00FE1CAD" w:rsidP="00850E5F">
      <w:pPr>
        <w:ind w:firstLineChars="675" w:firstLine="1620"/>
        <w:rPr>
          <w:rFonts w:ascii="Cambria Math" w:hAnsi="Cambria Math" w:cs="Cambria Math"/>
        </w:rPr>
      </w:pPr>
      <w:r w:rsidRPr="00FE1CAD">
        <w:rPr>
          <w:position w:val="-24"/>
        </w:rPr>
        <w:object w:dxaOrig="4200" w:dyaOrig="620" w14:anchorId="494B7D73">
          <v:shape id="_x0000_i1029" type="#_x0000_t75" style="width:211pt;height:30.1pt" o:ole="">
            <v:imagedata r:id="rId16" o:title=""/>
          </v:shape>
          <o:OLEObject Type="Embed" ProgID="Equation.DSMT4" ShapeID="_x0000_i1029" DrawAspect="Content" ObjectID="_1747720157" r:id="rId17"/>
        </w:object>
      </w:r>
      <w:r>
        <w:t xml:space="preserve">        </w:t>
      </w:r>
      <w:r w:rsidR="009E1A1F">
        <w:t xml:space="preserve"> </w:t>
      </w:r>
      <w:r w:rsidR="00850E5F">
        <w:t xml:space="preserve">  </w:t>
      </w:r>
      <w:bookmarkStart w:id="1" w:name="_GoBack"/>
      <w:bookmarkEnd w:id="1"/>
      <w:r w:rsidR="009E1A1F">
        <w:t xml:space="preserve">  </w:t>
      </w:r>
      <w:r>
        <w:t>(s</w:t>
      </w:r>
      <w:r w:rsidR="0004208D">
        <w:t>4</w:t>
      </w:r>
      <w:r>
        <w:t>)</w:t>
      </w:r>
    </w:p>
    <w:p w14:paraId="5E1E5551" w14:textId="585D469F" w:rsidR="003326F1" w:rsidRDefault="00FE1CAD" w:rsidP="00386E2F">
      <w:pPr>
        <w:spacing w:line="360" w:lineRule="auto"/>
        <w:jc w:val="both"/>
        <w:rPr>
          <w:sz w:val="23"/>
          <w:szCs w:val="23"/>
        </w:rPr>
      </w:pPr>
      <w:r w:rsidRPr="003417E3">
        <w:t>where</w:t>
      </w:r>
      <w:r w:rsidR="003C7739" w:rsidRPr="003417E3">
        <w:rPr>
          <w:position w:val="-12"/>
        </w:rPr>
        <w:object w:dxaOrig="639" w:dyaOrig="360" w14:anchorId="70188E59">
          <v:shape id="_x0000_i1030" type="#_x0000_t75" style="width:30.1pt;height:20.05pt" o:ole="">
            <v:imagedata r:id="rId18" o:title=""/>
          </v:shape>
          <o:OLEObject Type="Embed" ProgID="Equation.DSMT4" ShapeID="_x0000_i1030" DrawAspect="Content" ObjectID="_1747720158" r:id="rId19"/>
        </w:object>
      </w:r>
      <w:r w:rsidR="003C7739" w:rsidRPr="003417E3">
        <w:t>and</w:t>
      </w:r>
      <w:r w:rsidR="003C7739" w:rsidRPr="003417E3">
        <w:rPr>
          <w:position w:val="-12"/>
        </w:rPr>
        <w:object w:dxaOrig="700" w:dyaOrig="360" w14:anchorId="7919E9E9">
          <v:shape id="_x0000_i1031" type="#_x0000_t75" style="width:36pt;height:20.05pt" o:ole="">
            <v:imagedata r:id="rId20" o:title=""/>
          </v:shape>
          <o:OLEObject Type="Embed" ProgID="Equation.DSMT4" ShapeID="_x0000_i1031" DrawAspect="Content" ObjectID="_1747720159" r:id="rId21"/>
        </w:object>
      </w:r>
      <w:r w:rsidR="003C7739" w:rsidRPr="003417E3">
        <w:t xml:space="preserve"> are the slowly-varying normalized amplitudes of </w:t>
      </w:r>
      <w:r w:rsidRPr="003417E3">
        <w:t xml:space="preserve">clockwise </w:t>
      </w:r>
      <w:r w:rsidR="003C7739" w:rsidRPr="003417E3">
        <w:t xml:space="preserve">and </w:t>
      </w:r>
      <w:r w:rsidRPr="003417E3">
        <w:t xml:space="preserve">counterclockwise </w:t>
      </w:r>
      <w:r w:rsidR="003C7739" w:rsidRPr="003417E3">
        <w:t>propagating WGMs.</w:t>
      </w:r>
      <w:r w:rsidR="003C7739" w:rsidRPr="003417E3">
        <w:rPr>
          <w:position w:val="-12"/>
        </w:rPr>
        <w:object w:dxaOrig="320" w:dyaOrig="360" w14:anchorId="722F79F7">
          <v:shape id="_x0000_i1032" type="#_x0000_t75" style="width:15.95pt;height:20.05pt" o:ole="">
            <v:imagedata r:id="rId22" o:title=""/>
          </v:shape>
          <o:OLEObject Type="Embed" ProgID="Equation.DSMT4" ShapeID="_x0000_i1032" DrawAspect="Content" ObjectID="_1747720160" r:id="rId23"/>
        </w:object>
      </w:r>
      <w:r w:rsidR="003C7739" w:rsidRPr="003417E3">
        <w:t xml:space="preserve"> is the carrier density, </w:t>
      </w:r>
      <w:r w:rsidR="003C7739" w:rsidRPr="003417E3">
        <w:rPr>
          <w:position w:val="-14"/>
        </w:rPr>
        <w:object w:dxaOrig="300" w:dyaOrig="380" w14:anchorId="2266EF58">
          <v:shape id="_x0000_i1033" type="#_x0000_t75" style="width:15.95pt;height:20.05pt" o:ole="">
            <v:imagedata r:id="rId24" o:title=""/>
          </v:shape>
          <o:OLEObject Type="Embed" ProgID="Equation.DSMT4" ShapeID="_x0000_i1033" DrawAspect="Content" ObjectID="_1747720161" r:id="rId25"/>
        </w:object>
      </w:r>
      <w:r w:rsidR="003C7739" w:rsidRPr="003417E3">
        <w:t xml:space="preserve"> is the field decay rate, </w:t>
      </w:r>
      <w:r w:rsidR="003C7739" w:rsidRPr="003417E3">
        <w:rPr>
          <w:position w:val="-12"/>
        </w:rPr>
        <w:object w:dxaOrig="260" w:dyaOrig="360" w14:anchorId="61F8CB1F">
          <v:shape id="_x0000_i1034" type="#_x0000_t75" style="width:10.5pt;height:20.05pt" o:ole="">
            <v:imagedata r:id="rId26" o:title=""/>
          </v:shape>
          <o:OLEObject Type="Embed" ProgID="Equation.DSMT4" ShapeID="_x0000_i1034" DrawAspect="Content" ObjectID="_1747720162" r:id="rId27"/>
        </w:object>
      </w:r>
      <w:r w:rsidR="003C7739" w:rsidRPr="003417E3">
        <w:t xml:space="preserve"> is the decay rate of the carrier population, </w:t>
      </w:r>
      <w:r w:rsidR="003C7739" w:rsidRPr="003417E3">
        <w:rPr>
          <w:position w:val="-6"/>
        </w:rPr>
        <w:object w:dxaOrig="240" w:dyaOrig="220" w14:anchorId="20956165">
          <v:shape id="_x0000_i1035" type="#_x0000_t75" style="width:10.5pt;height:10.5pt" o:ole="">
            <v:imagedata r:id="rId28" o:title=""/>
          </v:shape>
          <o:OLEObject Type="Embed" ProgID="Equation.DSMT4" ShapeID="_x0000_i1035" DrawAspect="Content" ObjectID="_1747720163" r:id="rId29"/>
        </w:object>
      </w:r>
      <w:r w:rsidR="003C7739" w:rsidRPr="003417E3">
        <w:t xml:space="preserve"> is the linewidth enhancement factor, </w:t>
      </w:r>
      <w:r w:rsidR="003C7739" w:rsidRPr="003417E3">
        <w:rPr>
          <w:position w:val="-10"/>
        </w:rPr>
        <w:object w:dxaOrig="240" w:dyaOrig="260" w14:anchorId="1DC62035">
          <v:shape id="_x0000_i1036" type="#_x0000_t75" style="width:10.5pt;height:10.5pt" o:ole="">
            <v:imagedata r:id="rId30" o:title=""/>
          </v:shape>
          <o:OLEObject Type="Embed" ProgID="Equation.DSMT4" ShapeID="_x0000_i1036" DrawAspect="Content" ObjectID="_1747720164" r:id="rId31"/>
        </w:object>
      </w:r>
      <w:r w:rsidR="003C7739" w:rsidRPr="003417E3">
        <w:t xml:space="preserve"> is the normalized injection current, </w:t>
      </w:r>
      <w:r w:rsidR="003C7739" w:rsidRPr="003417E3">
        <w:rPr>
          <w:position w:val="-14"/>
        </w:rPr>
        <w:object w:dxaOrig="2320" w:dyaOrig="440" w14:anchorId="54CE53CA">
          <v:shape id="_x0000_i1037" type="#_x0000_t75" style="width:118.5pt;height:20.05pt" o:ole="">
            <v:imagedata r:id="rId32" o:title=""/>
          </v:shape>
          <o:OLEObject Type="Embed" ProgID="Equation.DSMT4" ShapeID="_x0000_i1037" DrawAspect="Content" ObjectID="_1747720165" r:id="rId33"/>
        </w:object>
      </w:r>
      <w:r w:rsidR="003C7739" w:rsidRPr="003417E3">
        <w:t xml:space="preserve"> and </w:t>
      </w:r>
      <w:r w:rsidR="003C7739" w:rsidRPr="003417E3">
        <w:rPr>
          <w:position w:val="-14"/>
        </w:rPr>
        <w:object w:dxaOrig="2360" w:dyaOrig="440" w14:anchorId="0A71519D">
          <v:shape id="_x0000_i1038" type="#_x0000_t75" style="width:118.5pt;height:20.05pt" o:ole="">
            <v:imagedata r:id="rId34" o:title=""/>
          </v:shape>
          <o:OLEObject Type="Embed" ProgID="Equation.DSMT4" ShapeID="_x0000_i1038" DrawAspect="Content" ObjectID="_1747720166" r:id="rId35"/>
        </w:object>
      </w:r>
      <w:r w:rsidR="003C7739" w:rsidRPr="003417E3">
        <w:t xml:space="preserve">, </w:t>
      </w:r>
      <w:r w:rsidR="003C7739" w:rsidRPr="003417E3">
        <w:rPr>
          <w:i/>
          <w:iCs/>
          <w:position w:val="-6"/>
        </w:rPr>
        <w:object w:dxaOrig="180" w:dyaOrig="220" w14:anchorId="3854B6B9">
          <v:shape id="_x0000_i1039" type="#_x0000_t75" style="width:10.5pt;height:10.5pt" o:ole="">
            <v:imagedata r:id="rId36" o:title=""/>
          </v:shape>
          <o:OLEObject Type="Embed" ProgID="Equation.DSMT4" ShapeID="_x0000_i1039" DrawAspect="Content" ObjectID="_1747720167" r:id="rId37"/>
        </w:object>
      </w:r>
      <w:r w:rsidR="003C7739" w:rsidRPr="003417E3">
        <w:rPr>
          <w:i/>
          <w:iCs/>
        </w:rPr>
        <w:t xml:space="preserve"> </w:t>
      </w:r>
      <w:r w:rsidR="003C7739" w:rsidRPr="003417E3">
        <w:t xml:space="preserve">and </w:t>
      </w:r>
      <w:r w:rsidR="003C7739" w:rsidRPr="003417E3">
        <w:rPr>
          <w:i/>
          <w:iCs/>
          <w:position w:val="-6"/>
        </w:rPr>
        <w:object w:dxaOrig="180" w:dyaOrig="220" w14:anchorId="24F2A403">
          <v:shape id="_x0000_i1040" type="#_x0000_t75" style="width:10.5pt;height:10.5pt" o:ole="">
            <v:imagedata r:id="rId38" o:title=""/>
          </v:shape>
          <o:OLEObject Type="Embed" ProgID="Equation.DSMT4" ShapeID="_x0000_i1040" DrawAspect="Content" ObjectID="_1747720168" r:id="rId39"/>
        </w:object>
      </w:r>
      <w:r w:rsidR="003C7739" w:rsidRPr="003417E3">
        <w:t xml:space="preserve"> is the self- and cross-saturation coefficients. </w:t>
      </w:r>
      <w:r w:rsidR="000839C2">
        <w:t>Linear mode coupling stems</w:t>
      </w:r>
      <w:r w:rsidR="003C7739" w:rsidRPr="003417E3">
        <w:t xml:space="preserve"> from the combined index and los</w:t>
      </w:r>
      <w:r w:rsidR="000839C2">
        <w:t>s/gain gratings and is expressed</w:t>
      </w:r>
      <w:r w:rsidR="003C7739" w:rsidRPr="003417E3">
        <w:t xml:space="preserve"> by the parameters</w:t>
      </w:r>
      <w:r w:rsidR="000839C2">
        <w:t xml:space="preserve"> of </w:t>
      </w:r>
      <w:r w:rsidR="003C7739" w:rsidRPr="003417E3">
        <w:rPr>
          <w:position w:val="-12"/>
        </w:rPr>
        <w:object w:dxaOrig="279" w:dyaOrig="360" w14:anchorId="0B8AC18A">
          <v:shape id="_x0000_i1041" type="#_x0000_t75" style="width:15.95pt;height:20.05pt" o:ole="">
            <v:imagedata r:id="rId40" o:title=""/>
          </v:shape>
          <o:OLEObject Type="Embed" ProgID="Equation.DSMT4" ShapeID="_x0000_i1041" DrawAspect="Content" ObjectID="_1747720169" r:id="rId41"/>
        </w:object>
      </w:r>
      <w:r w:rsidR="003C7739" w:rsidRPr="003417E3">
        <w:t xml:space="preserve"> and </w:t>
      </w:r>
      <w:r w:rsidR="003C7739" w:rsidRPr="003417E3">
        <w:rPr>
          <w:position w:val="-12"/>
        </w:rPr>
        <w:object w:dxaOrig="300" w:dyaOrig="360" w14:anchorId="652F7252">
          <v:shape id="_x0000_i1042" type="#_x0000_t75" style="width:15.95pt;height:20.05pt" o:ole="">
            <v:imagedata r:id="rId42" o:title=""/>
          </v:shape>
          <o:OLEObject Type="Embed" ProgID="Equation.DSMT4" ShapeID="_x0000_i1042" DrawAspect="Content" ObjectID="_1747720170" r:id="rId43"/>
        </w:object>
      </w:r>
      <w:r w:rsidR="003C7739" w:rsidRPr="003417E3">
        <w:t xml:space="preserve"> in the rate equations. </w:t>
      </w:r>
      <w:r w:rsidR="000839C2" w:rsidRPr="000839C2">
        <w:t xml:space="preserve">In the lack of the </w:t>
      </w:r>
      <w:r w:rsidR="000839C2" w:rsidRPr="00CD31F9">
        <w:rPr>
          <w:lang w:val="en-GB" w:eastAsia="zh-CN"/>
        </w:rPr>
        <w:t>alternate bilayer</w:t>
      </w:r>
      <w:r w:rsidR="000839C2">
        <w:rPr>
          <w:rFonts w:hint="eastAsia"/>
          <w:lang w:val="en-GB" w:eastAsia="zh-CN"/>
        </w:rPr>
        <w:t xml:space="preserve"> </w:t>
      </w:r>
      <w:r w:rsidR="000839C2" w:rsidRPr="00CD31F9">
        <w:rPr>
          <w:lang w:val="en-GB" w:eastAsia="zh-CN"/>
        </w:rPr>
        <w:t>Cr/Ge and</w:t>
      </w:r>
      <w:r w:rsidR="000839C2" w:rsidRPr="00B077DA">
        <w:rPr>
          <w:lang w:val="en-GB" w:eastAsia="zh-CN"/>
        </w:rPr>
        <w:t xml:space="preserve"> </w:t>
      </w:r>
      <w:r w:rsidR="000839C2" w:rsidRPr="00CD31F9">
        <w:rPr>
          <w:lang w:val="en-GB" w:eastAsia="zh-CN"/>
        </w:rPr>
        <w:t xml:space="preserve">single-layer Ge </w:t>
      </w:r>
      <w:r w:rsidR="00CF7852">
        <w:rPr>
          <w:lang w:val="en-GB" w:eastAsia="zh-CN"/>
        </w:rPr>
        <w:t>gratings</w:t>
      </w:r>
      <w:r w:rsidR="000839C2" w:rsidRPr="000839C2">
        <w:t xml:space="preserve"> (</w:t>
      </w:r>
      <w:r w:rsidR="00CF7852" w:rsidRPr="00595A86">
        <w:rPr>
          <w:position w:val="-6"/>
        </w:rPr>
        <w:object w:dxaOrig="1060" w:dyaOrig="279" w14:anchorId="68418D8D">
          <v:shape id="_x0000_i1043" type="#_x0000_t75" style="width:51.95pt;height:15.95pt" o:ole="">
            <v:imagedata r:id="rId44" o:title=""/>
          </v:shape>
          <o:OLEObject Type="Embed" ProgID="Equation.DSMT4" ShapeID="_x0000_i1043" DrawAspect="Content" ObjectID="_1747720171" r:id="rId45"/>
        </w:object>
      </w:r>
      <w:r w:rsidR="000839C2" w:rsidRPr="000839C2">
        <w:t xml:space="preserve">), </w:t>
      </w:r>
      <w:r w:rsidR="00FE04B9" w:rsidRPr="003417E3">
        <w:rPr>
          <w:position w:val="-12"/>
        </w:rPr>
        <w:object w:dxaOrig="279" w:dyaOrig="360" w14:anchorId="35E04B4A">
          <v:shape id="_x0000_i1044" type="#_x0000_t75" style="width:15.95pt;height:20.05pt" o:ole="">
            <v:imagedata r:id="rId40" o:title=""/>
          </v:shape>
          <o:OLEObject Type="Embed" ProgID="Equation.DSMT4" ShapeID="_x0000_i1044" DrawAspect="Content" ObjectID="_1747720172" r:id="rId46"/>
        </w:object>
      </w:r>
      <w:r w:rsidR="00FE04B9">
        <w:t xml:space="preserve">and </w:t>
      </w:r>
      <w:r w:rsidR="00FE04B9" w:rsidRPr="003417E3">
        <w:rPr>
          <w:position w:val="-12"/>
        </w:rPr>
        <w:object w:dxaOrig="300" w:dyaOrig="360" w14:anchorId="78B53364">
          <v:shape id="_x0000_i1045" type="#_x0000_t75" style="width:15.95pt;height:20.05pt" o:ole="">
            <v:imagedata r:id="rId42" o:title=""/>
          </v:shape>
          <o:OLEObject Type="Embed" ProgID="Equation.DSMT4" ShapeID="_x0000_i1045" DrawAspect="Content" ObjectID="_1747720173" r:id="rId47"/>
        </w:object>
      </w:r>
      <w:r w:rsidR="00FE04B9">
        <w:t xml:space="preserve"> do not completely disappear due</w:t>
      </w:r>
      <w:r w:rsidR="000839C2" w:rsidRPr="000839C2">
        <w:t xml:space="preserve"> to spurious backscattering in microring</w:t>
      </w:r>
      <w:r w:rsidR="00FE04B9">
        <w:t xml:space="preserve"> cavity while taking a </w:t>
      </w:r>
      <w:r w:rsidR="00FE04B9">
        <w:lastRenderedPageBreak/>
        <w:t>small and indentical</w:t>
      </w:r>
      <w:r w:rsidR="000839C2" w:rsidRPr="000839C2">
        <w:t xml:space="preserve"> value,</w:t>
      </w:r>
      <w:r w:rsidR="00FE04B9" w:rsidRPr="003417E3">
        <w:rPr>
          <w:position w:val="-12"/>
        </w:rPr>
        <w:object w:dxaOrig="1600" w:dyaOrig="360" w14:anchorId="5A81778A">
          <v:shape id="_x0000_i1046" type="#_x0000_t75" style="width:82.5pt;height:20.05pt" o:ole="">
            <v:imagedata r:id="rId48" o:title=""/>
          </v:shape>
          <o:OLEObject Type="Embed" ProgID="Equation.DSMT4" ShapeID="_x0000_i1046" DrawAspect="Content" ObjectID="_1747720174" r:id="rId49"/>
        </w:object>
      </w:r>
      <w:r w:rsidR="000839C2" w:rsidRPr="000839C2">
        <w:t xml:space="preserve">, where </w:t>
      </w:r>
      <w:r w:rsidR="00FE04B9" w:rsidRPr="00FE04B9">
        <w:rPr>
          <w:rFonts w:ascii="Cambria Math" w:hAnsi="Cambria Math" w:cs="Cambria Math"/>
          <w:position w:val="-12"/>
        </w:rPr>
        <w:object w:dxaOrig="320" w:dyaOrig="360" w14:anchorId="33D3DED9">
          <v:shape id="_x0000_i1047" type="#_x0000_t75" style="width:15.95pt;height:20.05pt" o:ole="">
            <v:imagedata r:id="rId50" o:title=""/>
          </v:shape>
          <o:OLEObject Type="Embed" ProgID="Equation.DSMT4" ShapeID="_x0000_i1047" DrawAspect="Content" ObjectID="_1747720175" r:id="rId51"/>
        </w:object>
      </w:r>
      <w:r w:rsidR="000839C2" w:rsidRPr="000839C2">
        <w:t xml:space="preserve"> and </w:t>
      </w:r>
      <w:r w:rsidR="00FE04B9" w:rsidRPr="00FE04B9">
        <w:rPr>
          <w:rFonts w:ascii="Cambria Math" w:hAnsi="Cambria Math" w:cs="Cambria Math"/>
          <w:position w:val="-12"/>
        </w:rPr>
        <w:object w:dxaOrig="300" w:dyaOrig="360" w14:anchorId="6218EC05">
          <v:shape id="_x0000_i1048" type="#_x0000_t75" style="width:15.95pt;height:20.05pt" o:ole="">
            <v:imagedata r:id="rId52" o:title=""/>
          </v:shape>
          <o:OLEObject Type="Embed" ProgID="Equation.DSMT4" ShapeID="_x0000_i1048" DrawAspect="Content" ObjectID="_1747720176" r:id="rId53"/>
        </w:object>
      </w:r>
      <w:r w:rsidR="000839C2" w:rsidRPr="000839C2">
        <w:t xml:space="preserve"> are the </w:t>
      </w:r>
      <w:r w:rsidR="00FE04B9" w:rsidRPr="000839C2">
        <w:t xml:space="preserve">dissipative </w:t>
      </w:r>
      <w:r w:rsidR="000839C2" w:rsidRPr="000839C2">
        <w:t>and</w:t>
      </w:r>
      <w:r w:rsidR="00FE04B9" w:rsidRPr="00FE04B9">
        <w:t xml:space="preserve"> </w:t>
      </w:r>
      <w:r w:rsidR="00FE04B9" w:rsidRPr="000839C2">
        <w:t>conservative</w:t>
      </w:r>
      <w:r w:rsidR="000839C2" w:rsidRPr="000839C2">
        <w:t xml:space="preserve"> couplings, respectively.</w:t>
      </w:r>
      <w:r w:rsidR="00BA7D66" w:rsidRPr="00451BDF">
        <w:rPr>
          <w:rFonts w:eastAsiaTheme="minorEastAsia"/>
          <w:vertAlign w:val="superscript"/>
          <w:lang w:eastAsia="zh-CN"/>
        </w:rPr>
        <w:t>1,2</w:t>
      </w:r>
      <w:r w:rsidR="00CF7852">
        <w:t xml:space="preserve"> When the two gratings are planted on the top of the microring, </w:t>
      </w:r>
      <w:r w:rsidR="00CF7852">
        <w:rPr>
          <w:sz w:val="23"/>
          <w:szCs w:val="23"/>
        </w:rPr>
        <w:t xml:space="preserve">linear mode coupling is controlled by the relative strengths </w:t>
      </w:r>
      <w:r w:rsidR="00CF7852" w:rsidRPr="00595A86">
        <w:rPr>
          <w:position w:val="-6"/>
        </w:rPr>
        <w:object w:dxaOrig="260" w:dyaOrig="279" w14:anchorId="712356B4">
          <v:shape id="_x0000_i1049" type="#_x0000_t75" style="width:15.95pt;height:15.95pt" o:ole="">
            <v:imagedata r:id="rId54" o:title=""/>
          </v:shape>
          <o:OLEObject Type="Embed" ProgID="Equation.DSMT4" ShapeID="_x0000_i1049" DrawAspect="Content" ObjectID="_1747720177" r:id="rId55"/>
        </w:object>
      </w:r>
      <w:r w:rsidR="00CF7852">
        <w:rPr>
          <w:rFonts w:ascii="Cambria Math" w:hAnsi="Cambria Math" w:cs="Cambria Math"/>
          <w:sz w:val="17"/>
          <w:szCs w:val="17"/>
        </w:rPr>
        <w:t xml:space="preserve"> </w:t>
      </w:r>
      <w:r w:rsidR="00CF7852">
        <w:rPr>
          <w:sz w:val="23"/>
          <w:szCs w:val="23"/>
        </w:rPr>
        <w:t xml:space="preserve">and </w:t>
      </w:r>
      <w:r w:rsidR="00CF7852" w:rsidRPr="00595A86">
        <w:rPr>
          <w:position w:val="-6"/>
        </w:rPr>
        <w:object w:dxaOrig="279" w:dyaOrig="279" w14:anchorId="73C21DE4">
          <v:shape id="_x0000_i1050" type="#_x0000_t75" style="width:15.95pt;height:15.95pt" o:ole="">
            <v:imagedata r:id="rId56" o:title=""/>
          </v:shape>
          <o:OLEObject Type="Embed" ProgID="Equation.DSMT4" ShapeID="_x0000_i1050" DrawAspect="Content" ObjectID="_1747720178" r:id="rId57"/>
        </w:object>
      </w:r>
      <w:r w:rsidR="00CF7852">
        <w:rPr>
          <w:sz w:val="23"/>
          <w:szCs w:val="23"/>
        </w:rPr>
        <w:t>of the paired gratings.</w:t>
      </w:r>
      <w:r w:rsidR="00C06587">
        <w:t xml:space="preserve"> Particularly, when the paired grating strengths are indentical </w:t>
      </w:r>
      <w:r w:rsidR="003C7739" w:rsidRPr="003417E3">
        <w:rPr>
          <w:position w:val="-6"/>
        </w:rPr>
        <w:object w:dxaOrig="1060" w:dyaOrig="279" w14:anchorId="7901A03F">
          <v:shape id="_x0000_i1051" type="#_x0000_t75" style="width:51.95pt;height:15.95pt" o:ole="">
            <v:imagedata r:id="rId58" o:title=""/>
          </v:shape>
          <o:OLEObject Type="Embed" ProgID="Equation.DSMT4" ShapeID="_x0000_i1051" DrawAspect="Content" ObjectID="_1747720179" r:id="rId59"/>
        </w:object>
      </w:r>
      <w:r w:rsidR="003C7739" w:rsidRPr="003417E3">
        <w:t>,</w:t>
      </w:r>
      <w:r w:rsidR="00C06587" w:rsidRPr="003417E3">
        <w:t xml:space="preserve"> </w:t>
      </w:r>
      <w:r w:rsidR="003C7739" w:rsidRPr="003417E3">
        <w:t>the linear coupling is unidirectional</w:t>
      </w:r>
      <w:r w:rsidR="00C06587">
        <w:t>, e.g.</w:t>
      </w:r>
      <w:r w:rsidR="003C7739" w:rsidRPr="003417E3">
        <w:rPr>
          <w:color w:val="000000"/>
          <w:sz w:val="23"/>
          <w:szCs w:val="23"/>
        </w:rPr>
        <w:t xml:space="preserve"> </w:t>
      </w:r>
      <w:r w:rsidR="00C06587" w:rsidRPr="003417E3">
        <w:rPr>
          <w:position w:val="-12"/>
        </w:rPr>
        <w:object w:dxaOrig="1060" w:dyaOrig="360" w14:anchorId="4E6D8ACB">
          <v:shape id="_x0000_i1052" type="#_x0000_t75" style="width:51.95pt;height:20.05pt" o:ole="">
            <v:imagedata r:id="rId60" o:title=""/>
          </v:shape>
          <o:OLEObject Type="Embed" ProgID="Equation.DSMT4" ShapeID="_x0000_i1052" DrawAspect="Content" ObjectID="_1747720180" r:id="rId61"/>
        </w:object>
      </w:r>
      <w:r w:rsidR="00C06587">
        <w:t xml:space="preserve"> corresponding to the EP operation of the </w:t>
      </w:r>
      <w:r w:rsidR="00734DCC">
        <w:t>microring laser.</w:t>
      </w:r>
      <w:r w:rsidR="00BA7D66" w:rsidRPr="00451BDF">
        <w:rPr>
          <w:rFonts w:eastAsiaTheme="minorEastAsia"/>
          <w:vertAlign w:val="superscript"/>
          <w:lang w:eastAsia="zh-CN"/>
        </w:rPr>
        <w:t>3</w:t>
      </w:r>
      <w:r w:rsidR="00734DCC">
        <w:t xml:space="preserve"> </w:t>
      </w:r>
      <w:r w:rsidR="00DA3598">
        <w:rPr>
          <w:sz w:val="23"/>
          <w:szCs w:val="23"/>
        </w:rPr>
        <w:t>Nonlinear coupling of WGMs is caused by</w:t>
      </w:r>
      <w:r w:rsidR="00734DCC" w:rsidRPr="00DA3598">
        <w:rPr>
          <w:sz w:val="23"/>
          <w:szCs w:val="23"/>
        </w:rPr>
        <w:t xml:space="preserve"> gain saturation. The modes saturate both</w:t>
      </w:r>
      <w:r w:rsidR="007E3E22" w:rsidRPr="007E3E22">
        <w:rPr>
          <w:sz w:val="23"/>
          <w:szCs w:val="23"/>
        </w:rPr>
        <w:t xml:space="preserve"> </w:t>
      </w:r>
      <w:r w:rsidR="007E3E22" w:rsidRPr="00DA3598">
        <w:rPr>
          <w:sz w:val="23"/>
          <w:szCs w:val="23"/>
        </w:rPr>
        <w:t>each others</w:t>
      </w:r>
      <w:r w:rsidR="00734DCC" w:rsidRPr="00DA3598">
        <w:rPr>
          <w:sz w:val="23"/>
          <w:szCs w:val="23"/>
        </w:rPr>
        <w:t xml:space="preserve"> and</w:t>
      </w:r>
      <w:r w:rsidR="007E3E22" w:rsidRPr="007E3E22">
        <w:rPr>
          <w:sz w:val="23"/>
          <w:szCs w:val="23"/>
        </w:rPr>
        <w:t xml:space="preserve"> </w:t>
      </w:r>
      <w:r w:rsidR="007E3E22" w:rsidRPr="00DA3598">
        <w:rPr>
          <w:sz w:val="23"/>
          <w:szCs w:val="23"/>
        </w:rPr>
        <w:t>their own</w:t>
      </w:r>
      <w:r w:rsidR="00734DCC" w:rsidRPr="00DA3598">
        <w:rPr>
          <w:sz w:val="23"/>
          <w:szCs w:val="23"/>
        </w:rPr>
        <w:t xml:space="preserve"> gains through </w:t>
      </w:r>
      <w:r w:rsidR="007E3E22">
        <w:rPr>
          <w:sz w:val="23"/>
          <w:szCs w:val="23"/>
        </w:rPr>
        <w:t xml:space="preserve">the effects of </w:t>
      </w:r>
      <w:r w:rsidR="007E3E22" w:rsidRPr="00DA3598">
        <w:rPr>
          <w:sz w:val="23"/>
          <w:szCs w:val="23"/>
        </w:rPr>
        <w:t xml:space="preserve">carrier heating </w:t>
      </w:r>
      <w:r w:rsidR="00734DCC" w:rsidRPr="00DA3598">
        <w:rPr>
          <w:sz w:val="23"/>
          <w:szCs w:val="23"/>
        </w:rPr>
        <w:t>and</w:t>
      </w:r>
      <w:r w:rsidR="007E3E22" w:rsidRPr="007E3E22">
        <w:rPr>
          <w:sz w:val="23"/>
          <w:szCs w:val="23"/>
        </w:rPr>
        <w:t xml:space="preserve"> </w:t>
      </w:r>
      <w:r w:rsidR="007E3E22" w:rsidRPr="00DA3598">
        <w:rPr>
          <w:sz w:val="23"/>
          <w:szCs w:val="23"/>
        </w:rPr>
        <w:t>spectral hole burning</w:t>
      </w:r>
      <w:r w:rsidR="0000358C">
        <w:rPr>
          <w:sz w:val="23"/>
          <w:szCs w:val="23"/>
        </w:rPr>
        <w:t>, which are contained</w:t>
      </w:r>
      <w:r w:rsidR="00734DCC" w:rsidRPr="00DA3598">
        <w:rPr>
          <w:sz w:val="23"/>
          <w:szCs w:val="23"/>
        </w:rPr>
        <w:t xml:space="preserve"> in the </w:t>
      </w:r>
      <w:r w:rsidR="00734DCC" w:rsidRPr="0000358C">
        <w:rPr>
          <w:i/>
          <w:sz w:val="23"/>
          <w:szCs w:val="23"/>
        </w:rPr>
        <w:t>s</w:t>
      </w:r>
      <w:r w:rsidR="00734DCC" w:rsidRPr="00DA3598">
        <w:rPr>
          <w:sz w:val="23"/>
          <w:szCs w:val="23"/>
        </w:rPr>
        <w:t xml:space="preserve"> and </w:t>
      </w:r>
      <w:r w:rsidR="00734DCC" w:rsidRPr="0000358C">
        <w:rPr>
          <w:i/>
          <w:sz w:val="23"/>
          <w:szCs w:val="23"/>
        </w:rPr>
        <w:t>c&gt;s</w:t>
      </w:r>
      <w:r w:rsidR="00734DCC" w:rsidRPr="00DA3598">
        <w:rPr>
          <w:sz w:val="23"/>
          <w:szCs w:val="23"/>
        </w:rPr>
        <w:t xml:space="preserve"> saturation parameters.</w:t>
      </w:r>
      <w:r w:rsidR="00BA7D66" w:rsidRPr="00451BDF">
        <w:rPr>
          <w:rFonts w:eastAsiaTheme="minorEastAsia"/>
          <w:sz w:val="23"/>
          <w:szCs w:val="23"/>
          <w:vertAlign w:val="superscript"/>
          <w:lang w:eastAsia="zh-CN"/>
        </w:rPr>
        <w:t>4</w:t>
      </w:r>
      <w:r w:rsidR="00734DCC" w:rsidRPr="00DA3598">
        <w:rPr>
          <w:sz w:val="23"/>
          <w:szCs w:val="23"/>
        </w:rPr>
        <w:t xml:space="preserve"> </w:t>
      </w:r>
      <w:r w:rsidR="0000358C">
        <w:rPr>
          <w:sz w:val="23"/>
          <w:szCs w:val="23"/>
        </w:rPr>
        <w:t>Herein, grating effects in</w:t>
      </w:r>
      <w:r w:rsidR="0000358C" w:rsidRPr="00DA3598">
        <w:rPr>
          <w:sz w:val="23"/>
          <w:szCs w:val="23"/>
        </w:rPr>
        <w:t xml:space="preserve"> </w:t>
      </w:r>
      <w:r w:rsidR="0000358C">
        <w:rPr>
          <w:sz w:val="23"/>
          <w:szCs w:val="23"/>
        </w:rPr>
        <w:t>the carrier density is ignored</w:t>
      </w:r>
      <w:r w:rsidR="0000358C" w:rsidRPr="00DA3598">
        <w:rPr>
          <w:sz w:val="23"/>
          <w:szCs w:val="23"/>
        </w:rPr>
        <w:t xml:space="preserve"> </w:t>
      </w:r>
      <w:r w:rsidR="0000358C">
        <w:rPr>
          <w:sz w:val="23"/>
          <w:szCs w:val="23"/>
        </w:rPr>
        <w:t>since</w:t>
      </w:r>
      <w:r w:rsidR="00734DCC" w:rsidRPr="00DA3598">
        <w:rPr>
          <w:sz w:val="23"/>
          <w:szCs w:val="23"/>
        </w:rPr>
        <w:t xml:space="preserve"> th</w:t>
      </w:r>
      <w:r w:rsidR="0000358C">
        <w:rPr>
          <w:sz w:val="23"/>
          <w:szCs w:val="23"/>
        </w:rPr>
        <w:t>e standing-wave mode pattern exhibits</w:t>
      </w:r>
      <w:r w:rsidR="00734DCC" w:rsidRPr="00DA3598">
        <w:rPr>
          <w:sz w:val="23"/>
          <w:szCs w:val="23"/>
        </w:rPr>
        <w:t xml:space="preserve"> a spatial period much smalle</w:t>
      </w:r>
      <w:r w:rsidR="0000358C">
        <w:rPr>
          <w:sz w:val="23"/>
          <w:szCs w:val="23"/>
        </w:rPr>
        <w:t>r compared to the legnth of carrier diffusion</w:t>
      </w:r>
      <w:r w:rsidR="00A009A3">
        <w:rPr>
          <w:sz w:val="23"/>
          <w:szCs w:val="23"/>
        </w:rPr>
        <w:t>. Therefore a</w:t>
      </w:r>
      <w:r w:rsidR="00386E2F">
        <w:rPr>
          <w:sz w:val="23"/>
          <w:szCs w:val="23"/>
        </w:rPr>
        <w:t xml:space="preserve">t the EP condition </w:t>
      </w:r>
      <w:r w:rsidR="00386E2F" w:rsidRPr="003417E3">
        <w:rPr>
          <w:position w:val="-12"/>
        </w:rPr>
        <w:object w:dxaOrig="1060" w:dyaOrig="360" w14:anchorId="5B727BF7">
          <v:shape id="_x0000_i1053" type="#_x0000_t75" style="width:51.95pt;height:20.05pt" o:ole="">
            <v:imagedata r:id="rId60" o:title=""/>
          </v:shape>
          <o:OLEObject Type="Embed" ProgID="Equation.DSMT4" ShapeID="_x0000_i1053" DrawAspect="Content" ObjectID="_1747720181" r:id="rId62"/>
        </w:object>
      </w:r>
      <w:r w:rsidR="00386E2F">
        <w:rPr>
          <w:sz w:val="23"/>
          <w:szCs w:val="23"/>
        </w:rPr>
        <w:t xml:space="preserve">, </w:t>
      </w:r>
      <w:r w:rsidR="00A009A3">
        <w:rPr>
          <w:sz w:val="23"/>
          <w:szCs w:val="23"/>
        </w:rPr>
        <w:t>the counterclockwise WGM (</w:t>
      </w:r>
      <w:r w:rsidR="00A009A3" w:rsidRPr="00A009A3">
        <w:rPr>
          <w:position w:val="-12"/>
          <w:sz w:val="23"/>
          <w:szCs w:val="23"/>
        </w:rPr>
        <w:object w:dxaOrig="440" w:dyaOrig="360" w14:anchorId="520A93FD">
          <v:shape id="_x0000_i1054" type="#_x0000_t75" style="width:20.05pt;height:20.05pt" o:ole="">
            <v:imagedata r:id="rId63" o:title=""/>
          </v:shape>
          <o:OLEObject Type="Embed" ProgID="Equation.DSMT4" ShapeID="_x0000_i1054" DrawAspect="Content" ObjectID="_1747720182" r:id="rId64"/>
        </w:object>
      </w:r>
      <w:r w:rsidR="00A009A3">
        <w:rPr>
          <w:sz w:val="23"/>
          <w:szCs w:val="23"/>
        </w:rPr>
        <w:t xml:space="preserve">) can dominate over the </w:t>
      </w:r>
      <w:r w:rsidR="00386E2F">
        <w:rPr>
          <w:sz w:val="23"/>
          <w:szCs w:val="23"/>
        </w:rPr>
        <w:t>the cl</w:t>
      </w:r>
      <w:r w:rsidR="00A009A3">
        <w:rPr>
          <w:sz w:val="23"/>
          <w:szCs w:val="23"/>
        </w:rPr>
        <w:t>ockwise WGM (</w:t>
      </w:r>
      <w:r w:rsidR="00A009A3" w:rsidRPr="00A009A3">
        <w:rPr>
          <w:position w:val="-12"/>
          <w:sz w:val="23"/>
          <w:szCs w:val="23"/>
        </w:rPr>
        <w:object w:dxaOrig="380" w:dyaOrig="360" w14:anchorId="7ADC21E8">
          <v:shape id="_x0000_i1055" type="#_x0000_t75" style="width:20.05pt;height:20.05pt" o:ole="">
            <v:imagedata r:id="rId65" o:title=""/>
          </v:shape>
          <o:OLEObject Type="Embed" ProgID="Equation.DSMT4" ShapeID="_x0000_i1055" DrawAspect="Content" ObjectID="_1747720183" r:id="rId66"/>
        </w:object>
      </w:r>
      <w:r w:rsidR="00A009A3">
        <w:rPr>
          <w:sz w:val="23"/>
          <w:szCs w:val="23"/>
        </w:rPr>
        <w:t>) and obtain stable</w:t>
      </w:r>
      <w:r w:rsidR="00A009A3" w:rsidRPr="00A009A3">
        <w:rPr>
          <w:sz w:val="23"/>
          <w:szCs w:val="23"/>
        </w:rPr>
        <w:t xml:space="preserve"> </w:t>
      </w:r>
      <w:r w:rsidR="00A009A3">
        <w:rPr>
          <w:sz w:val="23"/>
          <w:szCs w:val="23"/>
        </w:rPr>
        <w:t>and robust unidirectional laser oscillation</w:t>
      </w:r>
      <w:r w:rsidR="00386E2F">
        <w:rPr>
          <w:sz w:val="23"/>
          <w:szCs w:val="23"/>
        </w:rPr>
        <w:t xml:space="preserve">. </w:t>
      </w:r>
    </w:p>
    <w:p w14:paraId="5E647E80" w14:textId="5055DDC6" w:rsidR="00C65D9A" w:rsidRDefault="00C65D9A" w:rsidP="00C65D9A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13090335" w14:textId="17C94A0E" w:rsidR="00707741" w:rsidRDefault="00520E97" w:rsidP="00CF4719">
      <w:pPr>
        <w:pStyle w:val="TAMainText"/>
        <w:ind w:firstLine="0"/>
        <w:jc w:val="center"/>
        <w:rPr>
          <w:rFonts w:ascii="Times New Roman" w:hAnsi="Times New Roman"/>
          <w:lang w:val="de-DE" w:eastAsia="zh-CN"/>
        </w:rPr>
      </w:pPr>
      <w:r>
        <w:rPr>
          <w:rFonts w:ascii="Times New Roman" w:hAnsi="Times New Roman"/>
          <w:noProof/>
          <w:lang w:eastAsia="zh-CN"/>
        </w:rPr>
        <w:lastRenderedPageBreak/>
        <w:drawing>
          <wp:inline distT="0" distB="0" distL="0" distR="0" wp14:anchorId="202AAD97" wp14:editId="533DD276">
            <wp:extent cx="5274310" cy="24472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t图.jpg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81DB" w14:textId="119276E9" w:rsidR="00520E97" w:rsidRPr="003535FD" w:rsidRDefault="00520E97" w:rsidP="00520E97">
      <w:pPr>
        <w:pStyle w:val="TAMainText"/>
        <w:ind w:firstLine="0"/>
        <w:rPr>
          <w:rFonts w:ascii="Times New Roman" w:hAnsi="Times New Roman"/>
          <w:lang w:val="de-DE" w:eastAsia="zh-CN"/>
        </w:rPr>
      </w:pPr>
      <w:r w:rsidRPr="009E1A1F">
        <w:rPr>
          <w:rFonts w:ascii="Times New Roman" w:hAnsi="Times New Roman" w:hint="eastAsia"/>
          <w:b/>
          <w:lang w:val="de-DE" w:eastAsia="zh-CN"/>
        </w:rPr>
        <w:t>F</w:t>
      </w:r>
      <w:r w:rsidRPr="009E1A1F">
        <w:rPr>
          <w:rFonts w:ascii="Times New Roman" w:hAnsi="Times New Roman"/>
          <w:b/>
          <w:lang w:val="de-DE" w:eastAsia="zh-CN"/>
        </w:rPr>
        <w:t>ig</w:t>
      </w:r>
      <w:r w:rsidRPr="009E1A1F">
        <w:rPr>
          <w:rFonts w:ascii="Times New Roman" w:hAnsi="Times New Roman" w:hint="eastAsia"/>
          <w:b/>
          <w:lang w:val="de-DE" w:eastAsia="zh-CN"/>
        </w:rPr>
        <w:t xml:space="preserve"> </w:t>
      </w:r>
      <w:r w:rsidRPr="009E1A1F">
        <w:rPr>
          <w:rFonts w:ascii="Times New Roman" w:hAnsi="Times New Roman"/>
          <w:b/>
          <w:lang w:val="de-DE" w:eastAsia="zh-CN"/>
        </w:rPr>
        <w:t>S1.</w:t>
      </w:r>
      <w:r w:rsidRPr="003535FD">
        <w:rPr>
          <w:rFonts w:ascii="Times New Roman" w:hAnsi="Times New Roman"/>
          <w:lang w:val="de-DE" w:eastAsia="zh-CN"/>
        </w:rPr>
        <w:t xml:space="preserve"> </w:t>
      </w:r>
      <w:r w:rsidR="00382344" w:rsidRPr="00382344">
        <w:rPr>
          <w:rFonts w:ascii="Times New Roman" w:hAnsi="Times New Roman"/>
          <w:lang w:val="de-DE" w:eastAsia="zh-CN"/>
        </w:rPr>
        <w:t>The tunable vortex laser emission from the ring cavity.</w:t>
      </w:r>
      <w:r w:rsidRPr="003535FD">
        <w:rPr>
          <w:rFonts w:ascii="Times New Roman" w:hAnsi="Times New Roman"/>
          <w:lang w:val="de-DE" w:eastAsia="zh-CN"/>
        </w:rPr>
        <w:t>The device maintains at the EP, having the indentical index modulation (</w:t>
      </w:r>
      <w:r w:rsidRPr="003535FD">
        <w:rPr>
          <w:position w:val="-6"/>
          <w:szCs w:val="24"/>
        </w:rPr>
        <w:object w:dxaOrig="1240" w:dyaOrig="279" w14:anchorId="33E0EBD6">
          <v:shape id="_x0000_i1056" type="#_x0000_t75" style="width:61.5pt;height:15.95pt" o:ole="">
            <v:imagedata r:id="rId68" o:title=""/>
          </v:shape>
          <o:OLEObject Type="Embed" ProgID="Equation.DSMT4" ShapeID="_x0000_i1056" DrawAspect="Content" ObjectID="_1747720184" r:id="rId69"/>
        </w:object>
      </w:r>
      <w:r w:rsidRPr="003535FD">
        <w:rPr>
          <w:rFonts w:ascii="Times New Roman" w:hAnsi="Times New Roman"/>
          <w:lang w:val="de-DE" w:eastAsia="zh-CN"/>
        </w:rPr>
        <w:t>). The first</w:t>
      </w:r>
      <w:r w:rsidRPr="003535FD">
        <w:rPr>
          <w:rFonts w:ascii="Times New Roman" w:hAnsi="Times New Roman" w:hint="eastAsia"/>
          <w:lang w:val="de-DE" w:eastAsia="zh-CN"/>
        </w:rPr>
        <w:t xml:space="preserve"> row</w:t>
      </w:r>
      <w:r w:rsidRPr="003535FD">
        <w:rPr>
          <w:rFonts w:ascii="Times New Roman" w:hAnsi="Times New Roman"/>
          <w:lang w:val="de-DE" w:eastAsia="zh-CN"/>
        </w:rPr>
        <w:t xml:space="preserve"> shows the distribution of </w:t>
      </w:r>
      <w:r w:rsidRPr="003535FD">
        <w:rPr>
          <w:position w:val="-14"/>
          <w:sz w:val="21"/>
          <w:szCs w:val="21"/>
        </w:rPr>
        <w:object w:dxaOrig="440" w:dyaOrig="440" w14:anchorId="56C43E25">
          <v:shape id="_x0000_i1057" type="#_x0000_t75" style="width:20.05pt;height:20.05pt" o:ole="">
            <v:imagedata r:id="rId70" o:title=""/>
          </v:shape>
          <o:OLEObject Type="Embed" ProgID="Equation.DSMT4" ShapeID="_x0000_i1057" DrawAspect="Content" ObjectID="_1747720185" r:id="rId71"/>
        </w:object>
      </w:r>
      <w:r w:rsidRPr="003535FD">
        <w:rPr>
          <w:rFonts w:ascii="Times New Roman" w:hAnsi="Times New Roman"/>
          <w:lang w:val="de-DE" w:eastAsia="zh-CN"/>
        </w:rPr>
        <w:t>in the cross section at</w:t>
      </w:r>
      <w:r w:rsidRPr="003535FD">
        <w:rPr>
          <w:rFonts w:ascii="Times New Roman" w:hAnsi="Times New Roman" w:hint="eastAsia"/>
          <w:lang w:val="de-DE" w:eastAsia="zh-CN"/>
        </w:rPr>
        <w:t xml:space="preserve"> </w:t>
      </w:r>
      <w:r w:rsidRPr="003535FD">
        <w:rPr>
          <w:rFonts w:ascii="Times New Roman" w:hAnsi="Times New Roman"/>
          <w:lang w:val="de-DE" w:eastAsia="zh-CN"/>
        </w:rPr>
        <w:t>the middle of the microring (</w:t>
      </w:r>
      <w:r w:rsidRPr="003535FD">
        <w:rPr>
          <w:rFonts w:ascii="Times New Roman" w:hAnsi="Times New Roman"/>
          <w:i/>
          <w:lang w:val="de-DE" w:eastAsia="zh-CN"/>
        </w:rPr>
        <w:t>z</w:t>
      </w:r>
      <w:r w:rsidRPr="003535FD">
        <w:rPr>
          <w:rFonts w:ascii="Times New Roman" w:hAnsi="Times New Roman"/>
          <w:lang w:val="de-DE" w:eastAsia="zh-CN"/>
        </w:rPr>
        <w:t xml:space="preserve"> = 0). The distributions of</w:t>
      </w:r>
      <w:r w:rsidRPr="003535FD">
        <w:rPr>
          <w:position w:val="-12"/>
          <w:sz w:val="21"/>
          <w:szCs w:val="21"/>
        </w:rPr>
        <w:object w:dxaOrig="340" w:dyaOrig="360" w14:anchorId="4190EBA8">
          <v:shape id="_x0000_i1058" type="#_x0000_t75" style="width:15.95pt;height:20.05pt" o:ole="">
            <v:imagedata r:id="rId72" o:title=""/>
          </v:shape>
          <o:OLEObject Type="Embed" ProgID="Equation.DSMT4" ShapeID="_x0000_i1058" DrawAspect="Content" ObjectID="_1747720186" r:id="rId73"/>
        </w:object>
      </w:r>
      <w:r w:rsidRPr="003535FD">
        <w:rPr>
          <w:rFonts w:ascii="Times New Roman" w:hAnsi="Times New Roman"/>
          <w:lang w:val="de-DE" w:eastAsia="zh-CN"/>
        </w:rPr>
        <w:t>and arg (</w:t>
      </w:r>
      <w:r w:rsidRPr="003535FD">
        <w:rPr>
          <w:position w:val="-12"/>
          <w:sz w:val="21"/>
          <w:szCs w:val="21"/>
        </w:rPr>
        <w:object w:dxaOrig="340" w:dyaOrig="360" w14:anchorId="6FAD5A2E">
          <v:shape id="_x0000_i1059" type="#_x0000_t75" style="width:15.95pt;height:20.05pt" o:ole="">
            <v:imagedata r:id="rId72" o:title=""/>
          </v:shape>
          <o:OLEObject Type="Embed" ProgID="Equation.DSMT4" ShapeID="_x0000_i1059" DrawAspect="Content" ObjectID="_1747720187" r:id="rId74"/>
        </w:object>
      </w:r>
      <w:r w:rsidRPr="003535FD">
        <w:rPr>
          <w:rFonts w:ascii="Times New Roman" w:hAnsi="Times New Roman"/>
          <w:lang w:val="de-DE" w:eastAsia="zh-CN"/>
        </w:rPr>
        <w:t>)</w:t>
      </w:r>
      <w:r w:rsidRPr="003535FD">
        <w:rPr>
          <w:rFonts w:ascii="Times New Roman" w:hAnsi="Times New Roman" w:hint="eastAsia"/>
          <w:lang w:val="de-DE" w:eastAsia="zh-CN"/>
        </w:rPr>
        <w:t xml:space="preserve"> </w:t>
      </w:r>
      <w:r w:rsidRPr="003535FD">
        <w:rPr>
          <w:rFonts w:ascii="Times New Roman" w:hAnsi="Times New Roman"/>
          <w:lang w:val="de-DE" w:eastAsia="zh-CN"/>
        </w:rPr>
        <w:t>in the cross section at far field (</w:t>
      </w:r>
      <w:r w:rsidRPr="003535FD">
        <w:rPr>
          <w:rFonts w:ascii="Times New Roman" w:hAnsi="Times New Roman"/>
          <w:i/>
          <w:lang w:val="de-DE" w:eastAsia="zh-CN"/>
        </w:rPr>
        <w:t>z</w:t>
      </w:r>
      <w:r w:rsidRPr="003535FD">
        <w:rPr>
          <w:rFonts w:ascii="Times New Roman" w:hAnsi="Times New Roman"/>
          <w:lang w:val="de-DE" w:eastAsia="zh-CN"/>
        </w:rPr>
        <w:t xml:space="preserve"> = </w:t>
      </w:r>
      <w:r w:rsidRPr="003535FD">
        <w:rPr>
          <w:rFonts w:ascii="Times New Roman" w:hAnsi="Times New Roman" w:hint="eastAsia"/>
          <w:lang w:val="de-DE" w:eastAsia="zh-CN"/>
        </w:rPr>
        <w:t>4800</w:t>
      </w:r>
      <w:r w:rsidRPr="003535FD">
        <w:rPr>
          <w:rFonts w:ascii="Times New Roman" w:hAnsi="Times New Roman"/>
          <w:lang w:val="de-DE" w:eastAsia="zh-CN"/>
        </w:rPr>
        <w:t xml:space="preserve"> nm) are presented in the second, the third row, respectively. The resonant wavelengths of the ring cavity are </w:t>
      </w:r>
      <w:r w:rsidRPr="003535FD">
        <w:rPr>
          <w:rFonts w:ascii="Times New Roman" w:eastAsia="等线 Light" w:hAnsi="Times New Roman"/>
          <w:lang w:val="de-DE" w:eastAsia="zh-CN"/>
        </w:rPr>
        <w:t xml:space="preserve">λ </w:t>
      </w:r>
      <w:r w:rsidRPr="003535FD">
        <w:rPr>
          <w:rFonts w:ascii="Times New Roman" w:hAnsi="Times New Roman"/>
          <w:lang w:val="de-DE" w:eastAsia="zh-CN"/>
        </w:rPr>
        <w:t xml:space="preserve">= </w:t>
      </w:r>
      <w:r w:rsidRPr="003535FD">
        <w:rPr>
          <w:rFonts w:ascii="Times New Roman" w:hAnsi="Times New Roman" w:hint="eastAsia"/>
          <w:lang w:val="de-DE" w:eastAsia="zh-CN"/>
        </w:rPr>
        <w:t>1544.5, 1550.5, 1555.6, 1559.9, 1562.9 and 1565.9</w:t>
      </w:r>
      <w:r w:rsidRPr="003535FD">
        <w:rPr>
          <w:rFonts w:ascii="Times New Roman" w:hAnsi="Times New Roman"/>
          <w:lang w:val="de-DE" w:eastAsia="zh-CN"/>
        </w:rPr>
        <w:t xml:space="preserve"> nm for the different crystllisation ratios of </w:t>
      </w:r>
      <w:r w:rsidRPr="003535FD">
        <w:rPr>
          <w:rFonts w:ascii="Times New Roman" w:hAnsi="Times New Roman"/>
          <w:i/>
          <w:lang w:val="de-DE" w:eastAsia="zh-CN"/>
        </w:rPr>
        <w:t>j</w:t>
      </w:r>
      <w:r w:rsidRPr="003535FD">
        <w:rPr>
          <w:rFonts w:ascii="Times New Roman" w:hAnsi="Times New Roman"/>
          <w:lang w:val="de-DE" w:eastAsia="zh-CN"/>
        </w:rPr>
        <w:t xml:space="preserve"> = </w:t>
      </w:r>
      <w:r w:rsidRPr="003535FD">
        <w:rPr>
          <w:rFonts w:ascii="Times New Roman" w:hAnsi="Times New Roman" w:hint="eastAsia"/>
          <w:lang w:val="de-DE" w:eastAsia="zh-CN"/>
        </w:rPr>
        <w:t>0, 0.2, 0.4, 0.6, 0.8 and 1.0,</w:t>
      </w:r>
      <w:r w:rsidRPr="003535FD">
        <w:rPr>
          <w:rFonts w:ascii="Times New Roman" w:hAnsi="Times New Roman"/>
          <w:lang w:val="de-DE" w:eastAsia="zh-CN"/>
        </w:rPr>
        <w:t xml:space="preserve"> accordingly.</w:t>
      </w:r>
    </w:p>
    <w:p w14:paraId="4F0F57BD" w14:textId="2B207A7E" w:rsidR="009E1A1F" w:rsidRDefault="009E1A1F" w:rsidP="005202DE">
      <w:pPr>
        <w:pStyle w:val="TAMainText"/>
        <w:ind w:firstLine="0"/>
        <w:rPr>
          <w:rFonts w:ascii="TimesNewRomanPSMT" w:eastAsia="TimesNewRomanPSMT" w:hAnsiTheme="minorHAnsi" w:cs="TimesNewRomanPSMT"/>
          <w:sz w:val="23"/>
          <w:szCs w:val="23"/>
          <w:lang w:val="de-DE" w:eastAsia="zh-CN"/>
        </w:rPr>
      </w:pPr>
      <w:r>
        <w:rPr>
          <w:rFonts w:ascii="TimesNewRomanPSMT" w:eastAsia="TimesNewRomanPSMT" w:hAnsiTheme="minorHAnsi" w:cs="TimesNewRomanPSMT"/>
          <w:sz w:val="23"/>
          <w:szCs w:val="23"/>
          <w:lang w:val="de-DE" w:eastAsia="zh-CN"/>
        </w:rPr>
        <w:br w:type="page"/>
      </w:r>
    </w:p>
    <w:p w14:paraId="1AA5D5D0" w14:textId="4A329532" w:rsidR="008703FC" w:rsidRPr="00A943E3" w:rsidRDefault="008703FC" w:rsidP="008703FC">
      <w:pPr>
        <w:rPr>
          <w:b/>
        </w:rPr>
      </w:pPr>
      <w:r w:rsidRPr="00A943E3">
        <w:rPr>
          <w:b/>
        </w:rPr>
        <w:lastRenderedPageBreak/>
        <w:t>Tab S1</w:t>
      </w:r>
      <w:r w:rsidR="00382344">
        <w:rPr>
          <w:b/>
        </w:rPr>
        <w:t xml:space="preserve">. </w:t>
      </w:r>
      <w:r w:rsidR="00382344" w:rsidRPr="00382344">
        <w:rPr>
          <w:b/>
        </w:rPr>
        <w:t>List of parameters required for simulation</w:t>
      </w:r>
    </w:p>
    <w:tbl>
      <w:tblPr>
        <w:tblpPr w:leftFromText="180" w:rightFromText="180" w:vertAnchor="text" w:horzAnchor="margin" w:tblpX="-210" w:tblpY="251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594"/>
        <w:gridCol w:w="1559"/>
        <w:gridCol w:w="1560"/>
        <w:gridCol w:w="1524"/>
      </w:tblGrid>
      <w:tr w:rsidR="00EC2C15" w:rsidRPr="00EC2C15" w14:paraId="614005BD" w14:textId="77777777" w:rsidTr="00EC2C15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85278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3CED3" w14:textId="77777777" w:rsidR="00EC2C15" w:rsidRDefault="008703FC" w:rsidP="00EC2C15">
            <w:pPr>
              <w:jc w:val="center"/>
              <w:rPr>
                <w:rFonts w:eastAsia="宋体"/>
                <w:sz w:val="22"/>
                <w:lang w:eastAsia="zh-CN"/>
              </w:rPr>
            </w:pPr>
            <w:bookmarkStart w:id="2" w:name="OLE_LINK1"/>
            <w:bookmarkStart w:id="3" w:name="OLE_LINK2"/>
            <w:r w:rsidRPr="00EC2C15">
              <w:rPr>
                <w:rFonts w:eastAsia="宋体"/>
                <w:sz w:val="22"/>
              </w:rPr>
              <w:t>Special</w:t>
            </w:r>
          </w:p>
          <w:p w14:paraId="14A0B681" w14:textId="77777777" w:rsidR="00EC2C15" w:rsidRDefault="008703FC" w:rsidP="00EC2C15">
            <w:pPr>
              <w:jc w:val="center"/>
              <w:rPr>
                <w:rFonts w:eastAsia="宋体"/>
                <w:sz w:val="22"/>
                <w:lang w:eastAsia="zh-CN"/>
              </w:rPr>
            </w:pPr>
            <w:r w:rsidRPr="00EC2C15">
              <w:rPr>
                <w:rFonts w:eastAsia="宋体"/>
                <w:sz w:val="22"/>
              </w:rPr>
              <w:t>heat</w:t>
            </w:r>
            <w:r w:rsidR="00EC2C15">
              <w:rPr>
                <w:rFonts w:eastAsia="宋体" w:hint="eastAsia"/>
                <w:sz w:val="22"/>
                <w:lang w:eastAsia="zh-CN"/>
              </w:rPr>
              <w:t xml:space="preserve"> </w:t>
            </w:r>
            <w:r w:rsidRPr="00EC2C15">
              <w:rPr>
                <w:rFonts w:eastAsia="宋体"/>
                <w:sz w:val="22"/>
              </w:rPr>
              <w:t>capacity</w:t>
            </w:r>
            <w:bookmarkEnd w:id="2"/>
            <w:bookmarkEnd w:id="3"/>
          </w:p>
          <w:p w14:paraId="36F15DAD" w14:textId="58F56F3A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 xml:space="preserve">CS(J / (Kg </w:t>
            </w:r>
            <w:r w:rsidRPr="00EC2C15">
              <w:rPr>
                <w:rFonts w:ascii="Cambria Math" w:eastAsia="宋体" w:hAnsi="Cambria Math" w:cs="Cambria Math"/>
                <w:sz w:val="22"/>
              </w:rPr>
              <w:t>⋅</w:t>
            </w:r>
            <w:r w:rsidRPr="00EC2C15">
              <w:rPr>
                <w:rFonts w:eastAsia="宋体"/>
                <w:sz w:val="22"/>
              </w:rPr>
              <w:t>K))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391A2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Density</w:t>
            </w:r>
          </w:p>
          <w:p w14:paraId="7216E13E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ρ(kg/m</w:t>
            </w:r>
            <w:r w:rsidRPr="00EC2C15">
              <w:rPr>
                <w:rFonts w:eastAsia="宋体"/>
                <w:sz w:val="22"/>
                <w:vertAlign w:val="superscript"/>
              </w:rPr>
              <w:t>3</w:t>
            </w:r>
            <w:r w:rsidRPr="00EC2C15">
              <w:rPr>
                <w:rFonts w:eastAsia="宋体"/>
                <w:sz w:val="22"/>
              </w:rPr>
              <w:t xml:space="preserve"> )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C0F37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Thermal</w:t>
            </w:r>
          </w:p>
          <w:p w14:paraId="1970AF63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conductivity</w:t>
            </w:r>
          </w:p>
          <w:p w14:paraId="13052CEE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k(W/(m</w:t>
            </w:r>
            <w:r w:rsidRPr="00EC2C15">
              <w:rPr>
                <w:rFonts w:ascii="Cambria Math" w:eastAsia="宋体" w:hAnsi="Cambria Math" w:cs="Cambria Math"/>
                <w:sz w:val="22"/>
              </w:rPr>
              <w:t>⋅</w:t>
            </w:r>
            <w:r w:rsidRPr="00EC2C15">
              <w:rPr>
                <w:rFonts w:eastAsia="宋体"/>
                <w:sz w:val="22"/>
              </w:rPr>
              <w:t xml:space="preserve"> k))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95045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bookmarkStart w:id="4" w:name="OLE_LINK3"/>
            <w:bookmarkStart w:id="5" w:name="OLE_LINK4"/>
            <w:bookmarkStart w:id="6" w:name="OLE_LINK9"/>
            <w:bookmarkStart w:id="7" w:name="OLE_LINK10"/>
            <w:bookmarkStart w:id="8" w:name="OLE_LINK17"/>
            <w:r w:rsidRPr="00EC2C15">
              <w:rPr>
                <w:rFonts w:eastAsia="宋体"/>
                <w:sz w:val="22"/>
              </w:rPr>
              <w:t>Electrical</w:t>
            </w:r>
          </w:p>
          <w:p w14:paraId="3CA94E8B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conductivity</w:t>
            </w:r>
            <w:bookmarkEnd w:id="4"/>
            <w:bookmarkEnd w:id="5"/>
          </w:p>
          <w:bookmarkEnd w:id="6"/>
          <w:bookmarkEnd w:id="7"/>
          <w:bookmarkEnd w:id="8"/>
          <w:p w14:paraId="4636FE6A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sigma(S/m)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B1321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Relative</w:t>
            </w:r>
          </w:p>
          <w:p w14:paraId="77A9C508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permittivity</w:t>
            </w:r>
          </w:p>
          <w:p w14:paraId="46F8C143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epsilnr(1)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AFCD5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bookmarkStart w:id="9" w:name="OLE_LINK7"/>
            <w:bookmarkStart w:id="10" w:name="OLE_LINK8"/>
            <w:bookmarkStart w:id="11" w:name="OLE_LINK13"/>
            <w:bookmarkStart w:id="12" w:name="OLE_LINK14"/>
            <w:r w:rsidRPr="00EC2C15">
              <w:rPr>
                <w:rFonts w:eastAsia="宋体"/>
                <w:sz w:val="22"/>
              </w:rPr>
              <w:t>Seebeck</w:t>
            </w:r>
          </w:p>
          <w:p w14:paraId="36625AE2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coefficient</w:t>
            </w:r>
            <w:bookmarkEnd w:id="9"/>
            <w:bookmarkEnd w:id="10"/>
          </w:p>
          <w:bookmarkEnd w:id="11"/>
          <w:bookmarkEnd w:id="12"/>
          <w:p w14:paraId="76457254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S(V/K)</w:t>
            </w:r>
          </w:p>
        </w:tc>
      </w:tr>
      <w:tr w:rsidR="00EC2C15" w:rsidRPr="00EC2C15" w14:paraId="3C7B2040" w14:textId="77777777" w:rsidTr="009711D0">
        <w:trPr>
          <w:trHeight w:val="83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28FBFF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Ag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86BC1" w14:textId="39B9CB0B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235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AD0B6" w14:textId="080D74CC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10500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5AADD" w14:textId="35D713F0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429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8A478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bookmarkStart w:id="13" w:name="OLE_LINK5"/>
            <w:bookmarkStart w:id="14" w:name="OLE_LINK6"/>
            <w:bookmarkStart w:id="15" w:name="OLE_LINK11"/>
            <w:bookmarkStart w:id="16" w:name="OLE_LINK12"/>
            <w:r w:rsidRPr="00EC2C15">
              <w:rPr>
                <w:rFonts w:eastAsia="宋体"/>
                <w:sz w:val="22"/>
              </w:rPr>
              <w:t>Temperature</w:t>
            </w:r>
          </w:p>
          <w:p w14:paraId="675A74AC" w14:textId="562B8879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bookmarkEnd w:id="13"/>
            <w:bookmarkEnd w:id="14"/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2</w:t>
            </w:r>
            <w:bookmarkEnd w:id="15"/>
            <w:bookmarkEnd w:id="16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AC5AD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bookmarkStart w:id="17" w:name="OLE_LINK18"/>
            <w:bookmarkStart w:id="18" w:name="OLE_LINK19"/>
            <w:r w:rsidRPr="00EC2C15">
              <w:rPr>
                <w:rFonts w:eastAsia="宋体"/>
                <w:sz w:val="22"/>
              </w:rPr>
              <w:t>Frequency</w:t>
            </w:r>
          </w:p>
          <w:p w14:paraId="2DBE337F" w14:textId="05301976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3</w:t>
            </w:r>
            <w:bookmarkEnd w:id="17"/>
            <w:bookmarkEnd w:id="18"/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A6B12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bookmarkStart w:id="19" w:name="OLE_LINK15"/>
            <w:bookmarkStart w:id="20" w:name="OLE_LINK16"/>
            <w:r w:rsidRPr="00EC2C15">
              <w:rPr>
                <w:rFonts w:eastAsia="宋体"/>
                <w:sz w:val="22"/>
              </w:rPr>
              <w:t>Temperature</w:t>
            </w:r>
          </w:p>
          <w:p w14:paraId="147A8CE0" w14:textId="2E511FF3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2</w:t>
            </w:r>
            <w:bookmarkEnd w:id="19"/>
            <w:bookmarkEnd w:id="20"/>
          </w:p>
        </w:tc>
      </w:tr>
      <w:tr w:rsidR="00EC2C15" w:rsidRPr="00EC2C15" w14:paraId="7B509651" w14:textId="77777777" w:rsidTr="009711D0">
        <w:trPr>
          <w:trHeight w:val="906"/>
        </w:trPr>
        <w:tc>
          <w:tcPr>
            <w:tcW w:w="709" w:type="dxa"/>
            <w:shd w:val="clear" w:color="auto" w:fill="auto"/>
            <w:vAlign w:val="center"/>
          </w:tcPr>
          <w:p w14:paraId="5A911DE7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Cu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4FAEB" w14:textId="750B495A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384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AAE3C" w14:textId="1350EDCE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8960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E4B1BB9" w14:textId="30693339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401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35F93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Temperature</w:t>
            </w:r>
          </w:p>
          <w:p w14:paraId="0F265C4D" w14:textId="55EA90C0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FBDE7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Frequency</w:t>
            </w:r>
          </w:p>
          <w:p w14:paraId="6A152F24" w14:textId="3435D926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9BE6B51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Temperature</w:t>
            </w:r>
          </w:p>
          <w:p w14:paraId="2927EA34" w14:textId="2BC65C8D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2</w:t>
            </w:r>
          </w:p>
        </w:tc>
      </w:tr>
      <w:tr w:rsidR="00EC2C15" w:rsidRPr="00EC2C15" w14:paraId="15A1B0E6" w14:textId="77777777" w:rsidTr="009711D0">
        <w:trPr>
          <w:trHeight w:val="858"/>
        </w:trPr>
        <w:tc>
          <w:tcPr>
            <w:tcW w:w="709" w:type="dxa"/>
            <w:shd w:val="clear" w:color="auto" w:fill="auto"/>
            <w:vAlign w:val="center"/>
          </w:tcPr>
          <w:p w14:paraId="5DA3A1ED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GeTe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7EEB7" w14:textId="58CE4DBB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140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DD8B8" w14:textId="04DFE1E4" w:rsidR="008703FC" w:rsidRPr="00EC2C15" w:rsidRDefault="008703FC" w:rsidP="00EC2C15">
            <w:pPr>
              <w:jc w:val="center"/>
              <w:rPr>
                <w:rFonts w:eastAsia="宋体"/>
                <w:sz w:val="22"/>
                <w:vertAlign w:val="superscript"/>
              </w:rPr>
            </w:pPr>
            <w:r w:rsidRPr="00EC2C15">
              <w:rPr>
                <w:rFonts w:eastAsia="宋体"/>
                <w:sz w:val="22"/>
              </w:rPr>
              <w:t>6140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FCFD672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Temperature</w:t>
            </w:r>
          </w:p>
          <w:p w14:paraId="2362B7D2" w14:textId="6D174413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32B60D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Temperature</w:t>
            </w:r>
          </w:p>
          <w:p w14:paraId="3D7EE47E" w14:textId="38C7607C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109276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Frequency</w:t>
            </w:r>
          </w:p>
          <w:p w14:paraId="3ECF86CB" w14:textId="5881C5CB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72EFFD" w14:textId="77777777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Temperature</w:t>
            </w:r>
          </w:p>
          <w:p w14:paraId="666D995F" w14:textId="72C74B59" w:rsidR="008703FC" w:rsidRPr="00EC2C15" w:rsidRDefault="008703FC" w:rsidP="00EC2C15">
            <w:pPr>
              <w:jc w:val="center"/>
              <w:rPr>
                <w:rFonts w:eastAsia="宋体"/>
                <w:sz w:val="22"/>
              </w:rPr>
            </w:pPr>
            <w:r w:rsidRPr="00EC2C15">
              <w:rPr>
                <w:rFonts w:eastAsia="宋体"/>
                <w:sz w:val="22"/>
              </w:rPr>
              <w:t>Dependence</w:t>
            </w:r>
            <w:r w:rsidR="00EC2C15" w:rsidRPr="00EC2C15">
              <w:rPr>
                <w:rFonts w:eastAsia="宋体" w:hint="eastAsia"/>
                <w:sz w:val="22"/>
                <w:vertAlign w:val="superscript"/>
                <w:lang w:eastAsia="zh-CN"/>
              </w:rPr>
              <w:t>S</w:t>
            </w:r>
            <w:r w:rsidRPr="00EC2C15">
              <w:rPr>
                <w:rFonts w:eastAsia="宋体"/>
                <w:sz w:val="22"/>
                <w:vertAlign w:val="superscript"/>
              </w:rPr>
              <w:t>4</w:t>
            </w:r>
          </w:p>
        </w:tc>
      </w:tr>
    </w:tbl>
    <w:p w14:paraId="17B49EBB" w14:textId="77777777" w:rsidR="009E1A1F" w:rsidRDefault="009E1A1F" w:rsidP="00055ED9">
      <w:pPr>
        <w:pStyle w:val="TAMainText"/>
        <w:ind w:firstLine="0"/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  <w:br w:type="page"/>
      </w:r>
    </w:p>
    <w:p w14:paraId="6F4D5D25" w14:textId="63824597" w:rsidR="002066BD" w:rsidRDefault="002066BD" w:rsidP="00055ED9">
      <w:pPr>
        <w:pStyle w:val="TAMainText"/>
        <w:ind w:firstLine="0"/>
        <w:rPr>
          <w:rFonts w:ascii="Times New Roman" w:hAnsi="Times New Roman"/>
          <w:b/>
          <w:lang w:eastAsia="zh-CN"/>
        </w:rPr>
      </w:pPr>
      <w:r w:rsidRPr="00451BDF">
        <w:rPr>
          <w:rFonts w:ascii="Times New Roman" w:hAnsi="Times New Roman"/>
          <w:b/>
          <w:lang w:eastAsia="zh-CN"/>
        </w:rPr>
        <w:lastRenderedPageBreak/>
        <w:t>Reference</w:t>
      </w:r>
      <w:r w:rsidR="009E1A1F">
        <w:rPr>
          <w:rFonts w:ascii="Times New Roman" w:hAnsi="Times New Roman"/>
          <w:b/>
          <w:lang w:eastAsia="zh-CN"/>
        </w:rPr>
        <w:t>s</w:t>
      </w:r>
    </w:p>
    <w:p w14:paraId="7945D3CF" w14:textId="77777777" w:rsidR="001D5273" w:rsidRPr="001D5273" w:rsidRDefault="001D5273" w:rsidP="001D5273">
      <w:pPr>
        <w:widowControl w:val="0"/>
        <w:autoSpaceDE w:val="0"/>
        <w:autoSpaceDN w:val="0"/>
        <w:adjustRightInd w:val="0"/>
        <w:spacing w:line="480" w:lineRule="auto"/>
        <w:rPr>
          <w:rFonts w:eastAsia="宋体"/>
          <w:color w:val="000000"/>
          <w:sz w:val="23"/>
          <w:szCs w:val="23"/>
          <w:lang w:val="en-US" w:eastAsia="zh-CN"/>
        </w:rPr>
      </w:pPr>
      <w:r w:rsidRPr="001D5273">
        <w:rPr>
          <w:rFonts w:eastAsia="宋体"/>
          <w:color w:val="000000"/>
          <w:sz w:val="23"/>
          <w:szCs w:val="23"/>
          <w:lang w:val="en-US" w:eastAsia="zh-CN"/>
        </w:rPr>
        <w:t>S1</w:t>
      </w:r>
      <w:r w:rsidRPr="001D5273">
        <w:rPr>
          <w:rFonts w:eastAsia="宋体"/>
          <w:color w:val="000000"/>
          <w:sz w:val="23"/>
          <w:szCs w:val="23"/>
          <w:lang w:val="en-US" w:eastAsia="zh-CN"/>
        </w:rPr>
        <w:tab/>
        <w:t xml:space="preserve">Sorel, M.;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Laybourn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P. J. R.;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Scire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A.;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Balle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S.; Giuliani, G.;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Miglierina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R.;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Donati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>, S. Opt. Lett. 27, 1992-1994 (2002).</w:t>
      </w:r>
    </w:p>
    <w:p w14:paraId="06DBA1EA" w14:textId="77777777" w:rsidR="001D5273" w:rsidRPr="001D5273" w:rsidRDefault="001D5273" w:rsidP="001D5273">
      <w:pPr>
        <w:widowControl w:val="0"/>
        <w:autoSpaceDE w:val="0"/>
        <w:autoSpaceDN w:val="0"/>
        <w:adjustRightInd w:val="0"/>
        <w:spacing w:line="480" w:lineRule="auto"/>
        <w:rPr>
          <w:rFonts w:eastAsia="宋体"/>
          <w:color w:val="000000"/>
          <w:sz w:val="23"/>
          <w:szCs w:val="23"/>
          <w:lang w:val="en-US" w:eastAsia="zh-CN"/>
        </w:rPr>
      </w:pPr>
      <w:r w:rsidRPr="001D5273">
        <w:rPr>
          <w:rFonts w:eastAsia="宋体"/>
          <w:color w:val="000000"/>
          <w:sz w:val="23"/>
          <w:szCs w:val="23"/>
          <w:lang w:val="en-US" w:eastAsia="zh-CN"/>
        </w:rPr>
        <w:t>S2</w:t>
      </w:r>
      <w:r w:rsidRPr="001D5273">
        <w:rPr>
          <w:rFonts w:eastAsia="宋体"/>
          <w:color w:val="000000"/>
          <w:sz w:val="23"/>
          <w:szCs w:val="23"/>
          <w:lang w:val="en-US" w:eastAsia="zh-CN"/>
        </w:rPr>
        <w:tab/>
        <w:t xml:space="preserve">Sorel, M.; Giuliani, G.;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Scire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A.;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Miglierina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R.;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Donati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S.;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Laybourn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>, P. J. R. IEEE J. Quantum Electron. 39, 1187-1195 (2003).</w:t>
      </w:r>
    </w:p>
    <w:p w14:paraId="32DF4F46" w14:textId="77777777" w:rsidR="001D5273" w:rsidRPr="001D5273" w:rsidRDefault="001D5273" w:rsidP="001D5273">
      <w:pPr>
        <w:widowControl w:val="0"/>
        <w:autoSpaceDE w:val="0"/>
        <w:autoSpaceDN w:val="0"/>
        <w:adjustRightInd w:val="0"/>
        <w:spacing w:line="480" w:lineRule="auto"/>
        <w:rPr>
          <w:rFonts w:eastAsia="宋体"/>
          <w:color w:val="000000"/>
          <w:sz w:val="23"/>
          <w:szCs w:val="23"/>
          <w:lang w:val="en-US" w:eastAsia="zh-CN"/>
        </w:rPr>
      </w:pPr>
      <w:r w:rsidRPr="001D5273">
        <w:rPr>
          <w:rFonts w:eastAsia="宋体"/>
          <w:color w:val="000000"/>
          <w:sz w:val="23"/>
          <w:szCs w:val="23"/>
          <w:lang w:val="en-US" w:eastAsia="zh-CN"/>
        </w:rPr>
        <w:t>S3</w:t>
      </w:r>
      <w:r w:rsidRPr="001D5273">
        <w:rPr>
          <w:rFonts w:eastAsia="宋体"/>
          <w:color w:val="000000"/>
          <w:sz w:val="23"/>
          <w:szCs w:val="23"/>
          <w:lang w:val="en-US" w:eastAsia="zh-CN"/>
        </w:rPr>
        <w:tab/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Longhi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>, S.; Feng, L. Opt. Lett. 39, 5026-5029 (2014).</w:t>
      </w:r>
    </w:p>
    <w:p w14:paraId="3BF0EBEC" w14:textId="77777777" w:rsidR="001D5273" w:rsidRPr="001D5273" w:rsidRDefault="001D5273" w:rsidP="001D5273">
      <w:pPr>
        <w:widowControl w:val="0"/>
        <w:autoSpaceDE w:val="0"/>
        <w:autoSpaceDN w:val="0"/>
        <w:adjustRightInd w:val="0"/>
        <w:spacing w:line="480" w:lineRule="auto"/>
        <w:rPr>
          <w:rFonts w:eastAsia="宋体"/>
          <w:color w:val="000000"/>
          <w:sz w:val="23"/>
          <w:szCs w:val="23"/>
          <w:lang w:val="en-US" w:eastAsia="zh-CN"/>
        </w:rPr>
      </w:pPr>
      <w:r w:rsidRPr="001D5273">
        <w:rPr>
          <w:rFonts w:eastAsia="宋体"/>
          <w:color w:val="000000"/>
          <w:sz w:val="23"/>
          <w:szCs w:val="23"/>
          <w:lang w:val="en-US" w:eastAsia="zh-CN"/>
        </w:rPr>
        <w:t>S4</w:t>
      </w:r>
      <w:r w:rsidRPr="001D5273">
        <w:rPr>
          <w:rFonts w:eastAsia="宋体"/>
          <w:color w:val="000000"/>
          <w:sz w:val="23"/>
          <w:szCs w:val="23"/>
          <w:lang w:val="en-US" w:eastAsia="zh-CN"/>
        </w:rPr>
        <w:tab/>
        <w:t xml:space="preserve">Van der Sande, G.;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Gelens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L.;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Tassin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P.;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Scire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A.;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Danckaert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>, J. J. Phys. B. 41, 095402 (2008).</w:t>
      </w:r>
    </w:p>
    <w:p w14:paraId="6033450B" w14:textId="24979F1E" w:rsidR="000858B9" w:rsidRPr="009E1A1F" w:rsidRDefault="001D5273" w:rsidP="001D5273">
      <w:pPr>
        <w:widowControl w:val="0"/>
        <w:autoSpaceDE w:val="0"/>
        <w:autoSpaceDN w:val="0"/>
        <w:adjustRightInd w:val="0"/>
        <w:spacing w:line="480" w:lineRule="auto"/>
        <w:rPr>
          <w:rFonts w:eastAsia="宋体"/>
          <w:szCs w:val="20"/>
          <w:lang w:val="en-US" w:eastAsia="en-US"/>
        </w:rPr>
      </w:pPr>
      <w:r w:rsidRPr="001D5273">
        <w:rPr>
          <w:rFonts w:eastAsia="宋体"/>
          <w:color w:val="000000"/>
          <w:sz w:val="23"/>
          <w:szCs w:val="23"/>
          <w:lang w:val="en-US" w:eastAsia="zh-CN"/>
        </w:rPr>
        <w:t>S5</w:t>
      </w:r>
      <w:r w:rsidRPr="001D5273">
        <w:rPr>
          <w:rFonts w:eastAsia="宋体"/>
          <w:color w:val="000000"/>
          <w:sz w:val="23"/>
          <w:szCs w:val="23"/>
          <w:lang w:val="en-US" w:eastAsia="zh-CN"/>
        </w:rPr>
        <w:tab/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Shportko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K.;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Kremers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S.;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Woda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M.;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Lencer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 xml:space="preserve">, D.; Robertson, J.; </w:t>
      </w:r>
      <w:proofErr w:type="spellStart"/>
      <w:r w:rsidRPr="001D5273">
        <w:rPr>
          <w:rFonts w:eastAsia="宋体"/>
          <w:color w:val="000000"/>
          <w:sz w:val="23"/>
          <w:szCs w:val="23"/>
          <w:lang w:val="en-US" w:eastAsia="zh-CN"/>
        </w:rPr>
        <w:t>Wuttig</w:t>
      </w:r>
      <w:proofErr w:type="spellEnd"/>
      <w:r w:rsidRPr="001D5273">
        <w:rPr>
          <w:rFonts w:eastAsia="宋体"/>
          <w:color w:val="000000"/>
          <w:sz w:val="23"/>
          <w:szCs w:val="23"/>
          <w:lang w:val="en-US" w:eastAsia="zh-CN"/>
        </w:rPr>
        <w:t>, M. K. Nat. Mater. 7, 653-658 (2008).</w:t>
      </w:r>
    </w:p>
    <w:sectPr w:rsidR="000858B9" w:rsidRPr="009E1A1F">
      <w:footerReference w:type="default" r:id="rId7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8FBF0" w14:textId="77777777" w:rsidR="006A3EB6" w:rsidRDefault="006A3EB6" w:rsidP="00867DF0">
      <w:r>
        <w:separator/>
      </w:r>
    </w:p>
  </w:endnote>
  <w:endnote w:type="continuationSeparator" w:id="0">
    <w:p w14:paraId="3A15706F" w14:textId="77777777" w:rsidR="006A3EB6" w:rsidRDefault="006A3EB6" w:rsidP="0086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635f2c37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等线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8250"/>
      <w:docPartObj>
        <w:docPartGallery w:val="Page Numbers (Bottom of Page)"/>
        <w:docPartUnique/>
      </w:docPartObj>
    </w:sdtPr>
    <w:sdtEndPr/>
    <w:sdtContent>
      <w:p w14:paraId="5B9550C8" w14:textId="704D351D" w:rsidR="00FD01C3" w:rsidRDefault="00FD01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D0" w:rsidRPr="009711D0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7E82A95E" w14:textId="77777777" w:rsidR="00FD01C3" w:rsidRDefault="00FD01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9E630" w14:textId="77777777" w:rsidR="006A3EB6" w:rsidRDefault="006A3EB6" w:rsidP="00867DF0">
      <w:r>
        <w:separator/>
      </w:r>
    </w:p>
  </w:footnote>
  <w:footnote w:type="continuationSeparator" w:id="0">
    <w:p w14:paraId="19AB82A7" w14:textId="77777777" w:rsidR="006A3EB6" w:rsidRDefault="006A3EB6" w:rsidP="0086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CC9"/>
    <w:multiLevelType w:val="hybridMultilevel"/>
    <w:tmpl w:val="E9120562"/>
    <w:lvl w:ilvl="0" w:tplc="F5989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F94718"/>
    <w:multiLevelType w:val="hybridMultilevel"/>
    <w:tmpl w:val="C48808B4"/>
    <w:lvl w:ilvl="0" w:tplc="2610B4BA">
      <w:start w:val="1"/>
      <w:numFmt w:val="decimal"/>
      <w:lvlText w:val="%1."/>
      <w:lvlJc w:val="left"/>
      <w:pPr>
        <w:ind w:left="360" w:hanging="360"/>
      </w:pPr>
      <w:rPr>
        <w:rFonts w:hint="default"/>
        <w:color w:val="0563C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8A1E1F"/>
    <w:multiLevelType w:val="hybridMultilevel"/>
    <w:tmpl w:val="43965764"/>
    <w:lvl w:ilvl="0" w:tplc="8292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2NjMzNjc0tTQyNzZS0lEKTi0uzszPAykwqQUAnAuLsywAAAA="/>
  </w:docVars>
  <w:rsids>
    <w:rsidRoot w:val="00F505DB"/>
    <w:rsid w:val="0000358C"/>
    <w:rsid w:val="0004208D"/>
    <w:rsid w:val="00055ED9"/>
    <w:rsid w:val="000666BC"/>
    <w:rsid w:val="00077064"/>
    <w:rsid w:val="000839C2"/>
    <w:rsid w:val="000858B9"/>
    <w:rsid w:val="000B1309"/>
    <w:rsid w:val="000E640F"/>
    <w:rsid w:val="000F1E6A"/>
    <w:rsid w:val="00111502"/>
    <w:rsid w:val="00114CD1"/>
    <w:rsid w:val="00117E9E"/>
    <w:rsid w:val="001646FA"/>
    <w:rsid w:val="001A09B6"/>
    <w:rsid w:val="001A37F5"/>
    <w:rsid w:val="001A4A19"/>
    <w:rsid w:val="001C0030"/>
    <w:rsid w:val="001D1316"/>
    <w:rsid w:val="001D5273"/>
    <w:rsid w:val="002034EA"/>
    <w:rsid w:val="002066BD"/>
    <w:rsid w:val="002A5729"/>
    <w:rsid w:val="002B165C"/>
    <w:rsid w:val="002C5EF4"/>
    <w:rsid w:val="002E68FC"/>
    <w:rsid w:val="00327C0A"/>
    <w:rsid w:val="00331F85"/>
    <w:rsid w:val="003326F1"/>
    <w:rsid w:val="00335E36"/>
    <w:rsid w:val="003417E3"/>
    <w:rsid w:val="003535FD"/>
    <w:rsid w:val="00382344"/>
    <w:rsid w:val="00386E2F"/>
    <w:rsid w:val="00390B7A"/>
    <w:rsid w:val="003C7739"/>
    <w:rsid w:val="003E2BCB"/>
    <w:rsid w:val="0041158D"/>
    <w:rsid w:val="00424C56"/>
    <w:rsid w:val="0043569D"/>
    <w:rsid w:val="00451BDF"/>
    <w:rsid w:val="00462650"/>
    <w:rsid w:val="00482974"/>
    <w:rsid w:val="004B08F0"/>
    <w:rsid w:val="004D00A9"/>
    <w:rsid w:val="004D3411"/>
    <w:rsid w:val="00503452"/>
    <w:rsid w:val="00504651"/>
    <w:rsid w:val="005108E9"/>
    <w:rsid w:val="005202DE"/>
    <w:rsid w:val="00520E97"/>
    <w:rsid w:val="005556F9"/>
    <w:rsid w:val="00581A58"/>
    <w:rsid w:val="005B4472"/>
    <w:rsid w:val="005D2282"/>
    <w:rsid w:val="005F1650"/>
    <w:rsid w:val="00602CAA"/>
    <w:rsid w:val="00630D02"/>
    <w:rsid w:val="006510DF"/>
    <w:rsid w:val="00661A2B"/>
    <w:rsid w:val="006907DB"/>
    <w:rsid w:val="006A14C8"/>
    <w:rsid w:val="006A3EB6"/>
    <w:rsid w:val="006B7E45"/>
    <w:rsid w:val="006C3533"/>
    <w:rsid w:val="006E67C5"/>
    <w:rsid w:val="00707741"/>
    <w:rsid w:val="00734B57"/>
    <w:rsid w:val="00734DCC"/>
    <w:rsid w:val="007A3B10"/>
    <w:rsid w:val="007C0FD4"/>
    <w:rsid w:val="007C6348"/>
    <w:rsid w:val="007D740E"/>
    <w:rsid w:val="007E3E22"/>
    <w:rsid w:val="00813BD3"/>
    <w:rsid w:val="00850E5F"/>
    <w:rsid w:val="00867DF0"/>
    <w:rsid w:val="008703FC"/>
    <w:rsid w:val="00872C2D"/>
    <w:rsid w:val="008A4B13"/>
    <w:rsid w:val="008A6EAD"/>
    <w:rsid w:val="008B46FA"/>
    <w:rsid w:val="008B5BB9"/>
    <w:rsid w:val="008C42F2"/>
    <w:rsid w:val="008D45A4"/>
    <w:rsid w:val="008D6481"/>
    <w:rsid w:val="008F790C"/>
    <w:rsid w:val="009155C6"/>
    <w:rsid w:val="00917324"/>
    <w:rsid w:val="00924E0B"/>
    <w:rsid w:val="00930C7E"/>
    <w:rsid w:val="00936C33"/>
    <w:rsid w:val="00956D4B"/>
    <w:rsid w:val="009711D0"/>
    <w:rsid w:val="009E0484"/>
    <w:rsid w:val="009E1A1F"/>
    <w:rsid w:val="009E4935"/>
    <w:rsid w:val="009F1D37"/>
    <w:rsid w:val="00A009A3"/>
    <w:rsid w:val="00A34288"/>
    <w:rsid w:val="00A438CC"/>
    <w:rsid w:val="00A92E67"/>
    <w:rsid w:val="00AA0AC1"/>
    <w:rsid w:val="00AF3E09"/>
    <w:rsid w:val="00B06EE4"/>
    <w:rsid w:val="00B406F1"/>
    <w:rsid w:val="00B41664"/>
    <w:rsid w:val="00B455A2"/>
    <w:rsid w:val="00B62F8B"/>
    <w:rsid w:val="00B91697"/>
    <w:rsid w:val="00B91C36"/>
    <w:rsid w:val="00BA7D66"/>
    <w:rsid w:val="00BC5017"/>
    <w:rsid w:val="00C06587"/>
    <w:rsid w:val="00C15441"/>
    <w:rsid w:val="00C5013C"/>
    <w:rsid w:val="00C56EAE"/>
    <w:rsid w:val="00C65D9A"/>
    <w:rsid w:val="00C77FDD"/>
    <w:rsid w:val="00C85044"/>
    <w:rsid w:val="00C85AC9"/>
    <w:rsid w:val="00CF1091"/>
    <w:rsid w:val="00CF4719"/>
    <w:rsid w:val="00CF5858"/>
    <w:rsid w:val="00CF7852"/>
    <w:rsid w:val="00D02EFC"/>
    <w:rsid w:val="00D33B4E"/>
    <w:rsid w:val="00D65AD5"/>
    <w:rsid w:val="00D823D8"/>
    <w:rsid w:val="00DA0ED1"/>
    <w:rsid w:val="00DA3598"/>
    <w:rsid w:val="00DB6733"/>
    <w:rsid w:val="00E01197"/>
    <w:rsid w:val="00E47965"/>
    <w:rsid w:val="00E712A1"/>
    <w:rsid w:val="00E71B36"/>
    <w:rsid w:val="00E72B8E"/>
    <w:rsid w:val="00EC2C15"/>
    <w:rsid w:val="00ED13DC"/>
    <w:rsid w:val="00ED25FA"/>
    <w:rsid w:val="00F0008D"/>
    <w:rsid w:val="00F25156"/>
    <w:rsid w:val="00F3141E"/>
    <w:rsid w:val="00F33425"/>
    <w:rsid w:val="00F505DB"/>
    <w:rsid w:val="00F5271D"/>
    <w:rsid w:val="00F74A1C"/>
    <w:rsid w:val="00FB31EA"/>
    <w:rsid w:val="00FB63BA"/>
    <w:rsid w:val="00FC47C2"/>
    <w:rsid w:val="00FD01C3"/>
    <w:rsid w:val="00FE04B9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33A4"/>
  <w15:docId w15:val="{9968B69A-EE83-46DB-A3B9-5AD860C0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091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contents">
    <w:name w:val="Table of contents"/>
    <w:basedOn w:val="a"/>
    <w:autoRedefine/>
    <w:rsid w:val="00CF1091"/>
    <w:rPr>
      <w:lang w:val="en-US"/>
    </w:rPr>
  </w:style>
  <w:style w:type="paragraph" w:customStyle="1" w:styleId="Title2">
    <w:name w:val="Title2"/>
    <w:basedOn w:val="a"/>
    <w:rsid w:val="00CF1091"/>
    <w:rPr>
      <w:b/>
      <w:lang w:val="en-US"/>
    </w:rPr>
  </w:style>
  <w:style w:type="paragraph" w:customStyle="1" w:styleId="TAMainText">
    <w:name w:val="TA_Main_Text"/>
    <w:basedOn w:val="a"/>
    <w:rsid w:val="00CF1091"/>
    <w:pPr>
      <w:spacing w:line="480" w:lineRule="auto"/>
      <w:ind w:firstLine="202"/>
      <w:jc w:val="both"/>
    </w:pPr>
    <w:rPr>
      <w:rFonts w:ascii="Times" w:eastAsia="宋体" w:hAnsi="Times"/>
      <w:szCs w:val="20"/>
      <w:lang w:val="en-US" w:eastAsia="en-US"/>
    </w:rPr>
  </w:style>
  <w:style w:type="character" w:styleId="a3">
    <w:name w:val="Hyperlink"/>
    <w:uiPriority w:val="99"/>
    <w:unhideWhenUsed/>
    <w:rsid w:val="00CF1091"/>
    <w:rPr>
      <w:color w:val="0563C1"/>
      <w:u w:val="single"/>
    </w:rPr>
  </w:style>
  <w:style w:type="paragraph" w:customStyle="1" w:styleId="FACorrespondingAuthorFootnote">
    <w:name w:val="FA_Corresponding_Author_Footnote"/>
    <w:basedOn w:val="a"/>
    <w:next w:val="TAMainText"/>
    <w:rsid w:val="00CF1091"/>
    <w:pPr>
      <w:spacing w:after="200" w:line="480" w:lineRule="auto"/>
      <w:jc w:val="both"/>
    </w:pPr>
    <w:rPr>
      <w:rFonts w:ascii="Times" w:eastAsia="宋体" w:hAnsi="Times"/>
      <w:szCs w:val="20"/>
      <w:lang w:val="en-US" w:eastAsia="en-US"/>
    </w:rPr>
  </w:style>
  <w:style w:type="paragraph" w:customStyle="1" w:styleId="Authornames">
    <w:name w:val="*Author names"/>
    <w:basedOn w:val="a"/>
    <w:autoRedefine/>
    <w:rsid w:val="00B455A2"/>
    <w:pPr>
      <w:spacing w:before="100" w:beforeAutospacing="1" w:after="100" w:afterAutospacing="1" w:line="360" w:lineRule="auto"/>
      <w:jc w:val="both"/>
    </w:pPr>
    <w:rPr>
      <w:rFonts w:eastAsia="宋体"/>
      <w:b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62F8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67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7DF0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styleId="a7">
    <w:name w:val="footer"/>
    <w:basedOn w:val="a"/>
    <w:link w:val="a8"/>
    <w:uiPriority w:val="99"/>
    <w:unhideWhenUsed/>
    <w:rsid w:val="00867D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7DF0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customStyle="1" w:styleId="Default">
    <w:name w:val="Default"/>
    <w:rsid w:val="00FE04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8703FC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  <w:lang w:val="en-US" w:eastAsia="zh-CN"/>
    </w:rPr>
  </w:style>
  <w:style w:type="character" w:customStyle="1" w:styleId="EndNoteBibliographyChar">
    <w:name w:val="EndNote Bibliography Char"/>
    <w:basedOn w:val="a0"/>
    <w:link w:val="EndNoteBibliography"/>
    <w:rsid w:val="008703FC"/>
    <w:rPr>
      <w:rFonts w:ascii="Calibri" w:hAnsi="Calibri"/>
      <w:noProof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D131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1316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  <w:style w:type="paragraph" w:styleId="ab">
    <w:name w:val="Revision"/>
    <w:hidden/>
    <w:uiPriority w:val="99"/>
    <w:semiHidden/>
    <w:rsid w:val="00451BDF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image" Target="media/image30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29.jpeg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1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fontTable" Target="fontTable.xml"/><Relationship Id="rId7" Type="http://schemas.openxmlformats.org/officeDocument/2006/relationships/hyperlink" Target="mailto:caotun1806@dlut.edu.cn" TargetMode="External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</dc:creator>
  <cp:keywords/>
  <dc:description/>
  <cp:lastModifiedBy>Administrator</cp:lastModifiedBy>
  <cp:revision>9</cp:revision>
  <dcterms:created xsi:type="dcterms:W3CDTF">2023-05-19T07:56:00Z</dcterms:created>
  <dcterms:modified xsi:type="dcterms:W3CDTF">2023-06-08T01:01:00Z</dcterms:modified>
</cp:coreProperties>
</file>