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54FFEA" w14:textId="1AB7C30D" w:rsidR="00365711" w:rsidRDefault="00CE54ED" w:rsidP="00CE54ED">
      <w:pPr>
        <w:jc w:val="center"/>
      </w:pPr>
      <w:r>
        <w:rPr>
          <w:noProof/>
        </w:rPr>
        <w:drawing>
          <wp:inline distT="0" distB="0" distL="0" distR="0" wp14:anchorId="62EAD391" wp14:editId="2313A854">
            <wp:extent cx="5274310" cy="644461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44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2813F" w14:textId="6E0FDBB1" w:rsidR="00CE54ED" w:rsidRDefault="00CE54ED" w:rsidP="00CE54ED">
      <w:pPr>
        <w:spacing w:line="480" w:lineRule="auto"/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</w:pPr>
      <w:r w:rsidRPr="00CE54ED"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eastAsia="en-US"/>
        </w:rPr>
        <w:t xml:space="preserve">Supplementary Figure 1 </w:t>
      </w:r>
      <w:r w:rsidRPr="00EE104D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The differential crotonylated proteins in glycolysis signaling pathway.</w:t>
      </w:r>
      <w:r w:rsidR="00EE104D">
        <w:rPr>
          <w:rFonts w:ascii="Times New Roman" w:eastAsia="等线" w:hAnsi="Times New Roman" w:cs="Times New Roman" w:hint="eastAsia"/>
          <w:kern w:val="0"/>
          <w:sz w:val="24"/>
          <w:szCs w:val="24"/>
        </w:rPr>
        <w:t xml:space="preserve"> </w:t>
      </w:r>
      <w:r w:rsidRPr="00CE54ED"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eastAsia="en-US"/>
        </w:rPr>
        <w:t xml:space="preserve">Notes: </w:t>
      </w:r>
      <w:r w:rsidRPr="00CE54ED">
        <w:rPr>
          <w:rFonts w:ascii="Times New Roman" w:eastAsia="等线" w:hAnsi="Times New Roman" w:cs="Times New Roman" w:hint="eastAsia"/>
          <w:kern w:val="0"/>
          <w:sz w:val="24"/>
          <w:szCs w:val="24"/>
          <w:lang w:eastAsia="en-US"/>
        </w:rPr>
        <w:t>2</w:t>
      </w:r>
      <w:r w:rsidRPr="00CE54ED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.7.1.11, PFK, phosphofructokinase; 4.1.2.13, ALDOA, Fructose-bisphosphate aldolase A; 5.3.1.1, TPI1, Triosephosphate isomerase; 2.7.2.3, PGK, Phosphoglycerate kinase; 4.2.1.11, ENO1, Alpha-enolase.</w:t>
      </w:r>
    </w:p>
    <w:p w14:paraId="2D0E5428" w14:textId="19BF5ED8" w:rsidR="00CE54ED" w:rsidRDefault="00CE54ED" w:rsidP="00CE54ED">
      <w:pPr>
        <w:spacing w:line="480" w:lineRule="auto"/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</w:pPr>
    </w:p>
    <w:p w14:paraId="5DA655EA" w14:textId="3A347183" w:rsidR="00CE54ED" w:rsidRDefault="00CE54ED" w:rsidP="00CE54ED">
      <w:pPr>
        <w:spacing w:line="480" w:lineRule="auto"/>
        <w:jc w:val="center"/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eastAsia="en-US"/>
        </w:rPr>
      </w:pPr>
      <w:r>
        <w:rPr>
          <w:noProof/>
        </w:rPr>
        <w:lastRenderedPageBreak/>
        <w:drawing>
          <wp:inline distT="0" distB="0" distL="0" distR="0" wp14:anchorId="46157EF8" wp14:editId="47516008">
            <wp:extent cx="3061335" cy="1799590"/>
            <wp:effectExtent l="0" t="0" r="571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3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38C8E" w14:textId="10084611" w:rsidR="00CE54ED" w:rsidRPr="00EE104D" w:rsidRDefault="00CE54ED" w:rsidP="00CE54ED">
      <w:pPr>
        <w:spacing w:line="480" w:lineRule="auto"/>
        <w:jc w:val="left"/>
        <w:rPr>
          <w:rFonts w:ascii="Times New Roman" w:eastAsia="等线" w:hAnsi="Times New Roman" w:cs="Times New Roman" w:hint="eastAsia"/>
          <w:kern w:val="0"/>
          <w:sz w:val="24"/>
          <w:szCs w:val="24"/>
          <w:lang w:eastAsia="en-US"/>
        </w:rPr>
      </w:pPr>
      <w:r w:rsidRPr="00CE54ED"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eastAsia="en-US"/>
        </w:rPr>
        <w:t xml:space="preserve">Supplementary Figure 2 </w:t>
      </w:r>
      <w:r w:rsidRPr="00EE104D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Verification of HSP90AB1 knockdown efficiency in CAL27 cells.</w:t>
      </w:r>
    </w:p>
    <w:sectPr w:rsidR="00CE54ED" w:rsidRPr="00EE10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DF"/>
    <w:rsid w:val="00365711"/>
    <w:rsid w:val="00CE54ED"/>
    <w:rsid w:val="00EA54DF"/>
    <w:rsid w:val="00EE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D58E3"/>
  <w15:chartTrackingRefBased/>
  <w15:docId w15:val="{66B715AB-CB1E-464F-860E-E09FB5591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尹 西腾</dc:creator>
  <cp:keywords/>
  <dc:description/>
  <cp:lastModifiedBy>尹 西腾</cp:lastModifiedBy>
  <cp:revision>3</cp:revision>
  <dcterms:created xsi:type="dcterms:W3CDTF">2023-05-29T01:08:00Z</dcterms:created>
  <dcterms:modified xsi:type="dcterms:W3CDTF">2023-05-29T01:10:00Z</dcterms:modified>
</cp:coreProperties>
</file>