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0367" w:rsidRDefault="007743E9" w:rsidP="007743E9">
      <w:pPr>
        <w:jc w:val="left"/>
        <w:rPr>
          <w:b/>
          <w:sz w:val="32"/>
          <w:szCs w:val="32"/>
        </w:rPr>
      </w:pPr>
      <w:r>
        <w:rPr>
          <w:b/>
          <w:sz w:val="32"/>
          <w:szCs w:val="32"/>
        </w:rPr>
        <w:t>Supplementary Material</w:t>
      </w:r>
    </w:p>
    <w:p w:rsidR="003B0367" w:rsidRDefault="003B0367">
      <w:pPr>
        <w:adjustRightInd w:val="0"/>
        <w:snapToGrid w:val="0"/>
        <w:spacing w:line="360" w:lineRule="auto"/>
        <w:rPr>
          <w:rFonts w:ascii="Arial" w:eastAsia="Arial Unicode MS" w:hAnsi="Arial" w:cs="Arial"/>
          <w:b/>
          <w:sz w:val="32"/>
          <w:szCs w:val="32"/>
        </w:rPr>
      </w:pPr>
    </w:p>
    <w:p w:rsidR="00400A21" w:rsidRDefault="00400A21" w:rsidP="00400A21">
      <w:pPr>
        <w:adjustRightInd w:val="0"/>
        <w:snapToGrid w:val="0"/>
        <w:spacing w:line="480" w:lineRule="auto"/>
        <w:rPr>
          <w:rFonts w:ascii="Arial" w:eastAsia="Arial Unicode MS" w:hAnsi="Arial" w:cs="Arial"/>
          <w:b/>
          <w:sz w:val="28"/>
          <w:szCs w:val="21"/>
        </w:rPr>
      </w:pPr>
      <w:bookmarkStart w:id="0" w:name="OLE_LINK9"/>
      <w:bookmarkStart w:id="1" w:name="OLE_LINK3"/>
      <w:bookmarkStart w:id="2" w:name="OLE_LINK4"/>
      <w:r>
        <w:rPr>
          <w:rFonts w:ascii="Arial" w:eastAsia="Arial Unicode MS" w:hAnsi="Arial" w:cs="Arial"/>
          <w:b/>
          <w:sz w:val="28"/>
          <w:szCs w:val="21"/>
        </w:rPr>
        <w:t>Biochar promotes methane production during anaerobic digestion of organic waste</w:t>
      </w:r>
      <w:r w:rsidR="00EF0481">
        <w:rPr>
          <w:rFonts w:ascii="Arial" w:eastAsia="Arial Unicode MS" w:hAnsi="Arial" w:cs="Arial"/>
          <w:b/>
          <w:sz w:val="28"/>
          <w:szCs w:val="21"/>
        </w:rPr>
        <w:t>,</w:t>
      </w:r>
      <w:r>
        <w:rPr>
          <w:rFonts w:ascii="Arial" w:eastAsia="Arial Unicode MS" w:hAnsi="Arial" w:cs="Arial"/>
          <w:b/>
          <w:sz w:val="28"/>
          <w:szCs w:val="21"/>
        </w:rPr>
        <w:t xml:space="preserve"> </w:t>
      </w:r>
      <w:r w:rsidR="00EF0481">
        <w:rPr>
          <w:rFonts w:ascii="Arial" w:eastAsia="Arial Unicode MS" w:hAnsi="Arial" w:cs="Arial"/>
          <w:b/>
          <w:sz w:val="28"/>
          <w:szCs w:val="21"/>
        </w:rPr>
        <w:t>a</w:t>
      </w:r>
      <w:r>
        <w:rPr>
          <w:rFonts w:ascii="Arial" w:eastAsia="Arial Unicode MS" w:hAnsi="Arial" w:cs="Arial"/>
          <w:b/>
          <w:sz w:val="28"/>
          <w:szCs w:val="21"/>
        </w:rPr>
        <w:t xml:space="preserve"> meta-analysis</w:t>
      </w:r>
    </w:p>
    <w:bookmarkEnd w:id="0"/>
    <w:bookmarkEnd w:id="1"/>
    <w:bookmarkEnd w:id="2"/>
    <w:p w:rsidR="00400A21" w:rsidRDefault="00400A21" w:rsidP="00400A21">
      <w:pPr>
        <w:adjustRightInd w:val="0"/>
        <w:snapToGrid w:val="0"/>
        <w:spacing w:beforeLines="50" w:before="156" w:afterLines="50" w:after="156" w:line="480" w:lineRule="auto"/>
        <w:rPr>
          <w:rFonts w:ascii="Arial" w:eastAsia="Arial Unicode MS" w:hAnsi="Arial" w:cs="Arial"/>
          <w:szCs w:val="21"/>
        </w:rPr>
      </w:pPr>
    </w:p>
    <w:p w:rsidR="00400A21" w:rsidRPr="00580B5B" w:rsidRDefault="00400A21" w:rsidP="00400A21">
      <w:pPr>
        <w:adjustRightInd w:val="0"/>
        <w:snapToGrid w:val="0"/>
        <w:spacing w:beforeLines="50" w:before="156" w:afterLines="50" w:after="156" w:line="480" w:lineRule="auto"/>
        <w:rPr>
          <w:rFonts w:ascii="Arial" w:eastAsia="Arial Unicode MS" w:hAnsi="Arial" w:cs="Arial"/>
          <w:szCs w:val="21"/>
        </w:rPr>
      </w:pPr>
      <w:r>
        <w:rPr>
          <w:rFonts w:ascii="Arial" w:eastAsia="Arial Unicode MS" w:hAnsi="Arial" w:cs="Arial"/>
          <w:szCs w:val="21"/>
        </w:rPr>
        <w:t>Leilei Xiao</w:t>
      </w:r>
      <w:r>
        <w:rPr>
          <w:rFonts w:ascii="Arial" w:eastAsia="Arial Unicode MS" w:hAnsi="Arial" w:cs="Arial"/>
          <w:szCs w:val="21"/>
          <w:vertAlign w:val="superscript"/>
        </w:rPr>
        <w:t>1,2</w:t>
      </w:r>
      <w:r>
        <w:rPr>
          <w:rFonts w:ascii="Arial" w:eastAsia="Arial Unicode MS" w:hAnsi="Arial" w:cs="Arial"/>
          <w:szCs w:val="21"/>
        </w:rPr>
        <w:t xml:space="preserve">*, </w:t>
      </w:r>
      <w:r>
        <w:rPr>
          <w:rFonts w:ascii="Arial" w:eastAsia="Arial Unicode MS" w:hAnsi="Arial" w:cs="Arial"/>
          <w:szCs w:val="24"/>
        </w:rPr>
        <w:t>Eric Lichtfouse</w:t>
      </w:r>
      <w:r>
        <w:rPr>
          <w:rFonts w:ascii="Arial" w:eastAsia="Arial Unicode MS" w:hAnsi="Arial" w:cs="Arial"/>
          <w:szCs w:val="24"/>
          <w:vertAlign w:val="superscript"/>
        </w:rPr>
        <w:t>3,4</w:t>
      </w:r>
      <w:r>
        <w:rPr>
          <w:rFonts w:ascii="Arial" w:eastAsia="Arial Unicode MS" w:hAnsi="Arial" w:cs="Arial"/>
          <w:szCs w:val="21"/>
        </w:rPr>
        <w:t>*</w:t>
      </w:r>
      <w:r>
        <w:rPr>
          <w:rFonts w:ascii="Arial" w:eastAsia="Arial Unicode MS" w:hAnsi="Arial" w:cs="Arial"/>
          <w:szCs w:val="24"/>
        </w:rPr>
        <w:t xml:space="preserve">, </w:t>
      </w:r>
      <w:r>
        <w:rPr>
          <w:rFonts w:ascii="Arial" w:eastAsia="Arial Unicode MS" w:hAnsi="Arial" w:cs="Arial"/>
          <w:sz w:val="20"/>
          <w:szCs w:val="20"/>
        </w:rPr>
        <w:t>P. Senthil Kumar</w:t>
      </w:r>
      <w:r>
        <w:rPr>
          <w:rFonts w:ascii="Arial" w:eastAsia="Arial Unicode MS" w:hAnsi="Arial" w:cs="Arial"/>
          <w:sz w:val="20"/>
          <w:szCs w:val="20"/>
          <w:vertAlign w:val="superscript"/>
        </w:rPr>
        <w:t>5</w:t>
      </w:r>
      <w:r>
        <w:rPr>
          <w:rFonts w:ascii="Arial" w:eastAsia="Arial Unicode MS" w:hAnsi="Arial" w:cs="Arial"/>
          <w:sz w:val="20"/>
          <w:szCs w:val="20"/>
        </w:rPr>
        <w:t xml:space="preserve">, </w:t>
      </w:r>
      <w:r w:rsidR="00B458FC" w:rsidRPr="009358CB">
        <w:rPr>
          <w:rFonts w:ascii="Arial" w:eastAsia="Times New Roman" w:hAnsi="Arial" w:cs="Arial"/>
          <w:color w:val="000000"/>
          <w:kern w:val="0"/>
          <w:szCs w:val="21"/>
          <w:shd w:val="clear" w:color="auto" w:fill="FFFFFF"/>
          <w:lang w:eastAsia="fr-FR"/>
        </w:rPr>
        <w:t>Quan Wang</w:t>
      </w:r>
      <w:bookmarkStart w:id="3" w:name="_GoBack"/>
      <w:bookmarkEnd w:id="3"/>
      <w:r>
        <w:rPr>
          <w:rFonts w:ascii="Arial" w:eastAsia="Arial Unicode MS" w:hAnsi="Arial" w:cs="Arial"/>
          <w:szCs w:val="24"/>
          <w:vertAlign w:val="superscript"/>
        </w:rPr>
        <w:t>1</w:t>
      </w:r>
      <w:r>
        <w:rPr>
          <w:rFonts w:ascii="Arial" w:eastAsia="Arial Unicode MS" w:hAnsi="Arial" w:cs="Arial"/>
          <w:szCs w:val="24"/>
        </w:rPr>
        <w:t>, Fanghua Liu</w:t>
      </w:r>
      <w:r w:rsidRPr="00580B5B">
        <w:rPr>
          <w:rFonts w:ascii="Arial" w:eastAsia="Arial Unicode MS" w:hAnsi="Arial" w:cs="Arial"/>
          <w:szCs w:val="24"/>
          <w:vertAlign w:val="superscript"/>
        </w:rPr>
        <w:t>1,2</w:t>
      </w:r>
    </w:p>
    <w:p w:rsidR="003B0367" w:rsidRDefault="00967C83">
      <w:pPr>
        <w:jc w:val="left"/>
        <w:rPr>
          <w:sz w:val="28"/>
          <w:szCs w:val="28"/>
        </w:rPr>
      </w:pPr>
      <w:r>
        <w:rPr>
          <w:sz w:val="28"/>
          <w:szCs w:val="28"/>
        </w:rPr>
        <w:t>Number of pages: 13</w:t>
      </w:r>
    </w:p>
    <w:p w:rsidR="003B0367" w:rsidRDefault="00967C83">
      <w:pPr>
        <w:jc w:val="left"/>
        <w:rPr>
          <w:sz w:val="28"/>
          <w:szCs w:val="28"/>
        </w:rPr>
      </w:pPr>
      <w:r>
        <w:rPr>
          <w:sz w:val="28"/>
          <w:szCs w:val="28"/>
        </w:rPr>
        <w:t>Number of Tables: 1</w:t>
      </w:r>
    </w:p>
    <w:p w:rsidR="003B0367" w:rsidRDefault="00967C83">
      <w:pPr>
        <w:rPr>
          <w:sz w:val="28"/>
          <w:szCs w:val="28"/>
        </w:rPr>
        <w:sectPr w:rsidR="003B036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sz w:val="28"/>
          <w:szCs w:val="28"/>
        </w:rPr>
        <w:t>Table SI 1 Literature data and references of the effect of biochar addition on biomethane production during anaerobic disposal of solid waste and wastewater.</w:t>
      </w:r>
    </w:p>
    <w:p w:rsidR="003B0367" w:rsidRDefault="00967C83">
      <w:pPr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Table S1</w:t>
      </w:r>
      <w:r>
        <w:rPr>
          <w:sz w:val="28"/>
          <w:szCs w:val="28"/>
        </w:rPr>
        <w:t xml:space="preserve"> Literature data and references of the effect of biochar addition on biomethane production during anaerobic disposal of solid waste and wastewater.</w:t>
      </w:r>
    </w:p>
    <w:tbl>
      <w:tblPr>
        <w:tblW w:w="13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846"/>
        <w:gridCol w:w="543"/>
        <w:gridCol w:w="848"/>
        <w:gridCol w:w="652"/>
        <w:gridCol w:w="688"/>
        <w:gridCol w:w="695"/>
        <w:gridCol w:w="1398"/>
        <w:gridCol w:w="1653"/>
        <w:gridCol w:w="616"/>
        <w:gridCol w:w="739"/>
        <w:gridCol w:w="610"/>
        <w:gridCol w:w="675"/>
        <w:gridCol w:w="810"/>
        <w:gridCol w:w="477"/>
        <w:gridCol w:w="688"/>
        <w:gridCol w:w="1022"/>
      </w:tblGrid>
      <w:tr w:rsidR="003B0367">
        <w:trPr>
          <w:trHeight w:val="1094"/>
        </w:trPr>
        <w:tc>
          <w:tcPr>
            <w:tcW w:w="988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Feedstock</w:t>
            </w:r>
          </w:p>
        </w:tc>
        <w:tc>
          <w:tcPr>
            <w:tcW w:w="846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Pyrolysis temperature (°C)</w:t>
            </w:r>
          </w:p>
        </w:tc>
        <w:tc>
          <w:tcPr>
            <w:tcW w:w="543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pH</w:t>
            </w:r>
          </w:p>
        </w:tc>
        <w:tc>
          <w:tcPr>
            <w:tcW w:w="848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Conductivity (mS/m)</w:t>
            </w:r>
          </w:p>
        </w:tc>
        <w:tc>
          <w:tcPr>
            <w:tcW w:w="652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Size (mm)</w:t>
            </w:r>
          </w:p>
        </w:tc>
        <w:tc>
          <w:tcPr>
            <w:tcW w:w="688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BET</w:t>
            </w:r>
          </w:p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(m</w:t>
            </w: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  <w:vertAlign w:val="superscript"/>
              </w:rPr>
              <w:t>2</w:t>
            </w: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/g)</w:t>
            </w:r>
          </w:p>
        </w:tc>
        <w:tc>
          <w:tcPr>
            <w:tcW w:w="695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Doze </w:t>
            </w:r>
          </w:p>
        </w:tc>
        <w:tc>
          <w:tcPr>
            <w:tcW w:w="1398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Methanogens </w:t>
            </w: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  <w:vertAlign w:val="superscript"/>
              </w:rPr>
              <w:t>3</w:t>
            </w:r>
          </w:p>
        </w:tc>
        <w:tc>
          <w:tcPr>
            <w:tcW w:w="1653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Methanogens </w:t>
            </w: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  <w:vertAlign w:val="superscript"/>
              </w:rPr>
              <w:t>4</w:t>
            </w:r>
          </w:p>
        </w:tc>
        <w:tc>
          <w:tcPr>
            <w:tcW w:w="1965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3B0367">
            <w:pPr>
              <w:widowControl/>
              <w:adjustRightInd w:val="0"/>
              <w:snapToGrid w:val="0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</w:p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Control group</w:t>
            </w:r>
          </w:p>
        </w:tc>
        <w:tc>
          <w:tcPr>
            <w:tcW w:w="196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Experimental group</w:t>
            </w:r>
          </w:p>
        </w:tc>
        <w:tc>
          <w:tcPr>
            <w:tcW w:w="688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Hedge's </w:t>
            </w:r>
            <w:r>
              <w:rPr>
                <w:rFonts w:ascii="Arial" w:hAnsi="Arial" w:cs="Arial"/>
                <w:i/>
                <w:color w:val="000000"/>
                <w:sz w:val="15"/>
                <w:szCs w:val="15"/>
              </w:rPr>
              <w:t>d</w:t>
            </w:r>
          </w:p>
        </w:tc>
        <w:tc>
          <w:tcPr>
            <w:tcW w:w="1022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References</w:t>
            </w:r>
          </w:p>
        </w:tc>
      </w:tr>
      <w:tr w:rsidR="003B0367">
        <w:trPr>
          <w:trHeight w:val="1093"/>
        </w:trPr>
        <w:tc>
          <w:tcPr>
            <w:tcW w:w="988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3B0367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6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3B0367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43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3B0367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8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3B0367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2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3B0367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88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3B0367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5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3B0367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98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3B0367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653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3B0367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16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Max rate or yield</w:t>
            </w:r>
          </w:p>
        </w:tc>
        <w:tc>
          <w:tcPr>
            <w:tcW w:w="739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SD</w:t>
            </w:r>
          </w:p>
        </w:tc>
        <w:tc>
          <w:tcPr>
            <w:tcW w:w="61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bookmarkStart w:id="4" w:name="OLE_LINK17"/>
            <w:bookmarkStart w:id="5" w:name="OLE_LINK16"/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Number</w:t>
            </w:r>
            <w:bookmarkEnd w:id="4"/>
            <w:bookmarkEnd w:id="5"/>
          </w:p>
        </w:tc>
        <w:tc>
          <w:tcPr>
            <w:tcW w:w="675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Max rate or yield</w:t>
            </w:r>
          </w:p>
        </w:tc>
        <w:tc>
          <w:tcPr>
            <w:tcW w:w="81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SD</w:t>
            </w:r>
          </w:p>
        </w:tc>
        <w:tc>
          <w:tcPr>
            <w:tcW w:w="477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Number</w:t>
            </w:r>
          </w:p>
        </w:tc>
        <w:tc>
          <w:tcPr>
            <w:tcW w:w="688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3B0367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22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B0367" w:rsidRDefault="003B0367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Pine wood</w:t>
            </w:r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980</w:t>
            </w:r>
          </w:p>
        </w:tc>
        <w:tc>
          <w:tcPr>
            <w:tcW w:w="5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  <w:vertAlign w:val="superscript"/>
              </w:rPr>
              <w:t>1</w:t>
            </w:r>
          </w:p>
        </w:tc>
        <w:tc>
          <w:tcPr>
            <w:tcW w:w="84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2.2 ± 0.46</w:t>
            </w:r>
          </w:p>
        </w:tc>
        <w:tc>
          <w:tcPr>
            <w:tcW w:w="6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2.0-2.4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451 ± 11</w:t>
            </w:r>
          </w:p>
        </w:tc>
        <w:tc>
          <w:tcPr>
            <w:tcW w:w="69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NU</w:t>
            </w: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13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0.87</w:t>
            </w:r>
          </w:p>
        </w:tc>
        <w:tc>
          <w:tcPr>
            <w:tcW w:w="7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0.018</w:t>
            </w:r>
          </w:p>
        </w:tc>
        <w:tc>
          <w:tcPr>
            <w:tcW w:w="6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1.06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0.0792</w:t>
            </w:r>
          </w:p>
        </w:tc>
        <w:tc>
          <w:tcPr>
            <w:tcW w:w="47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1.89</w:t>
            </w:r>
          </w:p>
        </w:tc>
        <w:tc>
          <w:tcPr>
            <w:tcW w:w="10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(Cheng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Pine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980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2.2 ± 0.46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2.0-2.4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451 ± 11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NU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0.935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0.015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0.0532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5.33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(Cheng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Pine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980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2.2 ± 0.46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2.0-2.4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451 ± 11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NU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1.16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0.145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0.0166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-0.277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(Cheng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Pine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980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2.2 ± 0.46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0.21-0.25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531 ± 31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NU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1.08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0.037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0.741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0.0748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-3.28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(Cheng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Pine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980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2.2 ± 0.46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0.21-0.25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531 ± 31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NU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1.11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0.014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0.748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0.184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-1.59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(Cheng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Pine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980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2.2 ± 0.46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0.21-0.25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531 ± 31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NU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1.08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0.014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0.413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0.0317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-15.54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(Cheng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Fruitwoods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8.63 ± 0.13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2.81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0.624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2.25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0.32909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-0.899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(Luo et al., 2015)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Fruitwoods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8.63 ± 0.13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1.12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0.087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0.121244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7.37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(Luo et al., 2015)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Fruitwoods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8.63 ± 0.13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 0.5-1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Methanobacterium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Methanobacterium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1.26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0.104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1.53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0.121244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(Luo et al., 2015)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Fruitwoods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8.63 ± 0.13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Methanobacterium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Methanobacterium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0.97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0.104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0.103923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0.385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(Luo et al., 2015)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Sawdust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9.15 ± 0.12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 0.25-1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248 ± 34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1.349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0.095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1.351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0.0843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0.0127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(Li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lastRenderedPageBreak/>
              <w:t>Sawdust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9.15 ± 0.12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 0.25-1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248 ± 34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2.606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0.058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2.619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0.0635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0.123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(Li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Sawdust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9.15 ± 0.12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 0.25-1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248 ± 34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3.502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0.163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5.482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0.192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6.36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(Li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Sawdust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9.15 ± 0.12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 0.25-1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248 ± 34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4.675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0.075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8.473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0.114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22.5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(Li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Sawdust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9.15 ± 0.12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 0.25-1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248 ± 34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5.696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0.534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6.40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(Li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Hardwood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7.9 ± 0.3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 ± 10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1.813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0.142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2.872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0.245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4.23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(Paritosh and Vivekanand, 2019)</w:t>
            </w:r>
          </w:p>
        </w:tc>
      </w:tr>
      <w:tr w:rsidR="003B0367">
        <w:trPr>
          <w:trHeight w:val="62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Hardwood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7.9 ± 0.3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 ± 10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1.813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0.142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3.662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0.254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7.19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(Paritosh and Vivekanand, 2019)</w:t>
            </w:r>
          </w:p>
        </w:tc>
      </w:tr>
      <w:tr w:rsidR="003B0367">
        <w:trPr>
          <w:trHeight w:val="62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Hardwood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7.9 ± 0.3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 ± 10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1.813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0.142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2.993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0.238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4.82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(Paritosh and Vivekanand,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Hardwood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7.9 ± 0.3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 ± 10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1.813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0.142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2.611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4.86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(Paritosh and Vivekanand,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Hardwood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7.9 ± 0.3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 ± 10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1.813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0.142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2.463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0.214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2.86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(Paritosh and Vivekanand,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Hardwood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7.9 ± 0.3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 ± 10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1.813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0.142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2.49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0.228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2.85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(Paritosh and Vivekanand,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 Rice straw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10.40 ± 0.02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2.853 ± 0.086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&lt;2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38.8 ± 0.99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Methanosarcina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Methanosarcina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0.0257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0.031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0.347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0.217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1.66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(Yuan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Wood</w:t>
            </w: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br/>
              <w:t>chips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9.60 ± 0.03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0.225 ± 0.006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&lt;2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14.75 ± 0.95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Methanosarcina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Methanosarcina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0.0257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0.031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0.0019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0.0014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-0.868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(Yuan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cow Manure biomasses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10.24 ± 0.06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0.277 ± 0.007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&lt;2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16.91 ± 0.73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Methanobacterium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Methanobacterium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0.0257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0.031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0.825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0.238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3.77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(Yuan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 Pine sawdust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0.0035–</w:t>
            </w: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lastRenderedPageBreak/>
              <w:t>0.0259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lastRenderedPageBreak/>
              <w:t>130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8.66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12.12436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3.27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(Sunyoto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Pine sawdust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0.0035–0.0259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16.6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8.66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5.196152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5.27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(Sunyoto et al., 2016)</w:t>
            </w:r>
          </w:p>
        </w:tc>
      </w:tr>
      <w:tr w:rsidR="003B0367">
        <w:trPr>
          <w:trHeight w:val="844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Pine sawdust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0.0035–0.0259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25.1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8.66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5.196152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3.58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(Sunyoto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Pine sawdust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0.0035–0.0259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33.3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8.66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138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13.85641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1.73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(Sunyoto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Switchgrass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7.3 ± 0.3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33.8 ± 1.2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0.669 ± 0.453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5.7 ± 2.0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190.8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20.61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328.7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4.458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7.40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(Shanmugam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Ashe juniper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7.0 ± 0.2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 ± 14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1.068 ± 0.838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8.0 ± 3.0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190.8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20.61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327.2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14.7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6.10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(Shanmugam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Fruitwoods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800–900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8.63 ± 0.13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490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14.5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480.5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5.6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-0.691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(Cai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Fruitwoods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800–900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8.63 ± 0.13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490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14.5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493.1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0.230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(Cai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Fruitwoods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800–900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8.63 ± 0.13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490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14.5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507.5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4.6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1.30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(Cai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Fruitwoods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800–900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8.63 ± 0.13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440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39.1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460.3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3.5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0.586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(Cai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Fruitwoods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800–900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8.63 ± 0.13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440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39.1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530.5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2.60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(Cai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Fruitwoods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800–900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8.63 ± 0.13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440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39.1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476.6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1.05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(Cai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Fruitwoods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800–900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8.63 ± 0.13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1.6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340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31.7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490.2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7.1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5.23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(Cai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Fruitwoods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800–900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8.63 ± 0.13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340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31.7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478.1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3.7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4.90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(Cai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Fruitwoods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800–900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8.63 ± 0.13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340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31.7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471.9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4.69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(Cai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lastRenderedPageBreak/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6.4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44.22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156.5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3.226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187.9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4.839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6.11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6.4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44.22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156.5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3.226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208.9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4.032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11.5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6.4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44.22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156.5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3.226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190.3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5.645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5.88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6.4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44.22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156.5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3.226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182.3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4.839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5.02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9.5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21.07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156.5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4.839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166.9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2.42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2.17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9.5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21.07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156.5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4.839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188.7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3.225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6.26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9.5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21.07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156.5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4.839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208.9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4.032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9.41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9.5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21.07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156.5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4.839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196.8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4.032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7.25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6.4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44.22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156.5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6.14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233.3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4.386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11.5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6.4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44.22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156.5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6.14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227.2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4.386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6.4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44.22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156.5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6.14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214.9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3.509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9.34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6.4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44.22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156.5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6.14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4.384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7.57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9.5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21.07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146.5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4.386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166.7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4.386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3.68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9.5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21.07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146.5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4.386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194.7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3.509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9.71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9.5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21.07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146.5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4.386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211.4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4.385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11.8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9.5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21.07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146.5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4.386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185.1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5.263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6.37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lastRenderedPageBreak/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6.4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44.22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162.2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4.196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274.5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3.148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24.2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6.4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44.22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162.2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4.196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227.3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4.196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12.4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6.4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44.22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162.2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4.196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210.49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3.146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6.4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44.22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162.2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4.196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202.1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3.147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8.61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9.5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21.07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155.9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3.147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172.7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3.147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4.27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9.5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21.07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155.9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3.147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222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5.245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12.2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9.5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21.07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155.9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3.147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204.2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2.098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14.4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(Ambaye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9.5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21.07 ± 0.02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155.9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3.147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189.5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2.098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Methanosarcina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Methanosarcina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0.0054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2E-04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0.0068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0.00024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5.60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(Huang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Vineyard prunings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1.59 ± 0.60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Methanobacterium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10.89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(Martinez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Vineyard prunings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1.59 ± 0.60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Methanofollis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10.89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14.15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(Martinez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Vineyard prunings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1.59 ± 0.60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Methanosphaerula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18.73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0.37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23.13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0.46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8.43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(Martinez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Vineyard prunings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1.59 ± 0.60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Mathanolinea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18.73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0.37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33.39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0.66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21.9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(Martinez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Vineyard prunings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1.59 ± 0.60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14.35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66.34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1.15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49.7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(Martinez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Vineyard prunings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1.59 ± 0.60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14.35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75.53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21.5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(Martinez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Wood pellet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9.4 ± 0.2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Methanosaetaceae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NA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0.04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1.50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(Indren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lastRenderedPageBreak/>
              <w:t>Wheat straw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10.2 ± 0.03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Methanosaetaceae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:rsidR="003B0367" w:rsidRDefault="00967C83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NA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-1.14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(Indren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Sheep manure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Methanosaetaceae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NA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-1.14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(Indren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Dry dairy manure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0.42–0.6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20.19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0.96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1.09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0.673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(Jang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Dry dairy manure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0.42–0.6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20.19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0.96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24.32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1.12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2.26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(Jang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Dry dairy manure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0.42–0.6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28.23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0.64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29.85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0.62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1.47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(Jang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Dry dairy manure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0.42–0.6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28.23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0.64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37.35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0.67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7.96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(Jang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Dry dairy manure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0.42–0.6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25.58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0.87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31.07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1.01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3.33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(Jang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Dry dairy manure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0.42–0.6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25.58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0.87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38.49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1.44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6.20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(Jang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Corn stover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841 to &lt;74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620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10.39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46.76537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-0.152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(Achi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Corn stover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841 to &lt;74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620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10.39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27.71281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-0.246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(Achi et al., 2020)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Douglas fir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5.62 ± 0.01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46.8±1.9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16.99 ± 0.58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19.3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4.01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2020b)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Douglas fir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5.77 ± 0.00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49.9±1.2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13.17 ± 4.05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Methanosarcina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19.3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5.80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2020b)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Douglas fir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6.08 ± 0.04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51.2±5.7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18.36 ± 2.61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Methanosarcina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19.3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33.5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1.6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5.40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2020b)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Douglas fir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730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6.13 ± 0.08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63.6±3.4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18.39 ± 0.29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Methanosarcina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19.3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25.6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2.23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2020b)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Douglas fir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5.62 ± 0.01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46.8±1.9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16.99 ± 0.58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1.51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2020b)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Douglas fir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5.77 ± 0.00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49.9±1.2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13.17 ± 4.05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Methanobacterium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1.25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2020b)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Douglas fir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6.08 ± 0.04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51.2±5.7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18.36 ± 2.61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Methanobacterium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1.14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2020b)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Douglas fir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730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6.13 ± 0.08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63.6±3.4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18.39 ± 0.29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0.7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0.0418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2020b)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Douglas fir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5.62 ± 0.01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46.8±1.9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16.99 ± 0.58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Methanobrevibacter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Methanobrevibacter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30.7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1.75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2020b)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lastRenderedPageBreak/>
              <w:t>Douglas fir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5.77 ± 0.00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49.9±1.2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13.17 ± 4.05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Methanomassiliicoccus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30.7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1.49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2020b)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Douglas fir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6.08 ± 0.04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51.2±5.7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18.36 ± 2.61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Methanomassiliicoccus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30.7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36.2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1.70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2020b)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Douglas fir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730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6.13 ± 0.08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63.6±3.4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18.39 ± 0.29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Methanomassiliicoccus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30.7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33.8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2.1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0.992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2020b)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Douglas fir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5.62 ± 0.01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46.8±1.9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16.99 ± 0.58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17.6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4.44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2020b)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Douglas fir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5.77 ± 0.00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49.9±1.2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13.17 ± 4.05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17.6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24.6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2.0487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2020b)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Douglas fir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6.08 ± 0.04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51.2±5.7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18.36 ± 2.61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17.6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24.2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1.7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1.28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2020b)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Douglas fir wood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730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6.13 ± 0.08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63.6±3.4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18.39 ± 0.29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17.6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22.6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0.723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2020b)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6.78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64.1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21.3196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111.4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0.87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132.1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4.775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4.83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(Wu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27.4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39.7573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111.4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0.874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123.4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2.581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4.98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(Wu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7.92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24.85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31.7746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111.4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0.874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114.7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0.735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3.27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(Wu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Cow manure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0.5–1.0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112.6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Methanospirillum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Methanospirillum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220.1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263.6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8.9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2.99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(Sun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Cow manure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0.5–1.0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112.6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Methanospirillum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Methanospirillum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220.1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341.5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3.6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11.5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(Sun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Cow manure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0.5–1.0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112.6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Methanospirillum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Methanospirillum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220.1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401.8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7.7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13.5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(Sun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Cow manure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0.5–1.0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112.6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Methanospirillum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Methanospirillum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220.1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358.1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12.7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(Sun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Cow manure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0.5–1.0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112.6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310.4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3.9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3.20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(Sun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Cow manure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0.5–1.0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112.6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310.4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391.8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5.5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6.14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(Sun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Cow manure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0.5–1.0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112.6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310.4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456.8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7.7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9.86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(Sun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Cow manure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0.5–1.0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112.6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310.4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416.9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8.9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6.72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(Sun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 Corn straw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29.8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117.2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8.244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184.2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9.178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6.14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 Corn straw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32.8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117.2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8.244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196.1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6.859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8.32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lastRenderedPageBreak/>
              <w:t xml:space="preserve"> Corn straw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56.6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117.2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8.244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218.4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9.352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9.18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16.1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117.2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8.244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155.9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8.986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3.59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18.9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117.2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8.244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207.6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8.092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8.85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</w:t>
            </w: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br/>
              <w:t>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26.3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117.2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8.244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165.8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7.662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4.89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Coconut shell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2.32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117.2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8.244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143.8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8.923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2.48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Coconut shell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117.2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8.244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125.4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9.005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0.760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Coconut shell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12.7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117.2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8.244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173.7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5.964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6.28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 Corn straw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56.6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126.9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1.997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3.472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6.24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 Corn straw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56.6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15.9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126.9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1.997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185.3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5.015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12.2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 Corn straw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56.6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26.1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126.9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1.997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199.2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5.016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15.2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 Corn straw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56.6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34.2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126.9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1.997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137.5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3.858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2.76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26.3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126.9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1.997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140.2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4.659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2.97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26.3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15.9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126.9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1.997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155.5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1.997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11.5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26.3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26.1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126.9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1.997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168.5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3.661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11.3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Sewage 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26.3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34.2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126.9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1.997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124.9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2.663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-0.680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Coconut shell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12.7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126.9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1.997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142.7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3.802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4.16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Coconut shell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12.7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15.9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126.9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1.997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154.1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2.662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9.25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Coconut shell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12.7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26.1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126.9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1.997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169.7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2.661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14.6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Coconut shell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12.7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34.2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126.9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1.997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184.9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3.042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18.0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(Zhang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Bamboo biochar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8.42 ± 0.02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0.024 ± 0.002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 2-3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54.5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9.01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0.96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0.678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-4.72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(Mao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Pine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0.5–1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5.21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9.11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0.66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-2.74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(Lu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Pine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&lt; 0.00 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210.78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Methanolinea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Methanolinea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9.11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9.55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0.53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0.664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(Lu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Pine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0.5–1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5.21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Methanomicrobia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Methanomicrobia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9.08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0.69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10.56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0.53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1.92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(Lu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lastRenderedPageBreak/>
              <w:t>Pine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&lt; 0.00 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bookmarkStart w:id="6" w:name="RANGE!G137"/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210.78</w:t>
            </w:r>
            <w:bookmarkEnd w:id="6"/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Methanomicrobia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Methanomicrobia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9.08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0.69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9.44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0.75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0.400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(Lu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Sawdust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7.3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0.25–1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53.2 ± 2.8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115.9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2.362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159.7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2.362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14.8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2020a)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Sawdust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9.2 ± 0.1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0.25–1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248.6 ± 3.5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115.9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2.362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168.7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5.196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2020a)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Sawdust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10.0 ± 0.2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0.25–1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511.3 ± 3.8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115.9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2.362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150.7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1.89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13.0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2020a)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Straw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350–550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Methanosaetaceae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Methanobacteriaceae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0.756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0.092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0.811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0.094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0.0744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(Xiao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Sludge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8.01 ± 0.05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46.6 ± 2.8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Methanothermobacter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20.14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1.49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30.06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2.87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3.47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(Yin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Sawdust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0.25-1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248.6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7.23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Sawdust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0.25-1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248.6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9.76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Sawdust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0.25-1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248.6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5.42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Sawdust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9.2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0.25-1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248.6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Methanosaeta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3.98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(Wang et al., 2018)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Red spruce woodchips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327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486.9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13.12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640.6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16.88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8.13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(Mainardis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Red spruce woodchips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327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291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7.693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402.6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8.974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(Mainardis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Pine biochar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310.19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NU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72.45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1.11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82.9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(Mainardis et al., 2019)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Pine biochar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310.19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NU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72.45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1.11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71.35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1.19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-0.765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(Shen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 White oak biochar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296.81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NU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72.45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1.11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83.22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0.28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10.6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(Shen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 White oak biochar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296.81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NU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72.45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1.11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79.41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1.27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4.67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(Shen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Pine biochar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310.19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NU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101.8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6.46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107.1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3.35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0.824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(Shen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Pine biochar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310.19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NU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101.8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6.46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103.9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2.81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0.337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(Shen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 xml:space="preserve"> White oak biochar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296.81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NU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101.8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6.46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106.1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3.59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0.658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(Shen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White oak biochar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296.81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NU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101.8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6.46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101.5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3.04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-0.0475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(Shen et al., 2016)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Wheat bran pellets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49900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1.7–2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55 ± 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Methanosarcina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Methanosarcina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14.154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4.001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58.308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2.308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4.17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(Viggi et al., 2017)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lastRenderedPageBreak/>
              <w:t>Coppiced woodlands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1600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1.7–2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61 ± 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Methanosarcina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Methanosarcina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14.154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4.001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66.923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2.461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4.28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(Viggi et al., 2017)</w:t>
            </w:r>
          </w:p>
        </w:tc>
      </w:tr>
      <w:tr w:rsidR="003B0367">
        <w:trPr>
          <w:trHeight w:val="310"/>
        </w:trPr>
        <w:tc>
          <w:tcPr>
            <w:tcW w:w="9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Orchard pruning</w:t>
            </w:r>
          </w:p>
        </w:tc>
        <w:tc>
          <w:tcPr>
            <w:tcW w:w="8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1.7–2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13.7 ± 0.5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Methanosarcina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i/>
                <w:color w:val="000000"/>
                <w:kern w:val="0"/>
                <w:sz w:val="15"/>
                <w:szCs w:val="15"/>
              </w:rPr>
              <w:t>Methanosarcina</w:t>
            </w:r>
          </w:p>
        </w:tc>
        <w:tc>
          <w:tcPr>
            <w:tcW w:w="6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14.154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4.001</w:t>
            </w:r>
          </w:p>
        </w:tc>
        <w:tc>
          <w:tcPr>
            <w:tcW w:w="6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72.154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1.539</w:t>
            </w:r>
          </w:p>
        </w:tc>
        <w:tc>
          <w:tcPr>
            <w:tcW w:w="4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4.12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3B0367" w:rsidRDefault="00967C83">
            <w:pPr>
              <w:widowControl/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</w:rPr>
              <w:t>(Viggi et al., 2017)</w:t>
            </w:r>
          </w:p>
        </w:tc>
      </w:tr>
    </w:tbl>
    <w:p w:rsidR="003B0367" w:rsidRDefault="00967C83">
      <w:pPr>
        <w:adjustRightInd w:val="0"/>
        <w:snapToGrid w:val="0"/>
        <w:spacing w:beforeLines="50" w:before="156" w:afterLines="50" w:after="156" w:line="360" w:lineRule="auto"/>
        <w:rPr>
          <w:rFonts w:ascii="Arial" w:hAnsi="Arial" w:cs="Arial"/>
          <w:szCs w:val="21"/>
        </w:rPr>
        <w:sectPr w:rsidR="003B036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Arial" w:hAnsi="Arial" w:cs="Arial"/>
          <w:szCs w:val="21"/>
        </w:rPr>
        <w:t>Notes: 1, NA, not available; 2, Not used; 3, The predominant methanogens; 4, Methanogens with the highest increase in abundance. These paired measurements of control and biochar-amended treatments was in duplicate with a gray background.</w:t>
      </w:r>
    </w:p>
    <w:p w:rsidR="003B0367" w:rsidRDefault="00967C83">
      <w:pPr>
        <w:pStyle w:val="EndNoteBibliography"/>
        <w:adjustRightInd w:val="0"/>
        <w:snapToGrid w:val="0"/>
        <w:spacing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References</w:t>
      </w:r>
    </w:p>
    <w:p w:rsidR="003B0367" w:rsidRDefault="00967C83">
      <w:pPr>
        <w:pStyle w:val="EndNoteBibliography"/>
        <w:ind w:left="400" w:hangingChars="200" w:hanging="400"/>
      </w:pPr>
      <w:bookmarkStart w:id="7" w:name="_ENREF_1"/>
      <w:r>
        <w:t>Achi C, Hassanein A</w:t>
      </w:r>
      <w:r>
        <w:rPr>
          <w:rFonts w:hint="eastAsia"/>
        </w:rPr>
        <w:t>,</w:t>
      </w:r>
      <w:r>
        <w:t xml:space="preserve"> Lansing S</w:t>
      </w:r>
      <w:r>
        <w:rPr>
          <w:rFonts w:hint="eastAsia"/>
        </w:rPr>
        <w:t xml:space="preserve"> (2020)</w:t>
      </w:r>
      <w:r>
        <w:t xml:space="preserve"> Enhanced Biogas Production of Cassava Wastewater Using Zeolite and Biochar Additives and Manure Co-Digestion. Energies</w:t>
      </w:r>
      <w:r>
        <w:rPr>
          <w:rFonts w:hint="eastAsia"/>
        </w:rPr>
        <w:t xml:space="preserve"> </w:t>
      </w:r>
      <w:r>
        <w:t>13</w:t>
      </w:r>
      <w:bookmarkEnd w:id="7"/>
      <w:r>
        <w:rPr>
          <w:rFonts w:hint="eastAsia"/>
        </w:rPr>
        <w:t>:491.</w:t>
      </w:r>
    </w:p>
    <w:p w:rsidR="003B0367" w:rsidRDefault="00967C83">
      <w:pPr>
        <w:pStyle w:val="EndNoteBibliography"/>
        <w:rPr>
          <w:color w:val="FF0000"/>
        </w:rPr>
      </w:pPr>
      <w:bookmarkStart w:id="8" w:name="_ENREF_2"/>
      <w:r>
        <w:rPr>
          <w:color w:val="FF0000"/>
        </w:rPr>
        <w:t>Ambaye T, Rene E, Dupont C, Wongrod S</w:t>
      </w:r>
      <w:r>
        <w:rPr>
          <w:rFonts w:hint="eastAsia"/>
          <w:color w:val="FF0000"/>
        </w:rPr>
        <w:t xml:space="preserve">, </w:t>
      </w:r>
      <w:r>
        <w:rPr>
          <w:color w:val="FF0000"/>
        </w:rPr>
        <w:t>van Hullebusch E</w:t>
      </w:r>
      <w:r>
        <w:rPr>
          <w:rFonts w:hint="eastAsia"/>
          <w:color w:val="FF0000"/>
        </w:rPr>
        <w:t xml:space="preserve"> (2020)</w:t>
      </w:r>
      <w:r>
        <w:rPr>
          <w:color w:val="FF0000"/>
        </w:rPr>
        <w:t xml:space="preserve"> Anaerobic Digestion of Fruit Waste </w:t>
      </w:r>
      <w:r>
        <w:rPr>
          <w:rFonts w:hint="eastAsia"/>
          <w:color w:val="FF0000"/>
        </w:rPr>
        <w:t xml:space="preserve">  </w:t>
      </w:r>
      <w:r>
        <w:rPr>
          <w:color w:val="FF0000"/>
        </w:rPr>
        <w:t>Mixed With Sewage Sludge Digestate Biochar: Influence on Biomethane Production. Front Energy R</w:t>
      </w:r>
      <w:r>
        <w:rPr>
          <w:rFonts w:hint="eastAsia"/>
          <w:color w:val="FF0000"/>
        </w:rPr>
        <w:t xml:space="preserve">   </w:t>
      </w:r>
      <w:r>
        <w:rPr>
          <w:color w:val="FF0000"/>
        </w:rPr>
        <w:t>es 8</w:t>
      </w:r>
      <w:bookmarkEnd w:id="8"/>
      <w:r>
        <w:rPr>
          <w:rFonts w:hint="eastAsia"/>
          <w:color w:val="FF0000"/>
        </w:rPr>
        <w:t>:</w:t>
      </w:r>
    </w:p>
    <w:p w:rsidR="003B0367" w:rsidRDefault="00967C83">
      <w:pPr>
        <w:pStyle w:val="EndNoteBibliography"/>
        <w:ind w:left="400" w:hangingChars="200" w:hanging="400"/>
      </w:pPr>
      <w:bookmarkStart w:id="9" w:name="_ENREF_3"/>
      <w:r>
        <w:t>Cai J, He P, Wang Y, Shao L</w:t>
      </w:r>
      <w:r>
        <w:rPr>
          <w:rFonts w:hint="eastAsia"/>
        </w:rPr>
        <w:t>,</w:t>
      </w:r>
      <w:r>
        <w:t xml:space="preserve"> Lu F</w:t>
      </w:r>
      <w:r>
        <w:rPr>
          <w:rFonts w:hint="eastAsia"/>
        </w:rPr>
        <w:t xml:space="preserve"> (2016)</w:t>
      </w:r>
      <w:r>
        <w:t xml:space="preserve"> Effects and optimization of the use of biochar in anaerobic digestion of food wastes. Waste Manage Res</w:t>
      </w:r>
      <w:r>
        <w:rPr>
          <w:rFonts w:hint="eastAsia"/>
        </w:rPr>
        <w:t xml:space="preserve"> </w:t>
      </w:r>
      <w:r>
        <w:t>34</w:t>
      </w:r>
      <w:r>
        <w:rPr>
          <w:rFonts w:hint="eastAsia"/>
        </w:rPr>
        <w:t>:</w:t>
      </w:r>
      <w:r>
        <w:t>409-416.</w:t>
      </w:r>
      <w:bookmarkEnd w:id="9"/>
    </w:p>
    <w:p w:rsidR="003B0367" w:rsidRDefault="00967C83">
      <w:pPr>
        <w:pStyle w:val="EndNoteBibliography"/>
        <w:ind w:left="400" w:hangingChars="200" w:hanging="400"/>
      </w:pPr>
      <w:bookmarkStart w:id="10" w:name="_ENREF_4"/>
      <w:r>
        <w:t>Cheng Q, de los Reyes F</w:t>
      </w:r>
      <w:r>
        <w:rPr>
          <w:rFonts w:hint="eastAsia"/>
        </w:rPr>
        <w:t>,</w:t>
      </w:r>
      <w:r>
        <w:t xml:space="preserve"> Call D</w:t>
      </w:r>
      <w:r>
        <w:rPr>
          <w:rFonts w:hint="eastAsia"/>
        </w:rPr>
        <w:t xml:space="preserve"> (2018)</w:t>
      </w:r>
      <w:r>
        <w:t xml:space="preserve"> Amending anaerobic bioreactors with pyrogenic carbonaceous materials: the influence of material properties on methane generation. Environ Sci-Wat Res</w:t>
      </w:r>
      <w:r>
        <w:rPr>
          <w:rFonts w:hint="eastAsia"/>
        </w:rPr>
        <w:t xml:space="preserve"> </w:t>
      </w:r>
      <w:r>
        <w:t>4</w:t>
      </w:r>
      <w:r>
        <w:rPr>
          <w:rFonts w:hint="eastAsia"/>
        </w:rPr>
        <w:t>:</w:t>
      </w:r>
      <w:r>
        <w:t>1794-1806.</w:t>
      </w:r>
      <w:bookmarkEnd w:id="10"/>
    </w:p>
    <w:p w:rsidR="003B0367" w:rsidRDefault="00967C83">
      <w:pPr>
        <w:pStyle w:val="EndNoteBibliography"/>
        <w:ind w:left="400" w:hangingChars="200" w:hanging="400"/>
      </w:pPr>
      <w:bookmarkStart w:id="11" w:name="_ENREF_5"/>
      <w:r>
        <w:t>Huang J, Ma K, Xia X, Gao K</w:t>
      </w:r>
      <w:r>
        <w:rPr>
          <w:rFonts w:hint="eastAsia"/>
        </w:rPr>
        <w:t>,</w:t>
      </w:r>
      <w:r>
        <w:t xml:space="preserve"> Lu Y</w:t>
      </w:r>
      <w:r>
        <w:rPr>
          <w:rFonts w:hint="eastAsia"/>
        </w:rPr>
        <w:t xml:space="preserve"> (2020)</w:t>
      </w:r>
      <w:r>
        <w:t xml:space="preserve"> Biochar and magnetite promote methanogenesis during anaerobic decomposition of rice straw. Soil Biol Biochem 143</w:t>
      </w:r>
      <w:bookmarkEnd w:id="11"/>
      <w:r>
        <w:rPr>
          <w:rFonts w:hint="eastAsia"/>
        </w:rPr>
        <w:t>, 107740.</w:t>
      </w:r>
    </w:p>
    <w:p w:rsidR="003B0367" w:rsidRDefault="00967C83">
      <w:pPr>
        <w:pStyle w:val="EndNoteBibliography"/>
        <w:ind w:left="400" w:hangingChars="200" w:hanging="400"/>
      </w:pPr>
      <w:bookmarkStart w:id="12" w:name="_ENREF_6"/>
      <w:r>
        <w:t>Indren M, Birzer C, Kidd S, Hall T</w:t>
      </w:r>
      <w:r>
        <w:rPr>
          <w:rFonts w:hint="eastAsia"/>
        </w:rPr>
        <w:t xml:space="preserve">, </w:t>
      </w:r>
      <w:r>
        <w:t>Medwell P</w:t>
      </w:r>
      <w:r>
        <w:rPr>
          <w:rFonts w:hint="eastAsia"/>
        </w:rPr>
        <w:t xml:space="preserve"> (2020)</w:t>
      </w:r>
      <w:r>
        <w:t xml:space="preserve"> Effects of biochar parent material and microbial pre-loading in biochar-amended high-solids anaerobic digestion. </w:t>
      </w:r>
      <w:r>
        <w:rPr>
          <w:rFonts w:hint="eastAsia"/>
        </w:rPr>
        <w:t>Bioresour. Technol</w:t>
      </w:r>
      <w:r>
        <w:t xml:space="preserve"> 298</w:t>
      </w:r>
      <w:bookmarkEnd w:id="12"/>
      <w:r>
        <w:rPr>
          <w:rFonts w:hint="eastAsia"/>
        </w:rPr>
        <w:t>, 122457.</w:t>
      </w:r>
    </w:p>
    <w:p w:rsidR="003B0367" w:rsidRDefault="00967C83">
      <w:pPr>
        <w:pStyle w:val="EndNoteBibliography"/>
      </w:pPr>
      <w:bookmarkStart w:id="13" w:name="_ENREF_7"/>
      <w:r>
        <w:t>Jang H, Choi Y</w:t>
      </w:r>
      <w:r>
        <w:rPr>
          <w:rFonts w:hint="eastAsia"/>
        </w:rPr>
        <w:t>,</w:t>
      </w:r>
      <w:r>
        <w:t xml:space="preserve"> Kan E</w:t>
      </w:r>
      <w:r>
        <w:rPr>
          <w:rFonts w:hint="eastAsia"/>
        </w:rPr>
        <w:t xml:space="preserve"> (2018)</w:t>
      </w:r>
      <w:r>
        <w:t xml:space="preserve"> Effects of dairy manure-derived biochar on psychrophilic, mesophilic and</w:t>
      </w:r>
      <w:r>
        <w:rPr>
          <w:rFonts w:hint="eastAsia"/>
        </w:rPr>
        <w:t xml:space="preserve">   </w:t>
      </w:r>
      <w:r>
        <w:t xml:space="preserve">thermophilic anaerobic digestions of dairy manure. </w:t>
      </w:r>
      <w:r>
        <w:rPr>
          <w:rFonts w:hint="eastAsia"/>
        </w:rPr>
        <w:t xml:space="preserve">Bioresour. Technol </w:t>
      </w:r>
      <w:r>
        <w:t>250</w:t>
      </w:r>
      <w:r>
        <w:rPr>
          <w:rFonts w:hint="eastAsia"/>
        </w:rPr>
        <w:t>:</w:t>
      </w:r>
      <w:r>
        <w:t>927-931.</w:t>
      </w:r>
      <w:bookmarkEnd w:id="13"/>
    </w:p>
    <w:p w:rsidR="003B0367" w:rsidRDefault="00967C83">
      <w:pPr>
        <w:pStyle w:val="EndNoteBibliography"/>
        <w:ind w:left="400" w:hangingChars="200" w:hanging="400"/>
      </w:pPr>
      <w:bookmarkStart w:id="14" w:name="_ENREF_8"/>
      <w:r>
        <w:t>Li Q, Xu M, Wang G, Chen R, Qiao W</w:t>
      </w:r>
      <w:r>
        <w:rPr>
          <w:rFonts w:hint="eastAsia"/>
        </w:rPr>
        <w:t xml:space="preserve">, </w:t>
      </w:r>
      <w:r>
        <w:t>Wang X.</w:t>
      </w:r>
      <w:r>
        <w:rPr>
          <w:rFonts w:hint="eastAsia"/>
        </w:rPr>
        <w:t xml:space="preserve"> (2018)</w:t>
      </w:r>
      <w:r>
        <w:t xml:space="preserve"> Biochar assisted thermophilic co-digestion of food waste and waste activated sludge under high feedstock to seed sludge ratio in batch experiment. </w:t>
      </w:r>
      <w:r>
        <w:rPr>
          <w:rFonts w:hint="eastAsia"/>
        </w:rPr>
        <w:t>Bioresour. Technol</w:t>
      </w:r>
      <w:r>
        <w:t xml:space="preserve"> 249</w:t>
      </w:r>
      <w:r>
        <w:rPr>
          <w:rFonts w:hint="eastAsia"/>
        </w:rPr>
        <w:t>:</w:t>
      </w:r>
      <w:r>
        <w:t>1009-1016.</w:t>
      </w:r>
      <w:bookmarkEnd w:id="14"/>
    </w:p>
    <w:p w:rsidR="003B0367" w:rsidRDefault="00967C83">
      <w:pPr>
        <w:pStyle w:val="EndNoteBibliography"/>
        <w:ind w:left="400" w:hangingChars="200" w:hanging="400"/>
      </w:pPr>
      <w:bookmarkStart w:id="15" w:name="_ENREF_9"/>
      <w:r>
        <w:t>Lu F, Liu Y, Shao L</w:t>
      </w:r>
      <w:r>
        <w:rPr>
          <w:rFonts w:hint="eastAsia"/>
        </w:rPr>
        <w:t xml:space="preserve">, </w:t>
      </w:r>
      <w:r>
        <w:t>He, P</w:t>
      </w:r>
      <w:r>
        <w:rPr>
          <w:rFonts w:hint="eastAsia"/>
        </w:rPr>
        <w:t xml:space="preserve"> (2019)</w:t>
      </w:r>
      <w:r>
        <w:t xml:space="preserve"> Powdered biochar doubled microbial growth in anaerobic digestion </w:t>
      </w:r>
      <w:r>
        <w:rPr>
          <w:rFonts w:hint="eastAsia"/>
        </w:rPr>
        <w:t xml:space="preserve"> </w:t>
      </w:r>
      <w:r>
        <w:t>of oil. Appl Energ</w:t>
      </w:r>
      <w:r>
        <w:rPr>
          <w:rFonts w:hint="eastAsia"/>
        </w:rPr>
        <w:t xml:space="preserve"> </w:t>
      </w:r>
      <w:r>
        <w:t>247</w:t>
      </w:r>
      <w:r>
        <w:rPr>
          <w:rFonts w:hint="eastAsia"/>
        </w:rPr>
        <w:t>:</w:t>
      </w:r>
      <w:r>
        <w:t>605-614.</w:t>
      </w:r>
      <w:bookmarkEnd w:id="15"/>
    </w:p>
    <w:p w:rsidR="003B0367" w:rsidRDefault="00967C83">
      <w:pPr>
        <w:pStyle w:val="EndNoteBibliography"/>
        <w:ind w:left="400" w:hangingChars="200" w:hanging="400"/>
      </w:pPr>
      <w:bookmarkStart w:id="16" w:name="_ENREF_10"/>
      <w:r>
        <w:t>Luo C, Lu F, Shao L</w:t>
      </w:r>
      <w:r>
        <w:rPr>
          <w:rFonts w:hint="eastAsia"/>
        </w:rPr>
        <w:t xml:space="preserve">, </w:t>
      </w:r>
      <w:r>
        <w:t>He P</w:t>
      </w:r>
      <w:r>
        <w:rPr>
          <w:rFonts w:hint="eastAsia"/>
        </w:rPr>
        <w:t xml:space="preserve"> (2015)</w:t>
      </w:r>
      <w:r>
        <w:t xml:space="preserve"> Application of eco-compatible biochar in anaerobic digestion to relieve acid stress and promote the selective colonization of functional microbes (vol 68, pg 710, 2014). Water Res</w:t>
      </w:r>
      <w:r>
        <w:rPr>
          <w:rFonts w:hint="eastAsia"/>
        </w:rPr>
        <w:t xml:space="preserve"> </w:t>
      </w:r>
      <w:r>
        <w:t>70</w:t>
      </w:r>
      <w:r>
        <w:rPr>
          <w:rFonts w:hint="eastAsia"/>
        </w:rPr>
        <w:t>:</w:t>
      </w:r>
      <w:r>
        <w:t>496-496.</w:t>
      </w:r>
      <w:bookmarkEnd w:id="16"/>
    </w:p>
    <w:p w:rsidR="003B0367" w:rsidRDefault="00967C83">
      <w:pPr>
        <w:pStyle w:val="EndNoteBibliography"/>
        <w:ind w:left="400" w:hangingChars="200" w:hanging="400"/>
      </w:pPr>
      <w:bookmarkStart w:id="17" w:name="_ENREF_11"/>
      <w:r>
        <w:t>Mainardis M, Flaibani S, Mazzolini F, Peressotti A</w:t>
      </w:r>
      <w:r>
        <w:rPr>
          <w:rFonts w:hint="eastAsia"/>
        </w:rPr>
        <w:t xml:space="preserve">, </w:t>
      </w:r>
      <w:r>
        <w:t>Goi D</w:t>
      </w:r>
      <w:r>
        <w:rPr>
          <w:rFonts w:hint="eastAsia"/>
        </w:rPr>
        <w:t xml:space="preserve"> (2019)</w:t>
      </w:r>
      <w:r>
        <w:t xml:space="preserve"> Techno-economic analysis of anaerobic digestion implementation in small Italian breweries and evaluation of biochar and granular activated carbon addition effect on methane yield. J Environ Chem Eng 7</w:t>
      </w:r>
      <w:bookmarkEnd w:id="17"/>
      <w:r>
        <w:rPr>
          <w:rFonts w:hint="eastAsia"/>
        </w:rPr>
        <w:t>, 103184.</w:t>
      </w:r>
    </w:p>
    <w:p w:rsidR="003B0367" w:rsidRDefault="00967C83">
      <w:pPr>
        <w:pStyle w:val="EndNoteBibliography"/>
        <w:ind w:left="400" w:hangingChars="200" w:hanging="400"/>
      </w:pPr>
      <w:bookmarkStart w:id="18" w:name="_ENREF_12"/>
      <w:r>
        <w:t>Mao H, Lv Z, Sun H, Li R, Zhai B, Wang Z, Awasthi M, Wang Q</w:t>
      </w:r>
      <w:r>
        <w:rPr>
          <w:rFonts w:hint="eastAsia"/>
        </w:rPr>
        <w:t>,</w:t>
      </w:r>
      <w:r>
        <w:t xml:space="preserve"> Zhou L</w:t>
      </w:r>
      <w:r>
        <w:rPr>
          <w:rFonts w:hint="eastAsia"/>
        </w:rPr>
        <w:t xml:space="preserve"> (2018)</w:t>
      </w:r>
      <w:r>
        <w:t xml:space="preserve"> Improvement of biochar and bacterial powder addition on gaseous emission and bacterial community in pig manure compost. </w:t>
      </w:r>
      <w:r>
        <w:rPr>
          <w:rFonts w:hint="eastAsia"/>
        </w:rPr>
        <w:t xml:space="preserve">Bioresour. Technol </w:t>
      </w:r>
      <w:r>
        <w:t>258</w:t>
      </w:r>
      <w:r>
        <w:rPr>
          <w:rFonts w:hint="eastAsia"/>
        </w:rPr>
        <w:t>:</w:t>
      </w:r>
      <w:r>
        <w:t>195-202.</w:t>
      </w:r>
      <w:bookmarkEnd w:id="18"/>
    </w:p>
    <w:p w:rsidR="003B0367" w:rsidRDefault="00967C83">
      <w:pPr>
        <w:pStyle w:val="EndNoteBibliography"/>
        <w:ind w:left="400" w:hangingChars="200" w:hanging="400"/>
      </w:pPr>
      <w:bookmarkStart w:id="19" w:name="_ENREF_13"/>
      <w:r>
        <w:t>Martinez E, Rosas J, Sotres A, Moran A, Cara J, Sanchez M</w:t>
      </w:r>
      <w:r>
        <w:rPr>
          <w:rFonts w:hint="eastAsia"/>
        </w:rPr>
        <w:t>,</w:t>
      </w:r>
      <w:r>
        <w:t xml:space="preserve"> Gomez X</w:t>
      </w:r>
      <w:r>
        <w:rPr>
          <w:rFonts w:hint="eastAsia"/>
        </w:rPr>
        <w:t xml:space="preserve"> (2018)</w:t>
      </w:r>
      <w:r>
        <w:t xml:space="preserve"> Codigestion of sludge and citrus peel wastes: Evaluating the effect of biochar addition on microbial communities. Biochem Eng J 137</w:t>
      </w:r>
      <w:r>
        <w:rPr>
          <w:rFonts w:hint="eastAsia"/>
        </w:rPr>
        <w:t>:</w:t>
      </w:r>
      <w:r>
        <w:t xml:space="preserve"> 314-325.</w:t>
      </w:r>
      <w:bookmarkEnd w:id="19"/>
    </w:p>
    <w:p w:rsidR="003B0367" w:rsidRDefault="00967C83">
      <w:pPr>
        <w:pStyle w:val="EndNoteBibliography"/>
        <w:ind w:left="400" w:hangingChars="200" w:hanging="400"/>
      </w:pPr>
      <w:bookmarkStart w:id="20" w:name="_ENREF_14"/>
      <w:r>
        <w:t>Paritosh K</w:t>
      </w:r>
      <w:r>
        <w:rPr>
          <w:rFonts w:hint="eastAsia"/>
        </w:rPr>
        <w:t xml:space="preserve">, </w:t>
      </w:r>
      <w:r>
        <w:t>Vivekanand V</w:t>
      </w:r>
      <w:r>
        <w:rPr>
          <w:rFonts w:hint="eastAsia"/>
        </w:rPr>
        <w:t xml:space="preserve"> (2019)</w:t>
      </w:r>
      <w:r>
        <w:t xml:space="preserve"> Biochar enabled syntrophic action: Solid state anaerobic digestion of agricultural stubble for enhanced methane production. </w:t>
      </w:r>
      <w:r>
        <w:rPr>
          <w:rFonts w:hint="eastAsia"/>
        </w:rPr>
        <w:t>Bioresour. Technol</w:t>
      </w:r>
      <w:r>
        <w:t xml:space="preserve"> 289</w:t>
      </w:r>
      <w:bookmarkEnd w:id="20"/>
      <w:r>
        <w:rPr>
          <w:rFonts w:hint="eastAsia"/>
        </w:rPr>
        <w:t>, 121712.</w:t>
      </w:r>
    </w:p>
    <w:p w:rsidR="003B0367" w:rsidRDefault="00967C83">
      <w:pPr>
        <w:pStyle w:val="EndNoteBibliography"/>
        <w:ind w:left="400" w:hangingChars="200" w:hanging="400"/>
      </w:pPr>
      <w:bookmarkStart w:id="21" w:name="_ENREF_15"/>
      <w:r>
        <w:t>Shanmugam S, Adhikari S, Nam H</w:t>
      </w:r>
      <w:r>
        <w:rPr>
          <w:rFonts w:hint="eastAsia"/>
        </w:rPr>
        <w:t>,</w:t>
      </w:r>
      <w:r>
        <w:t xml:space="preserve"> Sajib S</w:t>
      </w:r>
      <w:r>
        <w:rPr>
          <w:rFonts w:hint="eastAsia"/>
        </w:rPr>
        <w:t xml:space="preserve"> (2018)</w:t>
      </w:r>
      <w:r>
        <w:t xml:space="preserve"> Effect of bio-char on methane generation from glucose and aqueous phase of algae liquefaction using mixed anaerobic cultures. Biomass Bioenerg 108</w:t>
      </w:r>
      <w:r>
        <w:rPr>
          <w:rFonts w:hint="eastAsia"/>
        </w:rPr>
        <w:t>:</w:t>
      </w:r>
      <w:r>
        <w:t>479-486.</w:t>
      </w:r>
      <w:bookmarkEnd w:id="21"/>
    </w:p>
    <w:p w:rsidR="003B0367" w:rsidRDefault="00967C83">
      <w:pPr>
        <w:pStyle w:val="EndNoteBibliography"/>
        <w:ind w:left="400" w:hangingChars="200" w:hanging="400"/>
      </w:pPr>
      <w:bookmarkStart w:id="22" w:name="_ENREF_16"/>
      <w:r>
        <w:t>Shen Y, Linville J, Ignacio-de Leon P, Schoene R</w:t>
      </w:r>
      <w:r>
        <w:rPr>
          <w:rFonts w:hint="eastAsia"/>
        </w:rPr>
        <w:t>,</w:t>
      </w:r>
      <w:r>
        <w:t xml:space="preserve"> Urgun-Demirtas M</w:t>
      </w:r>
      <w:r>
        <w:rPr>
          <w:rFonts w:hint="eastAsia"/>
        </w:rPr>
        <w:t xml:space="preserve"> (2016)</w:t>
      </w:r>
      <w:r>
        <w:t xml:space="preserve"> Towards a sustainable paradigm of waste-to-energy process: Enhanced anaerobic digestion of sludge with woody biochar. J Clean Prod 135</w:t>
      </w:r>
      <w:r>
        <w:rPr>
          <w:rFonts w:hint="eastAsia"/>
        </w:rPr>
        <w:t>:</w:t>
      </w:r>
      <w:r>
        <w:t>1054-1064.</w:t>
      </w:r>
      <w:bookmarkEnd w:id="22"/>
    </w:p>
    <w:p w:rsidR="003B0367" w:rsidRDefault="00967C83">
      <w:pPr>
        <w:pStyle w:val="EndNoteBibliography"/>
        <w:ind w:left="400" w:hangingChars="200" w:hanging="400"/>
      </w:pPr>
      <w:bookmarkStart w:id="23" w:name="_ENREF_17"/>
      <w:r>
        <w:t>Sun C, Liu F, Song Z, Wang J, Li Y, Pan Y, Sheng T</w:t>
      </w:r>
      <w:r>
        <w:rPr>
          <w:rFonts w:hint="eastAsia"/>
        </w:rPr>
        <w:t>,</w:t>
      </w:r>
      <w:r>
        <w:t xml:space="preserve"> Li L</w:t>
      </w:r>
      <w:r>
        <w:rPr>
          <w:rFonts w:hint="eastAsia"/>
        </w:rPr>
        <w:t xml:space="preserve"> (2019)</w:t>
      </w:r>
      <w:r>
        <w:t xml:space="preserve"> Feasibility of dry anaerobic digestion of beer lees for methane production and biochar enhanced performance at mesophilic and thermophilic temperature. </w:t>
      </w:r>
      <w:r>
        <w:rPr>
          <w:rFonts w:hint="eastAsia"/>
        </w:rPr>
        <w:t>Bioresour. Technol</w:t>
      </w:r>
      <w:r>
        <w:t xml:space="preserve"> 276</w:t>
      </w:r>
      <w:r>
        <w:rPr>
          <w:rFonts w:hint="eastAsia"/>
        </w:rPr>
        <w:t>:</w:t>
      </w:r>
      <w:r>
        <w:t>65-73.</w:t>
      </w:r>
      <w:bookmarkEnd w:id="23"/>
    </w:p>
    <w:p w:rsidR="003B0367" w:rsidRDefault="00967C83">
      <w:pPr>
        <w:pStyle w:val="EndNoteBibliography"/>
        <w:ind w:left="400" w:hangingChars="200" w:hanging="400"/>
      </w:pPr>
      <w:bookmarkStart w:id="24" w:name="_ENREF_18"/>
      <w:r>
        <w:t>Sunyoto N, Zhu M, Zhang Z</w:t>
      </w:r>
      <w:r>
        <w:rPr>
          <w:rFonts w:hint="eastAsia"/>
        </w:rPr>
        <w:t>,</w:t>
      </w:r>
      <w:r>
        <w:t xml:space="preserve"> Zhang D</w:t>
      </w:r>
      <w:r>
        <w:rPr>
          <w:rFonts w:hint="eastAsia"/>
        </w:rPr>
        <w:t xml:space="preserve"> (2016)</w:t>
      </w:r>
      <w:r>
        <w:t xml:space="preserve"> Effect of biochar addition on hydrogen and methane production in two-phase anaerobic digestion of aqueous carbohydrates food waste. </w:t>
      </w:r>
      <w:r>
        <w:rPr>
          <w:rFonts w:hint="eastAsia"/>
        </w:rPr>
        <w:t>Bioresour. Technol</w:t>
      </w:r>
      <w:r>
        <w:t xml:space="preserve"> 219</w:t>
      </w:r>
      <w:r>
        <w:rPr>
          <w:rFonts w:hint="eastAsia"/>
        </w:rPr>
        <w:t>:</w:t>
      </w:r>
      <w:r>
        <w:t>29-36.</w:t>
      </w:r>
      <w:bookmarkEnd w:id="24"/>
    </w:p>
    <w:p w:rsidR="003B0367" w:rsidRDefault="00967C83">
      <w:pPr>
        <w:pStyle w:val="EndNoteBibliography"/>
        <w:ind w:left="400" w:hangingChars="200" w:hanging="400"/>
      </w:pPr>
      <w:bookmarkStart w:id="25" w:name="_ENREF_19"/>
      <w:r>
        <w:t>Viggi C, Simonetti S, Palma E, Pagliaccia P, Braguglia C, Fazi S, Baronti S, Navarra M, Pettiti I, Koch C, Harnisch F</w:t>
      </w:r>
      <w:r>
        <w:rPr>
          <w:rFonts w:hint="eastAsia"/>
        </w:rPr>
        <w:t xml:space="preserve">, </w:t>
      </w:r>
      <w:r>
        <w:t xml:space="preserve"> Aulenta F</w:t>
      </w:r>
      <w:r>
        <w:rPr>
          <w:rFonts w:hint="eastAsia"/>
        </w:rPr>
        <w:t xml:space="preserve"> (2017)</w:t>
      </w:r>
      <w:r>
        <w:t xml:space="preserve"> Enhancing methane production from food waste fermentate using biochar: the added value of electrochemical testing in pre-selecting the most effective type of biochar. Biotechnol Biofuels 10</w:t>
      </w:r>
      <w:bookmarkEnd w:id="25"/>
      <w:r>
        <w:rPr>
          <w:rFonts w:hint="eastAsia"/>
        </w:rPr>
        <w:t>, 303.</w:t>
      </w:r>
    </w:p>
    <w:p w:rsidR="003B0367" w:rsidRDefault="00967C83">
      <w:pPr>
        <w:pStyle w:val="EndNoteBibliography"/>
        <w:ind w:left="400" w:hangingChars="200" w:hanging="400"/>
      </w:pPr>
      <w:bookmarkStart w:id="26" w:name="_ENREF_20"/>
      <w:r>
        <w:t>Wang G, Li Q, Gao X</w:t>
      </w:r>
      <w:r>
        <w:rPr>
          <w:rFonts w:hint="eastAsia"/>
        </w:rPr>
        <w:t>,</w:t>
      </w:r>
      <w:r>
        <w:t xml:space="preserve"> Wang X</w:t>
      </w:r>
      <w:r>
        <w:rPr>
          <w:rFonts w:hint="eastAsia"/>
        </w:rPr>
        <w:t xml:space="preserve"> (2018)</w:t>
      </w:r>
      <w:r>
        <w:t xml:space="preserve"> Synergetic promotion of syntrophic methane production from anaerobic digestion of complex organic wastes by biochar: Performance and associated mechanisms. </w:t>
      </w:r>
      <w:r>
        <w:rPr>
          <w:rFonts w:hint="eastAsia"/>
        </w:rPr>
        <w:t>Bioresour. Technol</w:t>
      </w:r>
      <w:r>
        <w:t xml:space="preserve"> 250</w:t>
      </w:r>
      <w:r>
        <w:rPr>
          <w:rFonts w:hint="eastAsia"/>
        </w:rPr>
        <w:t>:</w:t>
      </w:r>
      <w:r>
        <w:t>812-820.</w:t>
      </w:r>
      <w:bookmarkEnd w:id="26"/>
    </w:p>
    <w:p w:rsidR="003B0367" w:rsidRDefault="00967C83">
      <w:pPr>
        <w:pStyle w:val="EndNoteBibliography"/>
        <w:ind w:left="400" w:hangingChars="200" w:hanging="400"/>
      </w:pPr>
      <w:bookmarkStart w:id="27" w:name="_ENREF_21"/>
      <w:r>
        <w:t>Wang G, Li Q, Li Y, Xing Y, Yao G, Liu Y, Chen R</w:t>
      </w:r>
      <w:r>
        <w:rPr>
          <w:rFonts w:hint="eastAsia"/>
        </w:rPr>
        <w:t>,</w:t>
      </w:r>
      <w:r>
        <w:t xml:space="preserve"> Wang X</w:t>
      </w:r>
      <w:r>
        <w:rPr>
          <w:rFonts w:hint="eastAsia"/>
        </w:rPr>
        <w:t xml:space="preserve"> (2020a)</w:t>
      </w:r>
      <w:r>
        <w:t xml:space="preserve"> Redox-active biochar facilitates potential electron tranfer between syntrophic partners to enhance anaerobic digestion under high organic loading rate. </w:t>
      </w:r>
      <w:r>
        <w:rPr>
          <w:rFonts w:hint="eastAsia"/>
        </w:rPr>
        <w:t>Bioresour. Technol</w:t>
      </w:r>
      <w:r>
        <w:t xml:space="preserve"> 298</w:t>
      </w:r>
      <w:bookmarkEnd w:id="27"/>
      <w:r>
        <w:rPr>
          <w:rFonts w:hint="eastAsia"/>
        </w:rPr>
        <w:t>, 122524.</w:t>
      </w:r>
    </w:p>
    <w:p w:rsidR="003B0367" w:rsidRDefault="00967C83">
      <w:pPr>
        <w:pStyle w:val="EndNoteBibliography"/>
        <w:ind w:left="400" w:hangingChars="200" w:hanging="400"/>
      </w:pPr>
      <w:bookmarkStart w:id="28" w:name="_ENREF_22"/>
      <w:r>
        <w:t>Wang P, Peng H, Adhikari S, Higgins B, Roy P, Dai W</w:t>
      </w:r>
      <w:r>
        <w:rPr>
          <w:rFonts w:hint="eastAsia"/>
        </w:rPr>
        <w:t>,</w:t>
      </w:r>
      <w:r>
        <w:t xml:space="preserve"> Shi X</w:t>
      </w:r>
      <w:r>
        <w:rPr>
          <w:rFonts w:hint="eastAsia"/>
        </w:rPr>
        <w:t xml:space="preserve"> (2020b)</w:t>
      </w:r>
      <w:r>
        <w:t xml:space="preserve"> Enhancement of biogas production from wastewater sludge via anaerobic digestion assisted with biochar amendment. </w:t>
      </w:r>
      <w:r>
        <w:rPr>
          <w:rFonts w:hint="eastAsia"/>
        </w:rPr>
        <w:t>Bioresour. Technol</w:t>
      </w:r>
      <w:r>
        <w:t xml:space="preserve"> 309</w:t>
      </w:r>
      <w:bookmarkEnd w:id="28"/>
      <w:r>
        <w:rPr>
          <w:rFonts w:hint="eastAsia"/>
        </w:rPr>
        <w:t>, 123368.</w:t>
      </w:r>
    </w:p>
    <w:p w:rsidR="003B0367" w:rsidRDefault="00967C83">
      <w:pPr>
        <w:pStyle w:val="EndNoteBibliography"/>
        <w:ind w:left="400" w:hangingChars="200" w:hanging="400"/>
      </w:pPr>
      <w:bookmarkStart w:id="29" w:name="_ENREF_23"/>
      <w:r>
        <w:t>Wu B, Yang Q, Yao F, Chen S, He L, Hou K, Pi Z, Yin H, Fu J, Wang D</w:t>
      </w:r>
      <w:r>
        <w:rPr>
          <w:rFonts w:hint="eastAsia"/>
        </w:rPr>
        <w:t>,</w:t>
      </w:r>
      <w:r>
        <w:t xml:space="preserve"> Li X</w:t>
      </w:r>
      <w:r>
        <w:rPr>
          <w:rFonts w:hint="eastAsia"/>
        </w:rPr>
        <w:t xml:space="preserve"> (2019)</w:t>
      </w:r>
      <w:r>
        <w:t xml:space="preserve"> Evaluating the effect of biochar on mesophilic anaerobic digestion of waste activated sludge and microbial diversity. </w:t>
      </w:r>
      <w:r>
        <w:rPr>
          <w:rFonts w:hint="eastAsia"/>
        </w:rPr>
        <w:t>Bioresour. Technol</w:t>
      </w:r>
      <w:r>
        <w:t xml:space="preserve"> 294</w:t>
      </w:r>
      <w:bookmarkEnd w:id="29"/>
      <w:r>
        <w:rPr>
          <w:rFonts w:hint="eastAsia"/>
        </w:rPr>
        <w:t xml:space="preserve">, </w:t>
      </w:r>
      <w:r>
        <w:rPr>
          <w:rFonts w:hint="eastAsia"/>
        </w:rPr>
        <w:lastRenderedPageBreak/>
        <w:t>122235.</w:t>
      </w:r>
    </w:p>
    <w:p w:rsidR="003B0367" w:rsidRDefault="00967C83">
      <w:pPr>
        <w:pStyle w:val="EndNoteBibliography"/>
        <w:ind w:left="400" w:hangingChars="200" w:hanging="400"/>
      </w:pPr>
      <w:bookmarkStart w:id="30" w:name="_ENREF_24"/>
      <w:r>
        <w:t>Xiao L, Sun R, Zhang P, Zheng S, Tan Y, Li J, Zhang Y</w:t>
      </w:r>
      <w:r>
        <w:rPr>
          <w:rFonts w:hint="eastAsia"/>
        </w:rPr>
        <w:t>,</w:t>
      </w:r>
      <w:r>
        <w:t xml:space="preserve"> Liu, F</w:t>
      </w:r>
      <w:r>
        <w:rPr>
          <w:rFonts w:hint="eastAsia"/>
        </w:rPr>
        <w:t xml:space="preserve"> (2019)</w:t>
      </w:r>
      <w:r>
        <w:t xml:space="preserve"> Simultaneous intensification of direct acetate cleavage and CO</w:t>
      </w:r>
      <w:r>
        <w:rPr>
          <w:vertAlign w:val="subscript"/>
        </w:rPr>
        <w:t>2</w:t>
      </w:r>
      <w:r>
        <w:t xml:space="preserve"> reduction to generate methane by bioaugmentation and increased electron transfer. Chem Eng J</w:t>
      </w:r>
      <w:r>
        <w:rPr>
          <w:rFonts w:hint="eastAsia"/>
        </w:rPr>
        <w:t xml:space="preserve"> </w:t>
      </w:r>
      <w:r>
        <w:t>378</w:t>
      </w:r>
      <w:bookmarkEnd w:id="30"/>
      <w:r>
        <w:rPr>
          <w:rFonts w:hint="eastAsia"/>
        </w:rPr>
        <w:t>, 122229.</w:t>
      </w:r>
    </w:p>
    <w:p w:rsidR="003B0367" w:rsidRDefault="00967C83">
      <w:pPr>
        <w:pStyle w:val="EndNoteBibliography"/>
        <w:ind w:left="400" w:hangingChars="200" w:hanging="400"/>
      </w:pPr>
      <w:bookmarkStart w:id="31" w:name="_ENREF_25"/>
      <w:r>
        <w:t>Yin C, Shen Y, Yuan R, Zhu N, Yuan H</w:t>
      </w:r>
      <w:r>
        <w:rPr>
          <w:rFonts w:hint="eastAsia"/>
        </w:rPr>
        <w:t>,</w:t>
      </w:r>
      <w:r>
        <w:t xml:space="preserve"> Lou Z</w:t>
      </w:r>
      <w:r>
        <w:rPr>
          <w:rFonts w:hint="eastAsia"/>
        </w:rPr>
        <w:t xml:space="preserve"> (2019)</w:t>
      </w:r>
      <w:r>
        <w:t xml:space="preserve"> Sludge-based biochar-assisted thermophilic anaerobic digestion of waste-activated sludge in microbial electrolysis cell for methane production. </w:t>
      </w:r>
      <w:r>
        <w:rPr>
          <w:rFonts w:hint="eastAsia"/>
        </w:rPr>
        <w:t>Bioresour. Technol</w:t>
      </w:r>
      <w:r>
        <w:t xml:space="preserve"> 284</w:t>
      </w:r>
      <w:r>
        <w:rPr>
          <w:rFonts w:hint="eastAsia"/>
        </w:rPr>
        <w:t>:</w:t>
      </w:r>
      <w:r>
        <w:t>315-324.</w:t>
      </w:r>
      <w:bookmarkEnd w:id="31"/>
    </w:p>
    <w:p w:rsidR="003B0367" w:rsidRDefault="00967C83">
      <w:pPr>
        <w:pStyle w:val="EndNoteBibliography"/>
        <w:ind w:left="400" w:hangingChars="200" w:hanging="400"/>
      </w:pPr>
      <w:bookmarkStart w:id="32" w:name="_ENREF_26"/>
      <w:r>
        <w:t>Yuan H, Ding L, Zama E, Liu P, Hozzein W</w:t>
      </w:r>
      <w:r>
        <w:rPr>
          <w:rFonts w:hint="eastAsia"/>
        </w:rPr>
        <w:t>,</w:t>
      </w:r>
      <w:r>
        <w:t xml:space="preserve"> Zhu Y</w:t>
      </w:r>
      <w:r>
        <w:rPr>
          <w:rFonts w:hint="eastAsia"/>
        </w:rPr>
        <w:t xml:space="preserve"> (2018) </w:t>
      </w:r>
      <w:r>
        <w:t>Biochar Modulates Methanogenesis through Electron Syntrophy of Microorganisms with Ethanol as a Substrate. Environ Sci Technol 52</w:t>
      </w:r>
      <w:r>
        <w:rPr>
          <w:rFonts w:hint="eastAsia"/>
        </w:rPr>
        <w:t>:</w:t>
      </w:r>
      <w:r>
        <w:t>12198-12207.</w:t>
      </w:r>
      <w:bookmarkEnd w:id="32"/>
    </w:p>
    <w:p w:rsidR="003B0367" w:rsidRDefault="00967C83">
      <w:pPr>
        <w:pStyle w:val="EndNoteBibliography"/>
        <w:ind w:left="400" w:hangingChars="200" w:hanging="400"/>
      </w:pPr>
      <w:bookmarkStart w:id="33" w:name="_ENREF_27"/>
      <w:r>
        <w:t>Zhang M, Li J, Wang Y</w:t>
      </w:r>
      <w:r>
        <w:rPr>
          <w:rFonts w:hint="eastAsia"/>
        </w:rPr>
        <w:t>,</w:t>
      </w:r>
      <w:r>
        <w:t xml:space="preserve"> Yang C</w:t>
      </w:r>
      <w:r>
        <w:rPr>
          <w:rFonts w:hint="eastAsia"/>
        </w:rPr>
        <w:t xml:space="preserve"> (2019)</w:t>
      </w:r>
      <w:r>
        <w:t xml:space="preserve"> Impacts of different biochar types on the anaerobic digestion of sewage sludge. Rsc Adv 9(72)</w:t>
      </w:r>
      <w:r>
        <w:rPr>
          <w:rFonts w:hint="eastAsia"/>
        </w:rPr>
        <w:t>:</w:t>
      </w:r>
      <w:r>
        <w:t xml:space="preserve"> 42375-42386.</w:t>
      </w:r>
      <w:bookmarkEnd w:id="33"/>
    </w:p>
    <w:sectPr w:rsidR="003B036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1670" w:rsidRDefault="00851670" w:rsidP="00400A21">
      <w:r>
        <w:separator/>
      </w:r>
    </w:p>
  </w:endnote>
  <w:endnote w:type="continuationSeparator" w:id="0">
    <w:p w:rsidR="00851670" w:rsidRDefault="00851670" w:rsidP="00400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1670" w:rsidRDefault="00851670" w:rsidP="00400A21">
      <w:r>
        <w:separator/>
      </w:r>
    </w:p>
  </w:footnote>
  <w:footnote w:type="continuationSeparator" w:id="0">
    <w:p w:rsidR="00851670" w:rsidRDefault="00851670" w:rsidP="00400A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638BF"/>
    <w:rsid w:val="000932F0"/>
    <w:rsid w:val="003B0367"/>
    <w:rsid w:val="00400A21"/>
    <w:rsid w:val="00497234"/>
    <w:rsid w:val="004E5B79"/>
    <w:rsid w:val="006878AD"/>
    <w:rsid w:val="0072393E"/>
    <w:rsid w:val="007743E9"/>
    <w:rsid w:val="00851670"/>
    <w:rsid w:val="00967C83"/>
    <w:rsid w:val="00B458FC"/>
    <w:rsid w:val="00C440CC"/>
    <w:rsid w:val="00D44EDF"/>
    <w:rsid w:val="00EA49AA"/>
    <w:rsid w:val="00EF0481"/>
    <w:rsid w:val="00EF4847"/>
    <w:rsid w:val="00F638BF"/>
    <w:rsid w:val="02C35782"/>
    <w:rsid w:val="068F4B4F"/>
    <w:rsid w:val="076A32D7"/>
    <w:rsid w:val="09BE0EDC"/>
    <w:rsid w:val="0BC767AC"/>
    <w:rsid w:val="0FEF644E"/>
    <w:rsid w:val="117316DE"/>
    <w:rsid w:val="12791DF5"/>
    <w:rsid w:val="12810F1A"/>
    <w:rsid w:val="14114FC3"/>
    <w:rsid w:val="16C728DC"/>
    <w:rsid w:val="20AF5DD2"/>
    <w:rsid w:val="20C7344D"/>
    <w:rsid w:val="265B29BA"/>
    <w:rsid w:val="28BE3B3D"/>
    <w:rsid w:val="29F57464"/>
    <w:rsid w:val="2D0712C9"/>
    <w:rsid w:val="34344A9B"/>
    <w:rsid w:val="3D057275"/>
    <w:rsid w:val="3F671170"/>
    <w:rsid w:val="41D56292"/>
    <w:rsid w:val="43E172B8"/>
    <w:rsid w:val="48FB3EFC"/>
    <w:rsid w:val="496D3DE7"/>
    <w:rsid w:val="49DB0F3E"/>
    <w:rsid w:val="4D151550"/>
    <w:rsid w:val="4F896303"/>
    <w:rsid w:val="4FA00DB4"/>
    <w:rsid w:val="51996AD6"/>
    <w:rsid w:val="5322183A"/>
    <w:rsid w:val="534B51E0"/>
    <w:rsid w:val="53EB2020"/>
    <w:rsid w:val="56BF621B"/>
    <w:rsid w:val="5A5A6371"/>
    <w:rsid w:val="5FAA1995"/>
    <w:rsid w:val="60E52F0A"/>
    <w:rsid w:val="61DB480B"/>
    <w:rsid w:val="636D3701"/>
    <w:rsid w:val="645C2FE5"/>
    <w:rsid w:val="66846019"/>
    <w:rsid w:val="676A0525"/>
    <w:rsid w:val="689845B5"/>
    <w:rsid w:val="6A466470"/>
    <w:rsid w:val="6BCA2F9C"/>
    <w:rsid w:val="6C6E5EF1"/>
    <w:rsid w:val="6F11618A"/>
    <w:rsid w:val="71883CBD"/>
    <w:rsid w:val="76A825EE"/>
    <w:rsid w:val="777767BE"/>
    <w:rsid w:val="793F4AA0"/>
    <w:rsid w:val="7AAF77EA"/>
    <w:rsid w:val="7B464D1C"/>
    <w:rsid w:val="7B4A0E56"/>
    <w:rsid w:val="7BFA3708"/>
    <w:rsid w:val="7CF622CE"/>
    <w:rsid w:val="7D6976A8"/>
    <w:rsid w:val="7DE55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A8F564"/>
  <w15:docId w15:val="{A15A851E-2C15-476A-9EFA-4D5A47F75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Numrodeligne">
    <w:name w:val="line number"/>
    <w:basedOn w:val="Policepardfaut"/>
    <w:uiPriority w:val="99"/>
    <w:semiHidden/>
    <w:unhideWhenUsed/>
    <w:qFormat/>
  </w:style>
  <w:style w:type="character" w:styleId="Lienhypertexte">
    <w:name w:val="Hyperlink"/>
    <w:basedOn w:val="Policepardfaut"/>
    <w:uiPriority w:val="99"/>
    <w:unhideWhenUsed/>
    <w:qFormat/>
    <w:rPr>
      <w:color w:val="0563C1" w:themeColor="hyperlink"/>
      <w:u w:val="single"/>
    </w:rPr>
  </w:style>
  <w:style w:type="character" w:customStyle="1" w:styleId="PieddepageCar">
    <w:name w:val="Pied de page Car"/>
    <w:basedOn w:val="Policepardfaut"/>
    <w:link w:val="Pieddepage"/>
    <w:uiPriority w:val="99"/>
    <w:qFormat/>
    <w:rPr>
      <w:sz w:val="18"/>
      <w:szCs w:val="18"/>
    </w:rPr>
  </w:style>
  <w:style w:type="character" w:customStyle="1" w:styleId="En-tteCar">
    <w:name w:val="En-tête Car"/>
    <w:basedOn w:val="Policepardfaut"/>
    <w:link w:val="En-tte"/>
    <w:uiPriority w:val="99"/>
    <w:qFormat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Policepardfaut"/>
    <w:link w:val="EndNoteBibliographyTitle"/>
    <w:qFormat/>
    <w:rPr>
      <w:rFonts w:ascii="Calibri" w:hAnsi="Calibri" w:cs="Calibri"/>
      <w:sz w:val="20"/>
    </w:rPr>
  </w:style>
  <w:style w:type="paragraph" w:customStyle="1" w:styleId="EndNoteBibliography">
    <w:name w:val="EndNote Bibliography"/>
    <w:basedOn w:val="Normal"/>
    <w:link w:val="EndNoteBibliographyChar"/>
    <w:qFormat/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Policepardfaut"/>
    <w:link w:val="EndNoteBibliography"/>
    <w:qFormat/>
    <w:rPr>
      <w:rFonts w:ascii="Calibri" w:hAnsi="Calibri" w:cs="Calibr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13</Pages>
  <Words>3735</Words>
  <Characters>20543</Characters>
  <Application>Microsoft Office Word</Application>
  <DocSecurity>0</DocSecurity>
  <Lines>171</Lines>
  <Paragraphs>48</Paragraphs>
  <ScaleCrop>false</ScaleCrop>
  <Company/>
  <LinksUpToDate>false</LinksUpToDate>
  <CharactersWithSpaces>24230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Leilei Xiao</dc:creator>
  <cp:lastModifiedBy>Eric Lichtfouse</cp:lastModifiedBy>
  <cp:revision>8</cp:revision>
  <dcterms:created xsi:type="dcterms:W3CDTF">2020-09-29T15:40:00Z</dcterms:created>
  <dcterms:modified xsi:type="dcterms:W3CDTF">2021-03-04T08:23:00Z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