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CA88FA" w14:textId="4F5F460C" w:rsidR="00792A18" w:rsidRPr="00763BE5" w:rsidRDefault="00763BE5" w:rsidP="00763BE5">
      <w:pPr>
        <w:rPr>
          <w:rFonts w:ascii="Times New Roman" w:hAnsi="Times New Roman" w:cs="Times New Roman"/>
          <w:b/>
          <w:bCs/>
          <w:lang w:val="en-US"/>
        </w:rPr>
      </w:pPr>
      <w:r w:rsidRPr="00763BE5">
        <w:rPr>
          <w:rFonts w:ascii="Times New Roman" w:hAnsi="Times New Roman" w:cs="Times New Roman"/>
          <w:b/>
          <w:bCs/>
          <w:lang w:val="en-US"/>
        </w:rPr>
        <w:t>SUPPLEMENTARY MATERIAL</w:t>
      </w:r>
    </w:p>
    <w:p w14:paraId="150F0C55" w14:textId="7D58E7C6" w:rsidR="00763BE5" w:rsidRPr="00763BE5" w:rsidRDefault="00763BE5" w:rsidP="00763BE5">
      <w:pPr>
        <w:rPr>
          <w:rFonts w:ascii="Times New Roman" w:hAnsi="Times New Roman" w:cs="Times New Roman"/>
          <w:b/>
          <w:bCs/>
          <w:lang w:val="en-US"/>
        </w:rPr>
      </w:pPr>
    </w:p>
    <w:p w14:paraId="7BBAFC0F" w14:textId="77777777" w:rsidR="00763BE5" w:rsidRPr="00763BE5" w:rsidRDefault="00763BE5" w:rsidP="00763BE5">
      <w:pPr>
        <w:rPr>
          <w:rFonts w:ascii="Times New Roman" w:hAnsi="Times New Roman" w:cs="Times New Roman"/>
          <w:b/>
          <w:bCs/>
          <w:lang w:val="en-US"/>
        </w:rPr>
      </w:pPr>
    </w:p>
    <w:p w14:paraId="6561DFF7" w14:textId="4E3D09EB" w:rsidR="00763BE5" w:rsidRDefault="00763BE5" w:rsidP="00763BE5">
      <w:pPr>
        <w:rPr>
          <w:rFonts w:ascii="Times New Roman" w:hAnsi="Times New Roman" w:cs="Times New Roman"/>
          <w:b/>
          <w:bCs/>
          <w:lang w:val="en-US"/>
        </w:rPr>
      </w:pPr>
      <w:r w:rsidRPr="00763BE5">
        <w:rPr>
          <w:rFonts w:ascii="Times New Roman" w:hAnsi="Times New Roman" w:cs="Times New Roman"/>
          <w:b/>
          <w:bCs/>
          <w:lang w:val="en-US"/>
        </w:rPr>
        <w:t>Supplementary methods</w:t>
      </w:r>
    </w:p>
    <w:p w14:paraId="16B26533" w14:textId="77777777" w:rsidR="00763BE5" w:rsidRPr="00763BE5" w:rsidRDefault="00763BE5" w:rsidP="00763BE5">
      <w:pPr>
        <w:rPr>
          <w:rFonts w:ascii="Times New Roman" w:hAnsi="Times New Roman" w:cs="Times New Roman"/>
          <w:b/>
          <w:bCs/>
          <w:lang w:val="en-US"/>
        </w:rPr>
      </w:pPr>
    </w:p>
    <w:p w14:paraId="46D2D6A6" w14:textId="77777777" w:rsidR="00FE6A4C" w:rsidRPr="005405FA" w:rsidRDefault="00FE6A4C" w:rsidP="00FE6A4C">
      <w:pPr>
        <w:spacing w:line="480" w:lineRule="auto"/>
        <w:jc w:val="both"/>
        <w:rPr>
          <w:rFonts w:ascii="Times New Roman" w:hAnsi="Times New Roman" w:cs="Times New Roman"/>
          <w:b/>
          <w:lang w:val="en-US"/>
        </w:rPr>
      </w:pPr>
      <w:r w:rsidRPr="005405FA">
        <w:rPr>
          <w:rFonts w:ascii="Times New Roman" w:hAnsi="Times New Roman" w:cs="Times New Roman"/>
          <w:b/>
          <w:lang w:val="en-US"/>
        </w:rPr>
        <w:t>Patient data, materials and sample collection</w:t>
      </w:r>
    </w:p>
    <w:p w14:paraId="22AFFACC" w14:textId="6596A630" w:rsidR="00763BE5" w:rsidRPr="00763BE5" w:rsidRDefault="00763BE5" w:rsidP="00763BE5">
      <w:pPr>
        <w:spacing w:line="480" w:lineRule="auto"/>
        <w:rPr>
          <w:rFonts w:ascii="Times New Roman" w:hAnsi="Times New Roman" w:cs="Times New Roman"/>
          <w:lang w:val="en-US"/>
        </w:rPr>
      </w:pPr>
      <w:r w:rsidRPr="00763BE5">
        <w:rPr>
          <w:rFonts w:ascii="Times New Roman" w:hAnsi="Times New Roman" w:cs="Times New Roman"/>
          <w:lang w:val="en-US"/>
        </w:rPr>
        <w:t xml:space="preserve">Peripheral blood (n=13) was collected with 2.7ml vacutainer tubes containing EDTA (1.8mg/ml, BD Biosciences) and heparin tubes (BD Biosciences). EDTA treated blood was used for flow cytometry and heparinized blood was used for phagocytosis and monocyte isolation experiments. EDTA treated blood was centrifuged at 1900g for 10min and the plasma was collected and stored at -80°C. Freshly isolated synovial fluid was centrifuged at </w:t>
      </w:r>
      <w:r w:rsidR="00E50A48">
        <w:rPr>
          <w:rFonts w:ascii="Times New Roman" w:hAnsi="Times New Roman" w:cs="Times New Roman"/>
          <w:lang w:val="en-US"/>
        </w:rPr>
        <w:t>5</w:t>
      </w:r>
      <w:r w:rsidRPr="00763BE5">
        <w:rPr>
          <w:rFonts w:ascii="Times New Roman" w:hAnsi="Times New Roman" w:cs="Times New Roman"/>
          <w:lang w:val="en-US"/>
        </w:rPr>
        <w:t>00g for 10min, and the supernatant was stored at -80°C.</w:t>
      </w:r>
      <w:r>
        <w:rPr>
          <w:rFonts w:ascii="Times New Roman" w:hAnsi="Times New Roman" w:cs="Times New Roman"/>
          <w:lang w:val="en-US"/>
        </w:rPr>
        <w:t xml:space="preserve"> </w:t>
      </w:r>
      <w:r w:rsidRPr="00763BE5">
        <w:rPr>
          <w:rFonts w:ascii="Times New Roman" w:hAnsi="Times New Roman" w:cs="Times New Roman"/>
          <w:lang w:val="en-US"/>
        </w:rPr>
        <w:t>Biopsies were fixated in 4% formaldehyde for 24hrs and dehydrated in ethanol followed by paraffin embedment. Paraffin blocks were sectioned into 3</w:t>
      </w:r>
      <w:r w:rsidRPr="00763BE5">
        <w:rPr>
          <w:rFonts w:ascii="Times New Roman" w:hAnsi="Times New Roman" w:cs="Times New Roman"/>
          <w:lang w:val="en-US"/>
        </w:rPr>
        <w:sym w:font="Symbol" w:char="F06D"/>
      </w:r>
      <w:r w:rsidRPr="00763BE5">
        <w:rPr>
          <w:rFonts w:ascii="Times New Roman" w:hAnsi="Times New Roman" w:cs="Times New Roman"/>
          <w:lang w:val="en-US"/>
        </w:rPr>
        <w:t>m thick slices and mounted on SuperFrost glass sections (Thermo Scientific).</w:t>
      </w:r>
    </w:p>
    <w:p w14:paraId="54352020" w14:textId="77777777" w:rsidR="00763BE5" w:rsidRPr="00763BE5" w:rsidRDefault="00763BE5" w:rsidP="00763BE5">
      <w:pPr>
        <w:spacing w:line="480" w:lineRule="auto"/>
        <w:jc w:val="both"/>
        <w:rPr>
          <w:rFonts w:ascii="Times New Roman" w:hAnsi="Times New Roman" w:cs="Times New Roman"/>
          <w:lang w:val="en-US"/>
        </w:rPr>
      </w:pPr>
    </w:p>
    <w:p w14:paraId="7E191E8D" w14:textId="77777777" w:rsidR="00FE6A4C" w:rsidRPr="005405FA" w:rsidRDefault="00FE6A4C" w:rsidP="00FE6A4C">
      <w:pPr>
        <w:spacing w:line="480" w:lineRule="auto"/>
        <w:jc w:val="both"/>
        <w:rPr>
          <w:rFonts w:ascii="Times New Roman" w:hAnsi="Times New Roman" w:cs="Times New Roman"/>
          <w:b/>
          <w:lang w:val="en-US"/>
        </w:rPr>
      </w:pPr>
      <w:r w:rsidRPr="005405FA">
        <w:rPr>
          <w:rFonts w:ascii="Times New Roman" w:hAnsi="Times New Roman" w:cs="Times New Roman"/>
          <w:b/>
          <w:lang w:val="en-US"/>
        </w:rPr>
        <w:t xml:space="preserve">Sample preparation and isolation of monocytes </w:t>
      </w:r>
    </w:p>
    <w:p w14:paraId="4832F72F" w14:textId="13C09099" w:rsidR="00763BE5" w:rsidRPr="00763BE5" w:rsidRDefault="00763BE5" w:rsidP="00763BE5">
      <w:pPr>
        <w:tabs>
          <w:tab w:val="left" w:pos="1942"/>
        </w:tabs>
        <w:spacing w:line="480" w:lineRule="auto"/>
        <w:rPr>
          <w:rFonts w:ascii="Times New Roman" w:hAnsi="Times New Roman" w:cs="Times New Roman"/>
          <w:lang w:val="en-US"/>
        </w:rPr>
      </w:pPr>
      <w:r w:rsidRPr="00763BE5">
        <w:rPr>
          <w:rFonts w:ascii="Times New Roman" w:hAnsi="Times New Roman" w:cs="Times New Roman"/>
          <w:lang w:val="en-US"/>
        </w:rPr>
        <w:t>Monocytes were isolated from heparinized blood or synovial fluid. For blood, peripheral mononuclear cells (PBMCs) were isolated by density gradient (LymphoPrep, Alere Technologies) and monocytes were further isolated by a two-step magnetic bead sorting by first incubating with anti-human biotin-conjugated CD14 (diluted 1:125 in PBS, clone: MEM-15, Thermo Scientific) followed by a PBS wash and incubation with streptavidin-conjugated dynabeads (0</w:t>
      </w:r>
      <w:r w:rsidR="00E50A48">
        <w:rPr>
          <w:rFonts w:ascii="Times New Roman" w:hAnsi="Times New Roman" w:cs="Times New Roman"/>
          <w:lang w:val="en-US"/>
        </w:rPr>
        <w:t>.</w:t>
      </w:r>
      <w:r w:rsidRPr="00763BE5">
        <w:rPr>
          <w:rFonts w:ascii="Times New Roman" w:hAnsi="Times New Roman" w:cs="Times New Roman"/>
          <w:lang w:val="en-US"/>
        </w:rPr>
        <w:t>4</w:t>
      </w:r>
      <w:r w:rsidRPr="00763BE5">
        <w:rPr>
          <w:rFonts w:ascii="Times New Roman" w:hAnsi="Times New Roman" w:cs="Times New Roman"/>
          <w:lang w:val="en-US"/>
        </w:rPr>
        <w:sym w:font="Symbol" w:char="F06D"/>
      </w:r>
      <w:r w:rsidRPr="00763BE5">
        <w:rPr>
          <w:rFonts w:ascii="Times New Roman" w:hAnsi="Times New Roman" w:cs="Times New Roman"/>
          <w:lang w:val="en-US"/>
        </w:rPr>
        <w:t>g/ml, Invitrogen). Coupled cells were placed in a magnetic holder (Thermo Scientific) and repeatedly washed three times. For synovial cells, resuspended cells were adjusted to 8x10</w:t>
      </w:r>
      <w:r w:rsidRPr="00763BE5">
        <w:rPr>
          <w:rFonts w:ascii="Times New Roman" w:hAnsi="Times New Roman" w:cs="Times New Roman"/>
          <w:vertAlign w:val="superscript"/>
          <w:lang w:val="en-US"/>
        </w:rPr>
        <w:t>6</w:t>
      </w:r>
      <w:r w:rsidRPr="00763BE5">
        <w:rPr>
          <w:rFonts w:ascii="Times New Roman" w:hAnsi="Times New Roman" w:cs="Times New Roman"/>
          <w:lang w:val="en-US"/>
        </w:rPr>
        <w:t xml:space="preserve"> cells/ml and incubated with anti-human </w:t>
      </w:r>
      <w:proofErr w:type="gramStart"/>
      <w:r w:rsidRPr="00763BE5">
        <w:rPr>
          <w:rFonts w:ascii="Times New Roman" w:hAnsi="Times New Roman" w:cs="Times New Roman"/>
          <w:lang w:val="en-US"/>
        </w:rPr>
        <w:t>biotin-conjugated</w:t>
      </w:r>
      <w:proofErr w:type="gramEnd"/>
      <w:r w:rsidRPr="00763BE5">
        <w:rPr>
          <w:rFonts w:ascii="Times New Roman" w:hAnsi="Times New Roman" w:cs="Times New Roman"/>
          <w:lang w:val="en-US"/>
        </w:rPr>
        <w:t xml:space="preserve"> CD66b diluted 1:62</w:t>
      </w:r>
      <w:r w:rsidR="00E50A48">
        <w:rPr>
          <w:rFonts w:ascii="Times New Roman" w:hAnsi="Times New Roman" w:cs="Times New Roman"/>
          <w:lang w:val="en-US"/>
        </w:rPr>
        <w:t>.</w:t>
      </w:r>
      <w:r w:rsidRPr="00763BE5">
        <w:rPr>
          <w:rFonts w:ascii="Times New Roman" w:hAnsi="Times New Roman" w:cs="Times New Roman"/>
          <w:lang w:val="en-US"/>
        </w:rPr>
        <w:t>5 in PBS (clone: G10F5, Biolegend) and dynabeads (0</w:t>
      </w:r>
      <w:r w:rsidR="00E50A48">
        <w:rPr>
          <w:rFonts w:ascii="Times New Roman" w:hAnsi="Times New Roman" w:cs="Times New Roman"/>
          <w:lang w:val="en-US"/>
        </w:rPr>
        <w:t>.</w:t>
      </w:r>
      <w:r w:rsidRPr="00763BE5">
        <w:rPr>
          <w:rFonts w:ascii="Times New Roman" w:hAnsi="Times New Roman" w:cs="Times New Roman"/>
          <w:lang w:val="en-US"/>
        </w:rPr>
        <w:t>6</w:t>
      </w:r>
      <w:r w:rsidRPr="00763BE5">
        <w:rPr>
          <w:rFonts w:ascii="Times New Roman" w:hAnsi="Times New Roman" w:cs="Times New Roman"/>
          <w:lang w:val="en-US"/>
        </w:rPr>
        <w:sym w:font="Symbol" w:char="F06D"/>
      </w:r>
      <w:r w:rsidRPr="00763BE5">
        <w:rPr>
          <w:rFonts w:ascii="Times New Roman" w:hAnsi="Times New Roman" w:cs="Times New Roman"/>
          <w:lang w:val="en-US"/>
        </w:rPr>
        <w:t>g/ml) to separate the CD66b</w:t>
      </w:r>
      <w:r w:rsidRPr="00763BE5">
        <w:rPr>
          <w:rFonts w:ascii="Times New Roman" w:hAnsi="Times New Roman" w:cs="Times New Roman"/>
          <w:vertAlign w:val="superscript"/>
          <w:lang w:val="en-US"/>
        </w:rPr>
        <w:t>+</w:t>
      </w:r>
      <w:r w:rsidRPr="00763BE5">
        <w:rPr>
          <w:rFonts w:ascii="Times New Roman" w:hAnsi="Times New Roman" w:cs="Times New Roman"/>
          <w:lang w:val="en-US"/>
        </w:rPr>
        <w:t xml:space="preserve"> cells. Next, the supernatant was </w:t>
      </w:r>
      <w:r w:rsidR="009B2E6F" w:rsidRPr="00763BE5">
        <w:rPr>
          <w:rFonts w:ascii="Times New Roman" w:hAnsi="Times New Roman" w:cs="Times New Roman"/>
          <w:lang w:val="en-US"/>
        </w:rPr>
        <w:t>transferred,</w:t>
      </w:r>
      <w:r w:rsidRPr="00763BE5">
        <w:rPr>
          <w:rFonts w:ascii="Times New Roman" w:hAnsi="Times New Roman" w:cs="Times New Roman"/>
          <w:lang w:val="en-US"/>
        </w:rPr>
        <w:t xml:space="preserve"> and monocytes were isolated by anti-human CD14 and dynabeads as described above.</w:t>
      </w:r>
    </w:p>
    <w:p w14:paraId="664198A5" w14:textId="77777777" w:rsidR="00763BE5" w:rsidRPr="00763BE5" w:rsidRDefault="00763BE5" w:rsidP="00763BE5">
      <w:pPr>
        <w:tabs>
          <w:tab w:val="left" w:pos="1942"/>
        </w:tabs>
        <w:spacing w:line="480" w:lineRule="auto"/>
        <w:rPr>
          <w:rFonts w:ascii="Times New Roman" w:hAnsi="Times New Roman" w:cs="Times New Roman"/>
          <w:lang w:val="en-US"/>
        </w:rPr>
      </w:pPr>
    </w:p>
    <w:p w14:paraId="7D89D239" w14:textId="754D9D85" w:rsidR="00763BE5" w:rsidRPr="00763BE5" w:rsidRDefault="00763BE5" w:rsidP="00763BE5">
      <w:pPr>
        <w:tabs>
          <w:tab w:val="left" w:pos="1942"/>
        </w:tabs>
        <w:spacing w:line="480" w:lineRule="auto"/>
        <w:rPr>
          <w:rFonts w:ascii="Times New Roman" w:hAnsi="Times New Roman" w:cs="Times New Roman"/>
          <w:b/>
          <w:bCs/>
          <w:lang w:val="en-US"/>
        </w:rPr>
      </w:pPr>
      <w:r w:rsidRPr="00763BE5">
        <w:rPr>
          <w:rFonts w:ascii="Times New Roman" w:hAnsi="Times New Roman" w:cs="Times New Roman"/>
          <w:b/>
          <w:bCs/>
          <w:lang w:val="en-US"/>
        </w:rPr>
        <w:t xml:space="preserve">Flow cytometry </w:t>
      </w:r>
    </w:p>
    <w:p w14:paraId="2B52BE35" w14:textId="5D77E84A" w:rsidR="00763BE5" w:rsidRPr="00763BE5" w:rsidRDefault="00763BE5" w:rsidP="00763BE5">
      <w:pPr>
        <w:tabs>
          <w:tab w:val="left" w:pos="1942"/>
        </w:tabs>
        <w:spacing w:line="480" w:lineRule="auto"/>
        <w:rPr>
          <w:rFonts w:ascii="Times New Roman" w:hAnsi="Times New Roman" w:cs="Times New Roman"/>
          <w:lang w:val="en-US"/>
        </w:rPr>
      </w:pPr>
      <w:r w:rsidRPr="00763BE5">
        <w:rPr>
          <w:rFonts w:ascii="Times New Roman" w:hAnsi="Times New Roman" w:cs="Times New Roman"/>
          <w:lang w:val="en-US"/>
        </w:rPr>
        <w:t>The following clones and fluorophores were used for flow cytometric analysis: anti-CD14 (clone: HCD14, BDV421), anti-CD40 (clone: 5C3, BDV510), anti-CD3 (clone: HIT3a, FITC), anti-CD19 (clone: HIB19, FITC), anti-CD56 (clone: B159, FITC), anti-CD163 (clone: GHI/61, PE), anti-CD206 (clone: 19.2, APC), anti-CD86 (clone: 2331 (FUN-1), PECy7) and anti-CD16 (clone: 3G8, APCH7).</w:t>
      </w:r>
    </w:p>
    <w:p w14:paraId="2057C781" w14:textId="77777777" w:rsidR="00763BE5" w:rsidRPr="00763BE5" w:rsidRDefault="00763BE5" w:rsidP="00763BE5">
      <w:pPr>
        <w:tabs>
          <w:tab w:val="left" w:pos="1942"/>
        </w:tabs>
        <w:spacing w:line="480" w:lineRule="auto"/>
        <w:rPr>
          <w:rFonts w:ascii="Times New Roman" w:hAnsi="Times New Roman" w:cs="Times New Roman"/>
          <w:b/>
          <w:bCs/>
          <w:lang w:val="en-US"/>
        </w:rPr>
      </w:pPr>
    </w:p>
    <w:p w14:paraId="5F70473D" w14:textId="77777777" w:rsidR="00FE6A4C" w:rsidRPr="005405FA" w:rsidRDefault="00FE6A4C" w:rsidP="00FE6A4C">
      <w:pPr>
        <w:spacing w:line="480" w:lineRule="auto"/>
        <w:jc w:val="both"/>
        <w:rPr>
          <w:rFonts w:ascii="Times New Roman" w:hAnsi="Times New Roman" w:cs="Times New Roman"/>
          <w:iCs/>
          <w:lang w:val="en-US"/>
        </w:rPr>
      </w:pPr>
      <w:r w:rsidRPr="005405FA">
        <w:rPr>
          <w:rFonts w:ascii="Times New Roman" w:hAnsi="Times New Roman" w:cs="Times New Roman"/>
          <w:b/>
          <w:bCs/>
          <w:iCs/>
          <w:lang w:val="en-US"/>
        </w:rPr>
        <w:t>Culture and polarization of monocytes</w:t>
      </w:r>
    </w:p>
    <w:p w14:paraId="65D97EB6" w14:textId="505ECA8C" w:rsidR="00763BE5" w:rsidRPr="00763BE5" w:rsidRDefault="00763BE5" w:rsidP="00763BE5">
      <w:pPr>
        <w:tabs>
          <w:tab w:val="left" w:pos="1942"/>
        </w:tabs>
        <w:spacing w:line="480" w:lineRule="auto"/>
        <w:rPr>
          <w:rFonts w:ascii="Times New Roman" w:hAnsi="Times New Roman" w:cs="Times New Roman"/>
          <w:lang w:val="en-US"/>
        </w:rPr>
      </w:pPr>
      <w:r w:rsidRPr="00763BE5">
        <w:rPr>
          <w:rFonts w:ascii="Times New Roman" w:hAnsi="Times New Roman" w:cs="Times New Roman"/>
          <w:lang w:val="en-US"/>
        </w:rPr>
        <w:t>The following clones and fluorophores were used for flow cytometric analysis: PE anti-CD163 (clone: GHI/61, BD Biosciences), FITC anti-CD86 (clone:FUN-1, Biolegend)</w:t>
      </w:r>
      <w:r w:rsidR="00E50A48">
        <w:rPr>
          <w:rFonts w:ascii="Times New Roman" w:hAnsi="Times New Roman" w:cs="Times New Roman"/>
          <w:lang w:val="en-US"/>
        </w:rPr>
        <w:t>,</w:t>
      </w:r>
      <w:r w:rsidRPr="00763BE5">
        <w:rPr>
          <w:rFonts w:ascii="Times New Roman" w:hAnsi="Times New Roman" w:cs="Times New Roman"/>
          <w:lang w:val="en-US"/>
        </w:rPr>
        <w:t xml:space="preserve"> APC-H7 anti-CD16 (Clone: 3G8, BD), BV510 anti-CD40 (Clone: 5C3, Biolegend), BV421 anti-CD274/PDL-1 (clone: MIH1, BD) and APC anti-CD206 (clone:19.2, BD)</w:t>
      </w:r>
      <w:r w:rsidR="003760F7">
        <w:rPr>
          <w:rFonts w:ascii="Times New Roman" w:hAnsi="Times New Roman" w:cs="Times New Roman"/>
          <w:lang w:val="en-US"/>
        </w:rPr>
        <w:t>.</w:t>
      </w:r>
    </w:p>
    <w:p w14:paraId="12E95805" w14:textId="77777777" w:rsidR="00763BE5" w:rsidRPr="00763BE5" w:rsidRDefault="00763BE5" w:rsidP="00763BE5">
      <w:pPr>
        <w:rPr>
          <w:rFonts w:ascii="Times New Roman" w:hAnsi="Times New Roman" w:cs="Times New Roman"/>
          <w:b/>
          <w:bCs/>
          <w:lang w:val="en-US"/>
        </w:rPr>
      </w:pPr>
    </w:p>
    <w:p w14:paraId="390C41F3" w14:textId="77777777" w:rsidR="00763BE5" w:rsidRPr="00763BE5" w:rsidRDefault="00763BE5" w:rsidP="00763BE5">
      <w:pPr>
        <w:rPr>
          <w:rFonts w:ascii="Times New Roman" w:hAnsi="Times New Roman" w:cs="Times New Roman"/>
          <w:b/>
          <w:bCs/>
          <w:lang w:val="en-US"/>
        </w:rPr>
      </w:pPr>
    </w:p>
    <w:p w14:paraId="1E977102" w14:textId="2D185706" w:rsidR="00763BE5" w:rsidRPr="00FE6A4C" w:rsidRDefault="00FE6A4C" w:rsidP="00FE6A4C">
      <w:pPr>
        <w:spacing w:line="480" w:lineRule="auto"/>
        <w:jc w:val="both"/>
        <w:rPr>
          <w:rFonts w:ascii="Times New Roman" w:hAnsi="Times New Roman" w:cs="Times New Roman"/>
          <w:b/>
          <w:bCs/>
          <w:iCs/>
          <w:lang w:val="en-US"/>
        </w:rPr>
      </w:pPr>
      <w:r w:rsidRPr="005405FA">
        <w:rPr>
          <w:rFonts w:ascii="Times New Roman" w:hAnsi="Times New Roman" w:cs="Times New Roman"/>
          <w:b/>
          <w:bCs/>
          <w:i/>
          <w:lang w:val="en-US"/>
        </w:rPr>
        <w:t xml:space="preserve">In situ </w:t>
      </w:r>
      <w:r w:rsidRPr="005405FA">
        <w:rPr>
          <w:rFonts w:ascii="Times New Roman" w:hAnsi="Times New Roman" w:cs="Times New Roman"/>
          <w:b/>
          <w:bCs/>
          <w:iCs/>
          <w:lang w:val="en-US"/>
        </w:rPr>
        <w:t>hybridization</w:t>
      </w:r>
    </w:p>
    <w:p w14:paraId="018F39A2" w14:textId="6D0DB4DA" w:rsidR="00763BE5" w:rsidRPr="00FE6A4C" w:rsidRDefault="00FE6A4C" w:rsidP="00FE6A4C">
      <w:pPr>
        <w:spacing w:line="480" w:lineRule="auto"/>
        <w:rPr>
          <w:rFonts w:ascii="Times New Roman" w:hAnsi="Times New Roman" w:cs="Times New Roman"/>
          <w:lang w:val="en-US"/>
        </w:rPr>
      </w:pPr>
      <w:r w:rsidRPr="00FE6A4C">
        <w:rPr>
          <w:rFonts w:ascii="Times New Roman" w:hAnsi="Times New Roman" w:cs="Times New Roman"/>
          <w:lang w:val="en-US"/>
        </w:rPr>
        <w:t>Two different probes were used, targeting TNF (Cat No: 310421, ref sequence: NM_000594.3) mRNA in channel 1 (C1) (green/blue) and IL-10 (Cat No: 602051-C2, ref sequence: NM_0005722) mRNA in C2 (red). In parallel, a PPIB(C2)/POLR2A(C1) probe and a bacterial RTU (C1 and C2) probe were used as positive and negative control, respectively (all probes from Advanced Cell Diagnostics). Sections were counterstained with hematoxylin (Vector Labs) and mounted using VectaMount Permanent Mounting Medium (vector Labs).</w:t>
      </w:r>
    </w:p>
    <w:p w14:paraId="70F0C969" w14:textId="77777777" w:rsidR="00763BE5" w:rsidRPr="00763BE5" w:rsidRDefault="00763BE5" w:rsidP="00763BE5">
      <w:pPr>
        <w:rPr>
          <w:rFonts w:ascii="Times New Roman" w:hAnsi="Times New Roman" w:cs="Times New Roman"/>
          <w:b/>
          <w:bCs/>
          <w:lang w:val="en-US"/>
        </w:rPr>
      </w:pPr>
    </w:p>
    <w:p w14:paraId="21807E19" w14:textId="77777777" w:rsidR="00763BE5" w:rsidRPr="00763BE5" w:rsidRDefault="00763BE5" w:rsidP="00763BE5">
      <w:pPr>
        <w:rPr>
          <w:rFonts w:ascii="Times New Roman" w:hAnsi="Times New Roman" w:cs="Times New Roman"/>
          <w:b/>
          <w:bCs/>
          <w:lang w:val="en-US"/>
        </w:rPr>
      </w:pPr>
    </w:p>
    <w:p w14:paraId="100FDF2F" w14:textId="013B843C" w:rsidR="00FD3A51" w:rsidRDefault="00FD3A51">
      <w:pPr>
        <w:rPr>
          <w:rFonts w:ascii="Times New Roman" w:hAnsi="Times New Roman" w:cs="Times New Roman"/>
          <w:b/>
          <w:bCs/>
          <w:lang w:val="en-US"/>
        </w:rPr>
      </w:pPr>
      <w:r>
        <w:rPr>
          <w:rFonts w:ascii="Times New Roman" w:hAnsi="Times New Roman" w:cs="Times New Roman"/>
          <w:b/>
          <w:bCs/>
          <w:lang w:val="en-US"/>
        </w:rPr>
        <w:br w:type="page"/>
      </w:r>
    </w:p>
    <w:p w14:paraId="6CC2AFBE" w14:textId="63C99521" w:rsidR="00763BE5" w:rsidRPr="00763BE5" w:rsidRDefault="00763BE5" w:rsidP="00763BE5">
      <w:pPr>
        <w:rPr>
          <w:rFonts w:ascii="Times New Roman" w:hAnsi="Times New Roman" w:cs="Times New Roman"/>
          <w:b/>
          <w:bCs/>
          <w:lang w:val="en-US"/>
        </w:rPr>
      </w:pPr>
      <w:r w:rsidRPr="00763BE5">
        <w:rPr>
          <w:rFonts w:ascii="Times New Roman" w:hAnsi="Times New Roman" w:cs="Times New Roman"/>
          <w:b/>
          <w:bCs/>
          <w:lang w:val="en-US"/>
        </w:rPr>
        <w:lastRenderedPageBreak/>
        <w:t>Supplementary figures and table</w:t>
      </w:r>
      <w:r w:rsidR="002959E4">
        <w:rPr>
          <w:rFonts w:ascii="Times New Roman" w:hAnsi="Times New Roman" w:cs="Times New Roman"/>
          <w:b/>
          <w:bCs/>
          <w:lang w:val="en-US"/>
        </w:rPr>
        <w:t>s</w:t>
      </w:r>
    </w:p>
    <w:p w14:paraId="45F9B910" w14:textId="77777777" w:rsidR="00763BE5" w:rsidRPr="00763BE5" w:rsidRDefault="00763BE5" w:rsidP="00763BE5">
      <w:pPr>
        <w:spacing w:line="480" w:lineRule="auto"/>
        <w:jc w:val="both"/>
        <w:rPr>
          <w:rFonts w:ascii="Times New Roman" w:hAnsi="Times New Roman" w:cs="Times New Roman"/>
          <w:b/>
          <w:bCs/>
          <w:lang w:val="en-GB"/>
        </w:rPr>
      </w:pPr>
    </w:p>
    <w:p w14:paraId="793206D7" w14:textId="508D4216" w:rsidR="00763BE5" w:rsidRPr="00763BE5" w:rsidRDefault="00763BE5" w:rsidP="00763BE5">
      <w:pPr>
        <w:spacing w:line="480" w:lineRule="auto"/>
        <w:jc w:val="both"/>
        <w:rPr>
          <w:rFonts w:ascii="Times New Roman" w:hAnsi="Times New Roman" w:cs="Times New Roman"/>
          <w:lang w:val="en-US"/>
        </w:rPr>
      </w:pPr>
      <w:r w:rsidRPr="00763BE5">
        <w:rPr>
          <w:rFonts w:ascii="Times New Roman" w:hAnsi="Times New Roman" w:cs="Times New Roman"/>
          <w:b/>
          <w:bCs/>
          <w:lang w:val="en-GB"/>
        </w:rPr>
        <w:t>Supplementary figure 1:</w:t>
      </w:r>
      <w:r w:rsidRPr="00763BE5">
        <w:rPr>
          <w:rFonts w:ascii="Times New Roman" w:hAnsi="Times New Roman" w:cs="Times New Roman"/>
          <w:b/>
          <w:bCs/>
          <w:lang w:val="en-US"/>
        </w:rPr>
        <w:t xml:space="preserve"> Expression of surface markers in different monocyte phenotypes.</w:t>
      </w:r>
      <w:r w:rsidRPr="00763BE5">
        <w:rPr>
          <w:rFonts w:ascii="Times New Roman" w:hAnsi="Times New Roman" w:cs="Times New Roman"/>
          <w:lang w:val="en-US"/>
        </w:rPr>
        <w:t xml:space="preserve"> Monocytes were isolated from healthy controls. These were then stimulated with cytokine cocktails to induce specific phenotypes: M</w:t>
      </w:r>
      <w:r w:rsidR="00E73C07">
        <w:rPr>
          <w:rFonts w:ascii="Times New Roman" w:hAnsi="Times New Roman" w:cs="Times New Roman"/>
          <w:lang w:val="en-US"/>
        </w:rPr>
        <w:t>1</w:t>
      </w:r>
      <w:r w:rsidR="004C511B">
        <w:rPr>
          <w:rFonts w:ascii="Times New Roman" w:hAnsi="Times New Roman" w:cs="Times New Roman"/>
          <w:lang w:val="en-US"/>
        </w:rPr>
        <w:t>(</w:t>
      </w:r>
      <w:r w:rsidRPr="00763BE5">
        <w:rPr>
          <w:rFonts w:ascii="Times New Roman" w:hAnsi="Times New Roman" w:cs="Times New Roman"/>
          <w:lang w:val="en-US"/>
        </w:rPr>
        <w:t>IFN</w:t>
      </w:r>
      <w:r w:rsidRPr="00763BE5">
        <w:rPr>
          <w:rFonts w:ascii="Cambria Math" w:hAnsi="Cambria Math" w:cs="Cambria Math"/>
        </w:rPr>
        <w:t>𝛾</w:t>
      </w:r>
      <w:r w:rsidR="004C511B" w:rsidRPr="003F6219">
        <w:rPr>
          <w:rFonts w:ascii="Cambria Math" w:hAnsi="Cambria Math" w:cs="Cambria Math"/>
          <w:lang w:val="en-US"/>
        </w:rPr>
        <w:t>)</w:t>
      </w:r>
      <w:r w:rsidR="004C511B">
        <w:rPr>
          <w:rFonts w:ascii="Times New Roman" w:hAnsi="Times New Roman" w:cs="Times New Roman"/>
          <w:lang w:val="en-US"/>
        </w:rPr>
        <w:t xml:space="preserve">- </w:t>
      </w:r>
      <w:r w:rsidR="004C511B" w:rsidRPr="00763BE5">
        <w:rPr>
          <w:rFonts w:ascii="Times New Roman" w:hAnsi="Times New Roman" w:cs="Times New Roman"/>
          <w:lang w:val="en-US"/>
        </w:rPr>
        <w:t>IFN</w:t>
      </w:r>
      <w:r w:rsidR="004C511B" w:rsidRPr="00763BE5">
        <w:rPr>
          <w:rFonts w:ascii="Cambria Math" w:hAnsi="Cambria Math" w:cs="Cambria Math"/>
        </w:rPr>
        <w:t>𝛾</w:t>
      </w:r>
      <w:r w:rsidR="004C511B">
        <w:rPr>
          <w:rFonts w:ascii="Times New Roman" w:hAnsi="Times New Roman" w:cs="Times New Roman"/>
          <w:lang w:val="en-US"/>
        </w:rPr>
        <w:t xml:space="preserve"> </w:t>
      </w:r>
      <w:r w:rsidR="00E84428">
        <w:rPr>
          <w:rFonts w:ascii="Times New Roman" w:hAnsi="Times New Roman" w:cs="Times New Roman"/>
          <w:lang w:val="en-US"/>
        </w:rPr>
        <w:t xml:space="preserve">(10ng/ml) </w:t>
      </w:r>
      <w:r w:rsidRPr="00763BE5">
        <w:rPr>
          <w:rFonts w:ascii="Times New Roman" w:hAnsi="Times New Roman" w:cs="Times New Roman"/>
          <w:lang w:val="en-US"/>
        </w:rPr>
        <w:t>and LPS</w:t>
      </w:r>
      <w:r w:rsidR="00E84428">
        <w:rPr>
          <w:rFonts w:ascii="Times New Roman" w:hAnsi="Times New Roman" w:cs="Times New Roman"/>
          <w:lang w:val="en-US"/>
        </w:rPr>
        <w:t xml:space="preserve"> (10ng/ml)</w:t>
      </w:r>
      <w:r w:rsidRPr="00763BE5">
        <w:rPr>
          <w:rFonts w:ascii="Times New Roman" w:hAnsi="Times New Roman" w:cs="Times New Roman"/>
          <w:lang w:val="en-US"/>
        </w:rPr>
        <w:t xml:space="preserve">, </w:t>
      </w:r>
      <w:r w:rsidR="004C511B">
        <w:rPr>
          <w:rFonts w:ascii="Times New Roman" w:hAnsi="Times New Roman" w:cs="Times New Roman"/>
          <w:lang w:val="en-US"/>
        </w:rPr>
        <w:t>M</w:t>
      </w:r>
      <w:r w:rsidR="00E73C07">
        <w:rPr>
          <w:rFonts w:ascii="Times New Roman" w:hAnsi="Times New Roman" w:cs="Times New Roman"/>
          <w:lang w:val="en-US"/>
        </w:rPr>
        <w:t>2</w:t>
      </w:r>
      <w:r w:rsidR="004C511B">
        <w:rPr>
          <w:rFonts w:ascii="Times New Roman" w:hAnsi="Times New Roman" w:cs="Times New Roman"/>
          <w:lang w:val="en-US"/>
        </w:rPr>
        <w:t>(IL-4)</w:t>
      </w:r>
      <w:r w:rsidRPr="00763BE5">
        <w:rPr>
          <w:rFonts w:ascii="Times New Roman" w:hAnsi="Times New Roman" w:cs="Times New Roman"/>
          <w:lang w:val="en-US"/>
        </w:rPr>
        <w:t>- IL-4</w:t>
      </w:r>
      <w:r w:rsidR="00E84428">
        <w:rPr>
          <w:rFonts w:ascii="Times New Roman" w:hAnsi="Times New Roman" w:cs="Times New Roman"/>
          <w:lang w:val="en-US"/>
        </w:rPr>
        <w:t xml:space="preserve"> (20ng/ml)</w:t>
      </w:r>
      <w:r w:rsidRPr="00763BE5">
        <w:rPr>
          <w:rFonts w:ascii="Times New Roman" w:hAnsi="Times New Roman" w:cs="Times New Roman"/>
          <w:lang w:val="en-US"/>
        </w:rPr>
        <w:t xml:space="preserve"> and IL-13</w:t>
      </w:r>
      <w:r w:rsidR="00E84428">
        <w:rPr>
          <w:rFonts w:ascii="Times New Roman" w:hAnsi="Times New Roman" w:cs="Times New Roman"/>
          <w:lang w:val="en-US"/>
        </w:rPr>
        <w:t xml:space="preserve"> (25ng/ml)</w:t>
      </w:r>
      <w:r w:rsidRPr="00763BE5">
        <w:rPr>
          <w:rFonts w:ascii="Times New Roman" w:hAnsi="Times New Roman" w:cs="Times New Roman"/>
          <w:lang w:val="en-US"/>
        </w:rPr>
        <w:t>, and M</w:t>
      </w:r>
      <w:r w:rsidR="00E73C07">
        <w:rPr>
          <w:rFonts w:ascii="Times New Roman" w:hAnsi="Times New Roman" w:cs="Times New Roman"/>
          <w:lang w:val="en-US"/>
        </w:rPr>
        <w:t>2</w:t>
      </w:r>
      <w:r w:rsidR="004C511B">
        <w:rPr>
          <w:rFonts w:ascii="Times New Roman" w:hAnsi="Times New Roman" w:cs="Times New Roman"/>
          <w:lang w:val="en-US"/>
        </w:rPr>
        <w:t>(IL-10)</w:t>
      </w:r>
      <w:r w:rsidRPr="00763BE5">
        <w:rPr>
          <w:rFonts w:ascii="Times New Roman" w:hAnsi="Times New Roman" w:cs="Times New Roman"/>
          <w:lang w:val="en-US"/>
        </w:rPr>
        <w:t>- IL-10</w:t>
      </w:r>
      <w:r w:rsidR="00E84428">
        <w:rPr>
          <w:rFonts w:ascii="Times New Roman" w:hAnsi="Times New Roman" w:cs="Times New Roman"/>
          <w:lang w:val="en-US"/>
        </w:rPr>
        <w:t xml:space="preserve"> (25ng/ml)</w:t>
      </w:r>
      <w:r w:rsidRPr="00763BE5">
        <w:rPr>
          <w:rFonts w:ascii="Times New Roman" w:hAnsi="Times New Roman" w:cs="Times New Roman"/>
          <w:lang w:val="en-US"/>
        </w:rPr>
        <w:t xml:space="preserve"> and Dexamethasone</w:t>
      </w:r>
      <w:r w:rsidR="00E84428">
        <w:rPr>
          <w:rFonts w:ascii="Times New Roman" w:hAnsi="Times New Roman" w:cs="Times New Roman"/>
          <w:lang w:val="en-US"/>
        </w:rPr>
        <w:t xml:space="preserve"> (10nM)</w:t>
      </w:r>
      <w:r w:rsidRPr="00763BE5">
        <w:rPr>
          <w:rFonts w:ascii="Times New Roman" w:hAnsi="Times New Roman" w:cs="Times New Roman"/>
          <w:lang w:val="en-US"/>
        </w:rPr>
        <w:t xml:space="preserve">. As a result, we observed a clear upregulation of specific markers in different phenotypes following polarization. </w:t>
      </w:r>
      <w:r w:rsidR="00E84428">
        <w:rPr>
          <w:rFonts w:ascii="Times New Roman" w:hAnsi="Times New Roman" w:cs="Times New Roman"/>
          <w:lang w:val="en-US"/>
        </w:rPr>
        <w:t>This has also been tested individually for IFN</w:t>
      </w:r>
      <w:r w:rsidR="00E84428" w:rsidRPr="00763BE5">
        <w:rPr>
          <w:rFonts w:ascii="Cambria Math" w:hAnsi="Cambria Math" w:cs="Cambria Math"/>
        </w:rPr>
        <w:t>𝛾</w:t>
      </w:r>
      <w:r w:rsidR="00E84428">
        <w:rPr>
          <w:rFonts w:ascii="Times New Roman" w:hAnsi="Times New Roman" w:cs="Times New Roman"/>
          <w:lang w:val="en-US"/>
        </w:rPr>
        <w:t>, IL-4 and IL-10, respectively.</w:t>
      </w:r>
    </w:p>
    <w:p w14:paraId="0F3D6676" w14:textId="77777777" w:rsidR="00763BE5" w:rsidRPr="00763BE5" w:rsidRDefault="00763BE5" w:rsidP="00763BE5">
      <w:pPr>
        <w:spacing w:line="480" w:lineRule="auto"/>
        <w:jc w:val="both"/>
        <w:rPr>
          <w:rFonts w:ascii="Times New Roman" w:hAnsi="Times New Roman" w:cs="Times New Roman"/>
          <w:lang w:val="en-US"/>
        </w:rPr>
      </w:pPr>
    </w:p>
    <w:p w14:paraId="41907630" w14:textId="011F4E31" w:rsidR="00763BE5" w:rsidRPr="00763BE5" w:rsidRDefault="00763BE5" w:rsidP="00763BE5">
      <w:pPr>
        <w:spacing w:line="480" w:lineRule="auto"/>
        <w:jc w:val="both"/>
        <w:rPr>
          <w:rFonts w:ascii="Times New Roman" w:hAnsi="Times New Roman" w:cs="Times New Roman"/>
          <w:lang w:val="en-US"/>
        </w:rPr>
      </w:pPr>
      <w:r w:rsidRPr="00763BE5">
        <w:rPr>
          <w:rFonts w:ascii="Times New Roman" w:hAnsi="Times New Roman" w:cs="Times New Roman"/>
          <w:b/>
          <w:bCs/>
          <w:lang w:val="en-GB"/>
        </w:rPr>
        <w:t>Supplementary figure 2: Strategy for investigation of polarization</w:t>
      </w:r>
      <w:r w:rsidRPr="00763BE5">
        <w:rPr>
          <w:rFonts w:ascii="Times New Roman" w:hAnsi="Times New Roman" w:cs="Times New Roman"/>
          <w:lang w:val="en-GB"/>
        </w:rPr>
        <w:t>. G</w:t>
      </w:r>
      <w:r w:rsidRPr="00763BE5">
        <w:rPr>
          <w:rFonts w:ascii="Times New Roman" w:hAnsi="Times New Roman" w:cs="Times New Roman"/>
          <w:lang w:val="en-US"/>
        </w:rPr>
        <w:t xml:space="preserve">ating strategy applied to investigate the distribution of surface markers in circulating or synovial fluid monocytes. </w:t>
      </w:r>
    </w:p>
    <w:p w14:paraId="558826F1" w14:textId="77777777" w:rsidR="000B054C" w:rsidRDefault="000B054C" w:rsidP="00763BE5">
      <w:pPr>
        <w:spacing w:line="480" w:lineRule="auto"/>
        <w:jc w:val="both"/>
        <w:rPr>
          <w:rFonts w:ascii="Times New Roman" w:hAnsi="Times New Roman" w:cs="Times New Roman"/>
          <w:b/>
          <w:bCs/>
          <w:lang w:val="en-US"/>
        </w:rPr>
      </w:pPr>
    </w:p>
    <w:p w14:paraId="1649FD71" w14:textId="3F55012B" w:rsidR="00763BE5" w:rsidRDefault="00763BE5" w:rsidP="00763BE5">
      <w:pPr>
        <w:spacing w:line="480" w:lineRule="auto"/>
        <w:jc w:val="both"/>
        <w:rPr>
          <w:rFonts w:ascii="Times New Roman" w:hAnsi="Times New Roman" w:cs="Times New Roman"/>
          <w:lang w:val="en-US"/>
        </w:rPr>
      </w:pPr>
      <w:r w:rsidRPr="00763BE5">
        <w:rPr>
          <w:rFonts w:ascii="Times New Roman" w:hAnsi="Times New Roman" w:cs="Times New Roman"/>
          <w:b/>
          <w:bCs/>
          <w:lang w:val="en-US"/>
        </w:rPr>
        <w:t xml:space="preserve">Supplementary figure </w:t>
      </w:r>
      <w:r w:rsidR="000B054C">
        <w:rPr>
          <w:rFonts w:ascii="Times New Roman" w:hAnsi="Times New Roman" w:cs="Times New Roman"/>
          <w:b/>
          <w:bCs/>
          <w:lang w:val="en-US"/>
        </w:rPr>
        <w:t>3</w:t>
      </w:r>
      <w:r w:rsidRPr="00763BE5">
        <w:rPr>
          <w:rFonts w:ascii="Times New Roman" w:hAnsi="Times New Roman" w:cs="Times New Roman"/>
          <w:b/>
          <w:bCs/>
          <w:lang w:val="en-US"/>
        </w:rPr>
        <w:t xml:space="preserve">: Further characterization of monocyte polarization by flow cytometry. </w:t>
      </w:r>
      <w:r w:rsidRPr="00763BE5">
        <w:rPr>
          <w:rFonts w:ascii="Times New Roman" w:hAnsi="Times New Roman" w:cs="Times New Roman"/>
          <w:lang w:val="en-US"/>
        </w:rPr>
        <w:t xml:space="preserve">(A) MFI values of the markers CD14 and CD16. (B) </w:t>
      </w:r>
      <w:r w:rsidR="00447918">
        <w:rPr>
          <w:rFonts w:ascii="Times New Roman" w:hAnsi="Times New Roman" w:cs="Times New Roman"/>
          <w:lang w:val="en-US"/>
        </w:rPr>
        <w:t>Shows a representative gating plot and t</w:t>
      </w:r>
      <w:r w:rsidRPr="00763BE5">
        <w:rPr>
          <w:rFonts w:ascii="Times New Roman" w:hAnsi="Times New Roman" w:cs="Times New Roman"/>
          <w:lang w:val="en-US"/>
        </w:rPr>
        <w:t xml:space="preserve">he percentage of CD206 positive synovial monocytes </w:t>
      </w:r>
      <w:r w:rsidR="00447918">
        <w:rPr>
          <w:rFonts w:ascii="Times New Roman" w:hAnsi="Times New Roman" w:cs="Times New Roman"/>
          <w:lang w:val="en-US"/>
        </w:rPr>
        <w:t>as well as</w:t>
      </w:r>
      <w:r w:rsidR="00447918" w:rsidRPr="00763BE5">
        <w:rPr>
          <w:rFonts w:ascii="Times New Roman" w:hAnsi="Times New Roman" w:cs="Times New Roman"/>
          <w:lang w:val="en-US"/>
        </w:rPr>
        <w:t xml:space="preserve"> </w:t>
      </w:r>
      <w:r w:rsidRPr="00763BE5">
        <w:rPr>
          <w:rFonts w:ascii="Times New Roman" w:hAnsi="Times New Roman" w:cs="Times New Roman"/>
          <w:lang w:val="en-US"/>
        </w:rPr>
        <w:t>the CD40 expression of the CD206 positive and negative cells, respectively. The gates were set based on paired circulating monocytes.</w:t>
      </w:r>
      <w:r w:rsidR="006529E4">
        <w:rPr>
          <w:rFonts w:ascii="Times New Roman" w:hAnsi="Times New Roman" w:cs="Times New Roman"/>
          <w:lang w:val="en-US"/>
        </w:rPr>
        <w:t xml:space="preserve"> (C) MFI of the polarization markers in classical and intermediate synovial monocytes</w:t>
      </w:r>
      <w:r w:rsidRPr="00763BE5">
        <w:rPr>
          <w:rFonts w:ascii="Times New Roman" w:hAnsi="Times New Roman" w:cs="Times New Roman"/>
          <w:lang w:val="en-US"/>
        </w:rPr>
        <w:t xml:space="preserve"> (</w:t>
      </w:r>
      <w:r w:rsidR="006529E4">
        <w:rPr>
          <w:rFonts w:ascii="Times New Roman" w:hAnsi="Times New Roman" w:cs="Times New Roman"/>
          <w:lang w:val="en-US"/>
        </w:rPr>
        <w:t>D</w:t>
      </w:r>
      <w:r w:rsidRPr="00763BE5">
        <w:rPr>
          <w:rFonts w:ascii="Times New Roman" w:hAnsi="Times New Roman" w:cs="Times New Roman"/>
          <w:lang w:val="en-US"/>
        </w:rPr>
        <w:t>) MFI of the polarization related markers of patients with oligoarticular JIA, and two patients with enthesitis-related JIA and systemic-onset JIA, respectively.</w:t>
      </w:r>
      <w:r w:rsidR="007C483A">
        <w:rPr>
          <w:rFonts w:ascii="Times New Roman" w:hAnsi="Times New Roman" w:cs="Times New Roman"/>
          <w:lang w:val="en-US"/>
        </w:rPr>
        <w:t xml:space="preserve"> </w:t>
      </w:r>
      <w:r w:rsidR="007C483A" w:rsidRPr="0058274F">
        <w:rPr>
          <w:rFonts w:ascii="Times New Roman" w:hAnsi="Times New Roman" w:cs="Times New Roman"/>
          <w:lang w:val="en-US"/>
        </w:rPr>
        <w:t xml:space="preserve">Statistics </w:t>
      </w:r>
      <w:r w:rsidR="00867785">
        <w:rPr>
          <w:rFonts w:ascii="Times New Roman" w:hAnsi="Times New Roman" w:cs="Times New Roman"/>
          <w:lang w:val="en-US"/>
        </w:rPr>
        <w:t>were</w:t>
      </w:r>
      <w:r w:rsidR="007C483A" w:rsidRPr="0058274F">
        <w:rPr>
          <w:rFonts w:ascii="Times New Roman" w:hAnsi="Times New Roman" w:cs="Times New Roman"/>
          <w:lang w:val="en-US"/>
        </w:rPr>
        <w:t xml:space="preserve"> performed using Wilcoxon </w:t>
      </w:r>
      <w:proofErr w:type="gramStart"/>
      <w:r w:rsidR="007C483A" w:rsidRPr="0058274F">
        <w:rPr>
          <w:rFonts w:ascii="Times New Roman" w:hAnsi="Times New Roman" w:cs="Times New Roman"/>
          <w:lang w:val="en-US"/>
        </w:rPr>
        <w:t>matched-pairs</w:t>
      </w:r>
      <w:proofErr w:type="gramEnd"/>
      <w:r w:rsidR="007C483A" w:rsidRPr="0058274F">
        <w:rPr>
          <w:rFonts w:ascii="Times New Roman" w:hAnsi="Times New Roman" w:cs="Times New Roman"/>
          <w:lang w:val="en-US"/>
        </w:rPr>
        <w:t xml:space="preserve"> signed rank test</w:t>
      </w:r>
      <w:r w:rsidR="007C483A">
        <w:rPr>
          <w:rFonts w:ascii="Times New Roman" w:hAnsi="Times New Roman" w:cs="Times New Roman"/>
          <w:lang w:val="en-US"/>
        </w:rPr>
        <w:t xml:space="preserve">, </w:t>
      </w:r>
      <w:r w:rsidR="00447918">
        <w:rPr>
          <w:rFonts w:ascii="Times New Roman" w:hAnsi="Times New Roman" w:cs="Times New Roman"/>
          <w:lang w:val="en-US"/>
        </w:rPr>
        <w:t xml:space="preserve">**p&lt;0.01, </w:t>
      </w:r>
      <w:r w:rsidR="007C483A">
        <w:rPr>
          <w:rFonts w:ascii="Times New Roman" w:hAnsi="Times New Roman" w:cs="Times New Roman"/>
          <w:lang w:val="en-US"/>
        </w:rPr>
        <w:t>*</w:t>
      </w:r>
      <w:r w:rsidR="007C483A" w:rsidRPr="0058274F">
        <w:rPr>
          <w:rFonts w:ascii="Times New Roman" w:hAnsi="Times New Roman" w:cs="Times New Roman"/>
          <w:lang w:val="en-US"/>
        </w:rPr>
        <w:t>**p&lt;0.0</w:t>
      </w:r>
      <w:r w:rsidR="007C483A">
        <w:rPr>
          <w:rFonts w:ascii="Times New Roman" w:hAnsi="Times New Roman" w:cs="Times New Roman"/>
          <w:lang w:val="en-US"/>
        </w:rPr>
        <w:t>0</w:t>
      </w:r>
      <w:r w:rsidR="007C483A" w:rsidRPr="0058274F">
        <w:rPr>
          <w:rFonts w:ascii="Times New Roman" w:hAnsi="Times New Roman" w:cs="Times New Roman"/>
          <w:lang w:val="en-US"/>
        </w:rPr>
        <w:t>1</w:t>
      </w:r>
    </w:p>
    <w:p w14:paraId="2629793C" w14:textId="201CAF31" w:rsidR="000B054C" w:rsidRDefault="000B054C" w:rsidP="00763BE5">
      <w:pPr>
        <w:spacing w:line="480" w:lineRule="auto"/>
        <w:jc w:val="both"/>
        <w:rPr>
          <w:rFonts w:ascii="Times New Roman" w:hAnsi="Times New Roman" w:cs="Times New Roman"/>
          <w:lang w:val="en-US"/>
        </w:rPr>
      </w:pPr>
    </w:p>
    <w:p w14:paraId="2F8C9D23" w14:textId="3B1AB6C6" w:rsidR="00763BE5" w:rsidRPr="00763BE5" w:rsidRDefault="000B054C" w:rsidP="00763BE5">
      <w:pPr>
        <w:spacing w:line="480" w:lineRule="auto"/>
        <w:jc w:val="both"/>
        <w:rPr>
          <w:rFonts w:ascii="Times New Roman" w:hAnsi="Times New Roman" w:cs="Times New Roman"/>
          <w:lang w:val="en-US"/>
        </w:rPr>
      </w:pPr>
      <w:r w:rsidRPr="00763BE5">
        <w:rPr>
          <w:rFonts w:ascii="Times New Roman" w:hAnsi="Times New Roman" w:cs="Times New Roman"/>
          <w:b/>
          <w:bCs/>
          <w:lang w:val="en-US"/>
        </w:rPr>
        <w:t xml:space="preserve">Supplementary figure </w:t>
      </w:r>
      <w:r>
        <w:rPr>
          <w:rFonts w:ascii="Times New Roman" w:hAnsi="Times New Roman" w:cs="Times New Roman"/>
          <w:b/>
          <w:bCs/>
          <w:lang w:val="en-US"/>
        </w:rPr>
        <w:t>4</w:t>
      </w:r>
      <w:r w:rsidRPr="00763BE5">
        <w:rPr>
          <w:rFonts w:ascii="Times New Roman" w:hAnsi="Times New Roman" w:cs="Times New Roman"/>
          <w:b/>
          <w:bCs/>
          <w:lang w:val="en-US"/>
        </w:rPr>
        <w:t xml:space="preserve">: </w:t>
      </w:r>
      <w:r>
        <w:rPr>
          <w:rFonts w:ascii="Times New Roman" w:hAnsi="Times New Roman" w:cs="Times New Roman"/>
          <w:b/>
          <w:bCs/>
          <w:lang w:val="en-US"/>
        </w:rPr>
        <w:t xml:space="preserve">Expression of polarization markers across monocyte subsets </w:t>
      </w:r>
      <w:r>
        <w:rPr>
          <w:rFonts w:ascii="Times New Roman" w:hAnsi="Times New Roman" w:cs="Times New Roman"/>
          <w:lang w:val="en-US"/>
        </w:rPr>
        <w:t>Shows the MFI values of each investigated polarization markers in circulating vs synovial populations of (A) CD14</w:t>
      </w:r>
      <w:r w:rsidRPr="00ED1C4D">
        <w:rPr>
          <w:rFonts w:ascii="Times New Roman" w:hAnsi="Times New Roman" w:cs="Times New Roman"/>
          <w:vertAlign w:val="superscript"/>
          <w:lang w:val="en-US"/>
        </w:rPr>
        <w:t>+</w:t>
      </w:r>
      <w:r>
        <w:rPr>
          <w:rFonts w:ascii="Times New Roman" w:hAnsi="Times New Roman" w:cs="Times New Roman"/>
          <w:lang w:val="en-US"/>
        </w:rPr>
        <w:t>CD16</w:t>
      </w:r>
      <w:r>
        <w:rPr>
          <w:rFonts w:ascii="Times New Roman" w:hAnsi="Times New Roman" w:cs="Times New Roman"/>
          <w:vertAlign w:val="superscript"/>
          <w:lang w:val="en-US"/>
        </w:rPr>
        <w:t>-</w:t>
      </w:r>
      <w:r>
        <w:rPr>
          <w:rFonts w:ascii="Times New Roman" w:hAnsi="Times New Roman" w:cs="Times New Roman"/>
          <w:lang w:val="en-US"/>
        </w:rPr>
        <w:t xml:space="preserve"> ‘classical’ monocytes (B) CD14</w:t>
      </w:r>
      <w:r w:rsidRPr="00ED1C4D">
        <w:rPr>
          <w:rFonts w:ascii="Times New Roman" w:hAnsi="Times New Roman" w:cs="Times New Roman"/>
          <w:vertAlign w:val="superscript"/>
          <w:lang w:val="en-US"/>
        </w:rPr>
        <w:t>+</w:t>
      </w:r>
      <w:r>
        <w:rPr>
          <w:rFonts w:ascii="Times New Roman" w:hAnsi="Times New Roman" w:cs="Times New Roman"/>
          <w:lang w:val="en-US"/>
        </w:rPr>
        <w:t>CD16</w:t>
      </w:r>
      <w:r w:rsidRPr="00ED1C4D">
        <w:rPr>
          <w:rFonts w:ascii="Times New Roman" w:hAnsi="Times New Roman" w:cs="Times New Roman"/>
          <w:vertAlign w:val="superscript"/>
          <w:lang w:val="en-US"/>
        </w:rPr>
        <w:t>+</w:t>
      </w:r>
      <w:r>
        <w:rPr>
          <w:rFonts w:ascii="Times New Roman" w:hAnsi="Times New Roman" w:cs="Times New Roman"/>
          <w:lang w:val="en-US"/>
        </w:rPr>
        <w:t xml:space="preserve"> ‘intermediate’ monocytes and (C) C14</w:t>
      </w:r>
      <w:r w:rsidRPr="00ED1C4D">
        <w:rPr>
          <w:rFonts w:ascii="Times New Roman" w:hAnsi="Times New Roman" w:cs="Times New Roman"/>
          <w:vertAlign w:val="superscript"/>
          <w:lang w:val="en-US"/>
        </w:rPr>
        <w:t>-</w:t>
      </w:r>
      <w:r>
        <w:rPr>
          <w:rFonts w:ascii="Times New Roman" w:hAnsi="Times New Roman" w:cs="Times New Roman"/>
          <w:lang w:val="en-US"/>
        </w:rPr>
        <w:t>CD16</w:t>
      </w:r>
      <w:r w:rsidRPr="00ED1C4D">
        <w:rPr>
          <w:rFonts w:ascii="Times New Roman" w:hAnsi="Times New Roman" w:cs="Times New Roman"/>
          <w:vertAlign w:val="superscript"/>
          <w:lang w:val="en-US"/>
        </w:rPr>
        <w:t>+</w:t>
      </w:r>
      <w:r>
        <w:rPr>
          <w:rFonts w:ascii="Times New Roman" w:hAnsi="Times New Roman" w:cs="Times New Roman"/>
          <w:lang w:val="en-US"/>
        </w:rPr>
        <w:t xml:space="preserve"> ‘alternative’ monocytes</w:t>
      </w:r>
    </w:p>
    <w:p w14:paraId="40750D53" w14:textId="0AE28FD7" w:rsidR="00763BE5" w:rsidRPr="00763BE5" w:rsidRDefault="00763BE5" w:rsidP="00763BE5">
      <w:pPr>
        <w:spacing w:line="480" w:lineRule="auto"/>
        <w:jc w:val="both"/>
        <w:rPr>
          <w:rFonts w:ascii="Times New Roman" w:hAnsi="Times New Roman" w:cs="Times New Roman"/>
          <w:lang w:val="en-US"/>
        </w:rPr>
      </w:pPr>
      <w:r w:rsidRPr="00763BE5">
        <w:rPr>
          <w:rFonts w:ascii="Times New Roman" w:hAnsi="Times New Roman" w:cs="Times New Roman"/>
          <w:b/>
          <w:bCs/>
          <w:lang w:val="en-GB"/>
        </w:rPr>
        <w:lastRenderedPageBreak/>
        <w:t xml:space="preserve">Supplementary figure </w:t>
      </w:r>
      <w:r w:rsidR="000B054C">
        <w:rPr>
          <w:rFonts w:ascii="Times New Roman" w:hAnsi="Times New Roman" w:cs="Times New Roman"/>
          <w:b/>
          <w:bCs/>
          <w:lang w:val="en-GB"/>
        </w:rPr>
        <w:t>5</w:t>
      </w:r>
      <w:r w:rsidRPr="00763BE5">
        <w:rPr>
          <w:rFonts w:ascii="Times New Roman" w:hAnsi="Times New Roman" w:cs="Times New Roman"/>
          <w:b/>
          <w:bCs/>
          <w:lang w:val="en-GB"/>
        </w:rPr>
        <w:t>: Activation of cytokine production in healthy monocytes by synovial fluid</w:t>
      </w:r>
      <w:r w:rsidRPr="00763BE5">
        <w:rPr>
          <w:rFonts w:ascii="Times New Roman" w:hAnsi="Times New Roman" w:cs="Times New Roman"/>
          <w:lang w:val="en-GB"/>
        </w:rPr>
        <w:t>. Monocytes from healthy donors were stimulated with 20% synovial fluid or 20% plasma from healthy controls. Synovial fluid did not induce production of IL-6, IL-8, IL-10 or TNF in healthy monocytes as compared to plasma from healthy donors. LPS (1ng/ml) was used as positive control. SF n=13, plasma n=3</w:t>
      </w:r>
      <w:r w:rsidRPr="00763BE5">
        <w:rPr>
          <w:rFonts w:ascii="Times New Roman" w:hAnsi="Times New Roman" w:cs="Times New Roman"/>
          <w:lang w:val="en-US"/>
        </w:rPr>
        <w:t xml:space="preserve">. </w:t>
      </w:r>
    </w:p>
    <w:p w14:paraId="658CF92C" w14:textId="77777777" w:rsidR="00763BE5" w:rsidRPr="00763BE5" w:rsidRDefault="00763BE5" w:rsidP="00763BE5">
      <w:pPr>
        <w:spacing w:line="480" w:lineRule="auto"/>
        <w:jc w:val="both"/>
        <w:rPr>
          <w:rFonts w:ascii="Times New Roman" w:hAnsi="Times New Roman" w:cs="Times New Roman"/>
          <w:lang w:val="en-US"/>
        </w:rPr>
      </w:pPr>
    </w:p>
    <w:p w14:paraId="6C400CE2" w14:textId="30B4F0A4" w:rsidR="00763BE5" w:rsidRDefault="00763BE5" w:rsidP="00763BE5">
      <w:pPr>
        <w:spacing w:line="480" w:lineRule="auto"/>
        <w:jc w:val="both"/>
        <w:rPr>
          <w:rFonts w:ascii="Times New Roman" w:hAnsi="Times New Roman" w:cs="Times New Roman"/>
          <w:lang w:val="en-US"/>
        </w:rPr>
      </w:pPr>
      <w:r w:rsidRPr="00763BE5">
        <w:rPr>
          <w:rFonts w:ascii="Times New Roman" w:hAnsi="Times New Roman" w:cs="Times New Roman"/>
          <w:b/>
          <w:bCs/>
          <w:lang w:val="en-US"/>
        </w:rPr>
        <w:t xml:space="preserve">Supplementary figure </w:t>
      </w:r>
      <w:r w:rsidR="000B054C">
        <w:rPr>
          <w:rFonts w:ascii="Times New Roman" w:hAnsi="Times New Roman" w:cs="Times New Roman"/>
          <w:b/>
          <w:bCs/>
          <w:lang w:val="en-US"/>
        </w:rPr>
        <w:t>6</w:t>
      </w:r>
      <w:r w:rsidRPr="00763BE5">
        <w:rPr>
          <w:rFonts w:ascii="Times New Roman" w:hAnsi="Times New Roman" w:cs="Times New Roman"/>
          <w:b/>
          <w:bCs/>
          <w:lang w:val="en-US"/>
        </w:rPr>
        <w:t xml:space="preserve">: </w:t>
      </w:r>
      <w:r w:rsidR="003760F7">
        <w:rPr>
          <w:rFonts w:ascii="Times New Roman" w:hAnsi="Times New Roman" w:cs="Times New Roman"/>
          <w:b/>
          <w:bCs/>
          <w:lang w:val="en-US"/>
        </w:rPr>
        <w:t>A</w:t>
      </w:r>
      <w:r w:rsidRPr="00763BE5">
        <w:rPr>
          <w:rFonts w:ascii="Times New Roman" w:hAnsi="Times New Roman" w:cs="Times New Roman"/>
          <w:b/>
          <w:bCs/>
          <w:lang w:val="en-US"/>
        </w:rPr>
        <w:t>dditional cytokine measurements in patients with oligoarticular JIA</w:t>
      </w:r>
      <w:r w:rsidR="003760F7">
        <w:rPr>
          <w:rFonts w:ascii="Times New Roman" w:hAnsi="Times New Roman" w:cs="Times New Roman"/>
          <w:b/>
          <w:bCs/>
          <w:lang w:val="en-US"/>
        </w:rPr>
        <w:t>.</w:t>
      </w:r>
      <w:r w:rsidRPr="00763BE5">
        <w:rPr>
          <w:rFonts w:ascii="Times New Roman" w:hAnsi="Times New Roman" w:cs="Times New Roman"/>
          <w:lang w:val="en-US"/>
        </w:rPr>
        <w:t xml:space="preserve"> Cytokines were measured in synovial fluid and plasma from patients with oligoarticular JIA. The cytokines concentration of IL-17A, IL-4, IFN, IL-12 and TNF in plasma were below detection limit in most of the patients.</w:t>
      </w:r>
    </w:p>
    <w:p w14:paraId="42E5B393" w14:textId="0126F79B" w:rsidR="00997923" w:rsidRDefault="00997923" w:rsidP="00763BE5">
      <w:pPr>
        <w:spacing w:line="480" w:lineRule="auto"/>
        <w:jc w:val="both"/>
        <w:rPr>
          <w:rFonts w:ascii="Times New Roman" w:hAnsi="Times New Roman" w:cs="Times New Roman"/>
          <w:lang w:val="en-US"/>
        </w:rPr>
      </w:pPr>
    </w:p>
    <w:p w14:paraId="4EF5A9AF" w14:textId="28808CA3" w:rsidR="00997923" w:rsidRPr="006777F0" w:rsidRDefault="00997923" w:rsidP="00763BE5">
      <w:pPr>
        <w:spacing w:line="480" w:lineRule="auto"/>
        <w:jc w:val="both"/>
        <w:rPr>
          <w:rFonts w:ascii="Times New Roman" w:hAnsi="Times New Roman" w:cs="Times New Roman"/>
          <w:lang w:val="en-US"/>
        </w:rPr>
      </w:pPr>
      <w:r w:rsidRPr="003004F8">
        <w:rPr>
          <w:rFonts w:ascii="Times New Roman" w:hAnsi="Times New Roman" w:cs="Times New Roman"/>
          <w:b/>
          <w:bCs/>
          <w:lang w:val="en-US"/>
        </w:rPr>
        <w:t xml:space="preserve">Supplementary figure </w:t>
      </w:r>
      <w:r w:rsidR="000B054C">
        <w:rPr>
          <w:rFonts w:ascii="Times New Roman" w:hAnsi="Times New Roman" w:cs="Times New Roman"/>
          <w:b/>
          <w:bCs/>
          <w:lang w:val="en-US"/>
        </w:rPr>
        <w:t>7</w:t>
      </w:r>
      <w:r w:rsidRPr="003004F8">
        <w:rPr>
          <w:rFonts w:ascii="Times New Roman" w:hAnsi="Times New Roman" w:cs="Times New Roman"/>
          <w:b/>
          <w:bCs/>
          <w:lang w:val="en-US"/>
        </w:rPr>
        <w:t>: Grayscale images of the investigated polarization markers and in situ hybridization controls</w:t>
      </w:r>
      <w:r>
        <w:rPr>
          <w:rFonts w:ascii="Times New Roman" w:hAnsi="Times New Roman" w:cs="Times New Roman"/>
          <w:b/>
          <w:bCs/>
          <w:lang w:val="en-US"/>
        </w:rPr>
        <w:t xml:space="preserve">. </w:t>
      </w:r>
      <w:r>
        <w:rPr>
          <w:rFonts w:ascii="Times New Roman" w:hAnsi="Times New Roman" w:cs="Times New Roman"/>
          <w:lang w:val="en-US"/>
        </w:rPr>
        <w:t xml:space="preserve">(A-C) individual channels in grayscale of CD163, CD206, CD40 and DAPI in the </w:t>
      </w:r>
      <w:r w:rsidR="006777F0">
        <w:rPr>
          <w:rFonts w:ascii="Times New Roman" w:hAnsi="Times New Roman" w:cs="Times New Roman"/>
          <w:lang w:val="en-US"/>
        </w:rPr>
        <w:t xml:space="preserve">three synovial biopsies analyzed (patient 1, 3 and 8, respectively). (D) Representative images of positive and negative controls of the </w:t>
      </w:r>
      <w:proofErr w:type="gramStart"/>
      <w:r w:rsidR="006777F0">
        <w:rPr>
          <w:rFonts w:ascii="Times New Roman" w:hAnsi="Times New Roman" w:cs="Times New Roman"/>
          <w:i/>
          <w:iCs/>
          <w:lang w:val="en-US"/>
        </w:rPr>
        <w:t>in situ</w:t>
      </w:r>
      <w:proofErr w:type="gramEnd"/>
      <w:r w:rsidR="006777F0">
        <w:rPr>
          <w:rFonts w:ascii="Times New Roman" w:hAnsi="Times New Roman" w:cs="Times New Roman"/>
          <w:lang w:val="en-US"/>
        </w:rPr>
        <w:t xml:space="preserve"> hybridization experiments. Scale bar: 50</w:t>
      </w:r>
      <w:r w:rsidR="006777F0" w:rsidRPr="005405FA">
        <w:rPr>
          <w:rFonts w:ascii="Times New Roman" w:hAnsi="Times New Roman" w:cs="Times New Roman"/>
          <w:lang w:val="en-US"/>
        </w:rPr>
        <w:sym w:font="Symbol" w:char="F06D"/>
      </w:r>
      <w:r w:rsidR="006777F0">
        <w:rPr>
          <w:rFonts w:ascii="Times New Roman" w:hAnsi="Times New Roman" w:cs="Times New Roman"/>
          <w:lang w:val="en-US"/>
        </w:rPr>
        <w:t>m</w:t>
      </w:r>
    </w:p>
    <w:p w14:paraId="703B3CA0" w14:textId="10786892" w:rsidR="00FD3A51" w:rsidRDefault="00FD3A51">
      <w:pPr>
        <w:rPr>
          <w:rFonts w:ascii="Times New Roman" w:hAnsi="Times New Roman" w:cs="Times New Roman"/>
          <w:lang w:val="en-US"/>
        </w:rPr>
      </w:pPr>
      <w:r>
        <w:rPr>
          <w:rFonts w:ascii="Times New Roman" w:hAnsi="Times New Roman" w:cs="Times New Roman"/>
          <w:lang w:val="en-US"/>
        </w:rPr>
        <w:br w:type="page"/>
      </w:r>
    </w:p>
    <w:p w14:paraId="2B91B026" w14:textId="74F8F311" w:rsidR="00763BE5" w:rsidRDefault="00763BE5" w:rsidP="006F02BC">
      <w:pPr>
        <w:jc w:val="both"/>
        <w:rPr>
          <w:rFonts w:ascii="Times New Roman" w:hAnsi="Times New Roman" w:cs="Times New Roman"/>
          <w:lang w:val="en-US"/>
        </w:rPr>
      </w:pPr>
      <w:r w:rsidRPr="00763BE5">
        <w:rPr>
          <w:rFonts w:ascii="Times New Roman" w:hAnsi="Times New Roman" w:cs="Times New Roman"/>
          <w:b/>
          <w:bCs/>
          <w:lang w:val="en-US"/>
        </w:rPr>
        <w:lastRenderedPageBreak/>
        <w:t>Supplementary table 1:</w:t>
      </w:r>
      <w:r w:rsidRPr="00763BE5">
        <w:rPr>
          <w:rFonts w:ascii="Times New Roman" w:hAnsi="Times New Roman" w:cs="Times New Roman"/>
          <w:lang w:val="en-US"/>
        </w:rPr>
        <w:t xml:space="preserve"> list of target genes analyzed in monocytes by RT-qPCR</w:t>
      </w:r>
    </w:p>
    <w:tbl>
      <w:tblPr>
        <w:tblW w:w="7230" w:type="dxa"/>
        <w:tblCellMar>
          <w:left w:w="0" w:type="dxa"/>
          <w:right w:w="0" w:type="dxa"/>
        </w:tblCellMar>
        <w:tblLook w:val="04A0" w:firstRow="1" w:lastRow="0" w:firstColumn="1" w:lastColumn="0" w:noHBand="0" w:noVBand="1"/>
      </w:tblPr>
      <w:tblGrid>
        <w:gridCol w:w="709"/>
        <w:gridCol w:w="992"/>
        <w:gridCol w:w="3828"/>
        <w:gridCol w:w="1701"/>
      </w:tblGrid>
      <w:tr w:rsidR="00DA62BA" w:rsidRPr="006F02BC" w14:paraId="616D0DCF" w14:textId="77777777" w:rsidTr="006F02BC">
        <w:trPr>
          <w:trHeight w:val="191"/>
        </w:trPr>
        <w:tc>
          <w:tcPr>
            <w:tcW w:w="709" w:type="dxa"/>
            <w:tcBorders>
              <w:top w:val="single" w:sz="8" w:space="0" w:color="000000"/>
              <w:left w:val="nil"/>
              <w:bottom w:val="single" w:sz="8" w:space="0" w:color="000000"/>
              <w:right w:val="nil"/>
            </w:tcBorders>
            <w:shd w:val="clear" w:color="auto" w:fill="auto"/>
            <w:tcMar>
              <w:top w:w="15" w:type="dxa"/>
              <w:left w:w="55" w:type="dxa"/>
              <w:bottom w:w="0" w:type="dxa"/>
              <w:right w:w="55" w:type="dxa"/>
            </w:tcMar>
            <w:hideMark/>
          </w:tcPr>
          <w:p w14:paraId="5156950D"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Nr</w:t>
            </w:r>
          </w:p>
        </w:tc>
        <w:tc>
          <w:tcPr>
            <w:tcW w:w="992" w:type="dxa"/>
            <w:tcBorders>
              <w:top w:val="single" w:sz="8" w:space="0" w:color="000000"/>
              <w:left w:val="nil"/>
              <w:bottom w:val="single" w:sz="8" w:space="0" w:color="000000"/>
              <w:right w:val="nil"/>
            </w:tcBorders>
            <w:shd w:val="clear" w:color="auto" w:fill="auto"/>
            <w:tcMar>
              <w:top w:w="15" w:type="dxa"/>
              <w:left w:w="55" w:type="dxa"/>
              <w:bottom w:w="0" w:type="dxa"/>
              <w:right w:w="55" w:type="dxa"/>
            </w:tcMar>
            <w:hideMark/>
          </w:tcPr>
          <w:p w14:paraId="01A1005F"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b/>
                <w:bCs/>
                <w:sz w:val="16"/>
                <w:szCs w:val="16"/>
              </w:rPr>
              <w:t>Symbol</w:t>
            </w:r>
          </w:p>
        </w:tc>
        <w:tc>
          <w:tcPr>
            <w:tcW w:w="3828" w:type="dxa"/>
            <w:tcBorders>
              <w:top w:val="single" w:sz="8" w:space="0" w:color="000000"/>
              <w:left w:val="nil"/>
              <w:bottom w:val="single" w:sz="8" w:space="0" w:color="000000"/>
              <w:right w:val="nil"/>
            </w:tcBorders>
            <w:shd w:val="clear" w:color="auto" w:fill="auto"/>
            <w:tcMar>
              <w:top w:w="15" w:type="dxa"/>
              <w:left w:w="55" w:type="dxa"/>
              <w:bottom w:w="0" w:type="dxa"/>
              <w:right w:w="55" w:type="dxa"/>
            </w:tcMar>
            <w:hideMark/>
          </w:tcPr>
          <w:p w14:paraId="1897FE87" w14:textId="3402DA8C"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b/>
                <w:bCs/>
                <w:sz w:val="16"/>
                <w:szCs w:val="16"/>
              </w:rPr>
              <w:t>Full name</w:t>
            </w:r>
          </w:p>
        </w:tc>
        <w:tc>
          <w:tcPr>
            <w:tcW w:w="1701" w:type="dxa"/>
            <w:tcBorders>
              <w:top w:val="single" w:sz="8" w:space="0" w:color="000000"/>
              <w:left w:val="nil"/>
              <w:bottom w:val="single" w:sz="8" w:space="0" w:color="000000"/>
              <w:right w:val="nil"/>
            </w:tcBorders>
            <w:shd w:val="clear" w:color="auto" w:fill="auto"/>
            <w:tcMar>
              <w:top w:w="15" w:type="dxa"/>
              <w:left w:w="55" w:type="dxa"/>
              <w:bottom w:w="0" w:type="dxa"/>
              <w:right w:w="55" w:type="dxa"/>
            </w:tcMar>
            <w:hideMark/>
          </w:tcPr>
          <w:p w14:paraId="1A0C357F"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b/>
                <w:bCs/>
                <w:sz w:val="16"/>
                <w:szCs w:val="16"/>
              </w:rPr>
              <w:t>GenBank</w:t>
            </w:r>
          </w:p>
        </w:tc>
      </w:tr>
      <w:tr w:rsidR="00DA62BA" w:rsidRPr="006F02BC" w14:paraId="4E81F147" w14:textId="77777777" w:rsidTr="006F02BC">
        <w:trPr>
          <w:trHeight w:val="179"/>
        </w:trPr>
        <w:tc>
          <w:tcPr>
            <w:tcW w:w="709" w:type="dxa"/>
            <w:tcBorders>
              <w:top w:val="single" w:sz="8" w:space="0" w:color="000000"/>
              <w:left w:val="nil"/>
              <w:bottom w:val="nil"/>
              <w:right w:val="nil"/>
            </w:tcBorders>
            <w:shd w:val="clear" w:color="auto" w:fill="auto"/>
            <w:tcMar>
              <w:top w:w="15" w:type="dxa"/>
              <w:left w:w="55" w:type="dxa"/>
              <w:bottom w:w="0" w:type="dxa"/>
              <w:right w:w="55" w:type="dxa"/>
            </w:tcMar>
            <w:hideMark/>
          </w:tcPr>
          <w:p w14:paraId="2FB79707"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w:t>
            </w:r>
          </w:p>
        </w:tc>
        <w:tc>
          <w:tcPr>
            <w:tcW w:w="992" w:type="dxa"/>
            <w:tcBorders>
              <w:top w:val="single" w:sz="8" w:space="0" w:color="000000"/>
              <w:left w:val="nil"/>
              <w:bottom w:val="nil"/>
              <w:right w:val="nil"/>
            </w:tcBorders>
            <w:shd w:val="clear" w:color="auto" w:fill="auto"/>
            <w:tcMar>
              <w:top w:w="15" w:type="dxa"/>
              <w:left w:w="55" w:type="dxa"/>
              <w:bottom w:w="0" w:type="dxa"/>
              <w:right w:w="55" w:type="dxa"/>
            </w:tcMar>
            <w:hideMark/>
          </w:tcPr>
          <w:p w14:paraId="3129BB0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IL1B</w:t>
            </w:r>
          </w:p>
        </w:tc>
        <w:tc>
          <w:tcPr>
            <w:tcW w:w="3828" w:type="dxa"/>
            <w:tcBorders>
              <w:top w:val="single" w:sz="8" w:space="0" w:color="000000"/>
              <w:left w:val="nil"/>
              <w:bottom w:val="nil"/>
              <w:right w:val="nil"/>
            </w:tcBorders>
            <w:shd w:val="clear" w:color="auto" w:fill="auto"/>
            <w:tcMar>
              <w:top w:w="15" w:type="dxa"/>
              <w:left w:w="55" w:type="dxa"/>
              <w:bottom w:w="0" w:type="dxa"/>
              <w:right w:w="55" w:type="dxa"/>
            </w:tcMar>
            <w:hideMark/>
          </w:tcPr>
          <w:p w14:paraId="28F84945"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Interleukin 1, beta</w:t>
            </w:r>
          </w:p>
        </w:tc>
        <w:tc>
          <w:tcPr>
            <w:tcW w:w="1701" w:type="dxa"/>
            <w:tcBorders>
              <w:top w:val="single" w:sz="8" w:space="0" w:color="000000"/>
              <w:left w:val="nil"/>
              <w:bottom w:val="nil"/>
              <w:right w:val="nil"/>
            </w:tcBorders>
            <w:shd w:val="clear" w:color="auto" w:fill="auto"/>
            <w:tcMar>
              <w:top w:w="15" w:type="dxa"/>
              <w:left w:w="55" w:type="dxa"/>
              <w:bottom w:w="0" w:type="dxa"/>
              <w:right w:w="55" w:type="dxa"/>
            </w:tcMar>
            <w:hideMark/>
          </w:tcPr>
          <w:p w14:paraId="581F941D"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NM_000576</w:t>
            </w:r>
          </w:p>
        </w:tc>
      </w:tr>
      <w:tr w:rsidR="00DA62BA" w:rsidRPr="006F02BC" w14:paraId="16B1C63F"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6A121B57"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53AFBDAF"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IL1RN</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180CBDB1"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Interleukin 1 receptor antagonist</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3BD5DDFB"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NM_000577</w:t>
            </w:r>
          </w:p>
        </w:tc>
      </w:tr>
      <w:tr w:rsidR="00DA62BA" w:rsidRPr="006F02BC" w14:paraId="6C2AD3CB"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3D0F0D1E"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3</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0577148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IL6</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445AAC8C" w14:textId="1A3277C0" w:rsidR="00DA62BA" w:rsidRPr="006F02BC" w:rsidRDefault="00DA62BA" w:rsidP="003760F7">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Interleukin 6</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659A5139"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NM_000600</w:t>
            </w:r>
          </w:p>
        </w:tc>
      </w:tr>
      <w:tr w:rsidR="00DA62BA" w:rsidRPr="006F02BC" w14:paraId="68069ACE"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420BF5A7"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4</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5FDBD88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IL8</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100E196C" w14:textId="1D28C33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Intereukin 8</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07F1F311"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NM_000584</w:t>
            </w:r>
          </w:p>
        </w:tc>
      </w:tr>
      <w:tr w:rsidR="00DA62BA" w:rsidRPr="006F02BC" w14:paraId="76426F4F"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606DC38D"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5</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6DF3D595"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IL10</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3E559B68" w14:textId="3FD5CCE1"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Interleukin 10</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7537BC5F"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NM_000572</w:t>
            </w:r>
          </w:p>
        </w:tc>
      </w:tr>
      <w:tr w:rsidR="00DA62BA" w:rsidRPr="006F02BC" w14:paraId="2AE50B3C"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6DB531FE"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6</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5B4BC6B2"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CXCL10</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05128A63" w14:textId="77777777" w:rsidR="00DA62BA" w:rsidRPr="006F02BC" w:rsidRDefault="00DA62BA" w:rsidP="00DA62BA">
            <w:pPr>
              <w:spacing w:line="480" w:lineRule="auto"/>
              <w:jc w:val="both"/>
              <w:rPr>
                <w:rFonts w:ascii="Times New Roman" w:hAnsi="Times New Roman" w:cs="Times New Roman"/>
                <w:sz w:val="16"/>
                <w:szCs w:val="16"/>
                <w:lang w:val="en-US"/>
              </w:rPr>
            </w:pPr>
            <w:r w:rsidRPr="006F02BC">
              <w:rPr>
                <w:rFonts w:ascii="Times New Roman" w:hAnsi="Times New Roman" w:cs="Times New Roman"/>
                <w:sz w:val="16"/>
                <w:szCs w:val="16"/>
                <w:lang w:val="en-US"/>
              </w:rPr>
              <w:t>C-X-C Motif Chemokine 10</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3353A4C6"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NM_001565</w:t>
            </w:r>
          </w:p>
        </w:tc>
      </w:tr>
      <w:tr w:rsidR="00DA62BA" w:rsidRPr="006F02BC" w14:paraId="7DC8C888"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2FECC554"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7</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295AFAC3"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CXCL11</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2252DD1D" w14:textId="77777777" w:rsidR="00DA62BA" w:rsidRPr="006F02BC" w:rsidRDefault="00DA62BA" w:rsidP="00DA62BA">
            <w:pPr>
              <w:spacing w:line="480" w:lineRule="auto"/>
              <w:jc w:val="both"/>
              <w:rPr>
                <w:rFonts w:ascii="Times New Roman" w:hAnsi="Times New Roman" w:cs="Times New Roman"/>
                <w:sz w:val="16"/>
                <w:szCs w:val="16"/>
                <w:lang w:val="en-US"/>
              </w:rPr>
            </w:pPr>
            <w:r w:rsidRPr="006F02BC">
              <w:rPr>
                <w:rFonts w:ascii="Times New Roman" w:hAnsi="Times New Roman" w:cs="Times New Roman"/>
                <w:sz w:val="16"/>
                <w:szCs w:val="16"/>
                <w:lang w:val="en-US"/>
              </w:rPr>
              <w:t>C-X-C Motif Chemokine 11</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5FF965F1"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NM_005409</w:t>
            </w:r>
          </w:p>
        </w:tc>
      </w:tr>
      <w:tr w:rsidR="00DA62BA" w:rsidRPr="006F02BC" w14:paraId="5A6BB8A6"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1AC1FE86"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8</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1F4E0A90"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CCL18</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0FF7EC6A"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C-C Motif Chemokine 18</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35355787"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NM_002988</w:t>
            </w:r>
          </w:p>
        </w:tc>
      </w:tr>
      <w:tr w:rsidR="00DA62BA" w:rsidRPr="006F02BC" w14:paraId="091D2912"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719793A4"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9</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5F07E486"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CCL13</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4CD6E2E3"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C-C Motif Chemokine 13</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6ACB021E"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NM_005408</w:t>
            </w:r>
          </w:p>
        </w:tc>
      </w:tr>
      <w:tr w:rsidR="00DA62BA" w:rsidRPr="006F02BC" w14:paraId="2E2CB356"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3EBD47DE"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10</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7E7AEF8E"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CCR7</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4D45079B" w14:textId="77777777" w:rsidR="00DA62BA" w:rsidRPr="006F02BC" w:rsidRDefault="00DA62BA" w:rsidP="00DA62BA">
            <w:pPr>
              <w:spacing w:line="480" w:lineRule="auto"/>
              <w:jc w:val="both"/>
              <w:rPr>
                <w:rFonts w:ascii="Times New Roman" w:hAnsi="Times New Roman" w:cs="Times New Roman"/>
                <w:sz w:val="16"/>
                <w:szCs w:val="16"/>
                <w:lang w:val="en-US"/>
              </w:rPr>
            </w:pPr>
            <w:r w:rsidRPr="006F02BC">
              <w:rPr>
                <w:rFonts w:ascii="Times New Roman" w:hAnsi="Times New Roman" w:cs="Times New Roman"/>
                <w:sz w:val="16"/>
                <w:szCs w:val="16"/>
                <w:lang w:val="en-US"/>
              </w:rPr>
              <w:t>C-C Motif Chemokine Receptor 7</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6C41AA3C"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NM_001838</w:t>
            </w:r>
          </w:p>
        </w:tc>
      </w:tr>
      <w:tr w:rsidR="00DA62BA" w:rsidRPr="006F02BC" w14:paraId="3B89388E"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03E8C7AF"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11</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14412519"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IFN</w:t>
            </w:r>
            <w:r w:rsidRPr="006F02BC">
              <w:rPr>
                <w:rFonts w:ascii="Cambria Math" w:hAnsi="Cambria Math" w:cs="Cambria Math"/>
                <w:sz w:val="16"/>
                <w:szCs w:val="16"/>
              </w:rPr>
              <w:t>𝛾</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2238DD1E"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Interferon, gamma</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7A8781BD"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NM_000619</w:t>
            </w:r>
          </w:p>
        </w:tc>
      </w:tr>
      <w:tr w:rsidR="00DA62BA" w:rsidRPr="006F02BC" w14:paraId="34B0B91F"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1A4B7408"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12</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5BAF259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TNF</w:t>
            </w:r>
            <w:r w:rsidRPr="006F02BC">
              <w:rPr>
                <w:rFonts w:ascii="Cambria Math" w:hAnsi="Cambria Math" w:cs="Cambria Math"/>
                <w:sz w:val="16"/>
                <w:szCs w:val="16"/>
              </w:rPr>
              <w:t>⍺</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69419453"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Tumor Necrosis Factor</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13E43422"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NM_000594</w:t>
            </w:r>
          </w:p>
        </w:tc>
      </w:tr>
      <w:tr w:rsidR="00DA62BA" w:rsidRPr="006F02BC" w14:paraId="3BF53E8F"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7ABA99A6"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13</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63A568C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TGFB1</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5BB123F5"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Transforming Growth Factor-beta 1</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35BD5867"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NM_000660</w:t>
            </w:r>
          </w:p>
        </w:tc>
      </w:tr>
      <w:tr w:rsidR="00DA62BA" w:rsidRPr="006F02BC" w14:paraId="69D06E79"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4A6DD74E"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14</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72E99FA1"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CD80</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079DCA98"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CD80/B7-1</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4B71DA4C"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NM_005191</w:t>
            </w:r>
          </w:p>
        </w:tc>
      </w:tr>
      <w:tr w:rsidR="00DA62BA" w:rsidRPr="006F02BC" w14:paraId="2B2430B0"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7C2B0221"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15</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18FD9497"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CD200R1</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533A2E36"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CD200 Receptor R</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7A0BA0C9"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w:t>
            </w:r>
            <w:proofErr w:type="gramStart"/>
            <w:r w:rsidRPr="006F02BC">
              <w:rPr>
                <w:rFonts w:ascii="Times New Roman" w:hAnsi="Times New Roman" w:cs="Times New Roman"/>
                <w:sz w:val="16"/>
                <w:szCs w:val="16"/>
              </w:rPr>
              <w:t>138806</w:t>
            </w:r>
            <w:proofErr w:type="gramEnd"/>
          </w:p>
        </w:tc>
      </w:tr>
      <w:tr w:rsidR="00DA62BA" w:rsidRPr="006F02BC" w14:paraId="07387C4C"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266C988B"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16</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2F24E6B6"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CD206</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35B3A245"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Mannose Receptor, MRC1</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4764F5DA"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NM_002438</w:t>
            </w:r>
          </w:p>
        </w:tc>
      </w:tr>
      <w:tr w:rsidR="00DA62BA" w:rsidRPr="006F02BC" w14:paraId="2E4EAD80"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1D0529C2"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17</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6A1FA927"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CD163</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5BA9276A"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Scavenger Receptor</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0359FD1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NM_004244</w:t>
            </w:r>
          </w:p>
        </w:tc>
      </w:tr>
      <w:tr w:rsidR="00DA62BA" w:rsidRPr="006F02BC" w14:paraId="16519CBB"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1B62DB0C"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18</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3A7A232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CD40</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7AA2F65D"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Co-stimulatory Receptor</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58D2494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NM_001250</w:t>
            </w:r>
          </w:p>
        </w:tc>
      </w:tr>
      <w:tr w:rsidR="00DA62BA" w:rsidRPr="006F02BC" w14:paraId="0E0FEC3A"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53F68268"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19</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32F5ACC5"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HMOX1</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15F1C501"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Heme Oxygenase 1</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771F7D1E"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NM_002133</w:t>
            </w:r>
          </w:p>
        </w:tc>
      </w:tr>
      <w:tr w:rsidR="00DA62BA" w:rsidRPr="006F02BC" w14:paraId="0771DB8B"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13E61828"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20</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7D397B03"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TGM2</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2131230B"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Transglutaminase 2</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751A27B2"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NM_004613</w:t>
            </w:r>
          </w:p>
        </w:tc>
      </w:tr>
      <w:tr w:rsidR="00DA62BA" w:rsidRPr="006F02BC" w14:paraId="4EBEA3F1"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36000AFC"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21</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3AB234D2"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NOS2</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61A13CDF"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Nitric Oxide Synthase (iNOS)</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01A91606" w14:textId="57AADB84"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NM_000625</w:t>
            </w:r>
          </w:p>
        </w:tc>
      </w:tr>
      <w:tr w:rsidR="00DA62BA" w:rsidRPr="006F02BC" w14:paraId="54EEFF83"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02A44480"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22</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72E4894F"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STAT1</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44749F5A" w14:textId="77777777" w:rsidR="00DA62BA" w:rsidRPr="006F02BC" w:rsidRDefault="00DA62BA" w:rsidP="00DA62BA">
            <w:pPr>
              <w:spacing w:line="480" w:lineRule="auto"/>
              <w:rPr>
                <w:rFonts w:ascii="Times New Roman" w:hAnsi="Times New Roman" w:cs="Times New Roman"/>
                <w:sz w:val="16"/>
                <w:szCs w:val="16"/>
                <w:lang w:val="en-US"/>
              </w:rPr>
            </w:pPr>
            <w:r w:rsidRPr="006F02BC">
              <w:rPr>
                <w:rFonts w:ascii="Times New Roman" w:hAnsi="Times New Roman" w:cs="Times New Roman"/>
                <w:sz w:val="16"/>
                <w:szCs w:val="16"/>
                <w:lang w:val="en-US"/>
              </w:rPr>
              <w:t>Signal Transducer and Activator of Transcription 1</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49120FA5"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NM_007315</w:t>
            </w:r>
          </w:p>
        </w:tc>
      </w:tr>
      <w:tr w:rsidR="00DA62BA" w:rsidRPr="006F02BC" w14:paraId="7CD0C262"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6FCD24DF"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23</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2C0C6883"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STAT3</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731239D6" w14:textId="77777777" w:rsidR="00DA62BA" w:rsidRPr="006F02BC" w:rsidRDefault="00DA62BA" w:rsidP="00DA62BA">
            <w:pPr>
              <w:spacing w:line="480" w:lineRule="auto"/>
              <w:rPr>
                <w:rFonts w:ascii="Times New Roman" w:hAnsi="Times New Roman" w:cs="Times New Roman"/>
                <w:sz w:val="16"/>
                <w:szCs w:val="16"/>
                <w:lang w:val="en-US"/>
              </w:rPr>
            </w:pPr>
            <w:r w:rsidRPr="006F02BC">
              <w:rPr>
                <w:rFonts w:ascii="Times New Roman" w:hAnsi="Times New Roman" w:cs="Times New Roman"/>
                <w:sz w:val="16"/>
                <w:szCs w:val="16"/>
                <w:lang w:val="en-US"/>
              </w:rPr>
              <w:t>Signal Transducer and Activator of Transcription 3</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1D41B530"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NM_003150</w:t>
            </w:r>
          </w:p>
        </w:tc>
      </w:tr>
      <w:tr w:rsidR="00DA62BA" w:rsidRPr="006F02BC" w14:paraId="4016A141"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6FBE2289"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24</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6C3FC233"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STAT6</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650A1609" w14:textId="77777777" w:rsidR="00DA62BA" w:rsidRPr="006F02BC" w:rsidRDefault="00DA62BA" w:rsidP="00DA62BA">
            <w:pPr>
              <w:spacing w:line="480" w:lineRule="auto"/>
              <w:rPr>
                <w:rFonts w:ascii="Times New Roman" w:hAnsi="Times New Roman" w:cs="Times New Roman"/>
                <w:sz w:val="16"/>
                <w:szCs w:val="16"/>
                <w:lang w:val="en-US"/>
              </w:rPr>
            </w:pPr>
            <w:r w:rsidRPr="006F02BC">
              <w:rPr>
                <w:rFonts w:ascii="Times New Roman" w:hAnsi="Times New Roman" w:cs="Times New Roman"/>
                <w:sz w:val="16"/>
                <w:szCs w:val="16"/>
                <w:lang w:val="en-US"/>
              </w:rPr>
              <w:t>Signal Transducer and Activator of Transcription 6</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4EFC4CAE"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NM_003153</w:t>
            </w:r>
          </w:p>
        </w:tc>
      </w:tr>
      <w:tr w:rsidR="00DA62BA" w:rsidRPr="006F02BC" w14:paraId="0BBDACC5"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3F34FF9F"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25</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6F3F5BC3"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IFNyR1</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6CB04258"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 xml:space="preserve">Interferon </w:t>
            </w:r>
            <w:proofErr w:type="gramStart"/>
            <w:r w:rsidRPr="006F02BC">
              <w:rPr>
                <w:rFonts w:ascii="Times New Roman" w:hAnsi="Times New Roman" w:cs="Times New Roman"/>
                <w:sz w:val="16"/>
                <w:szCs w:val="16"/>
              </w:rPr>
              <w:t>gamma receptor</w:t>
            </w:r>
            <w:proofErr w:type="gramEnd"/>
            <w:r w:rsidRPr="006F02BC">
              <w:rPr>
                <w:rFonts w:ascii="Times New Roman" w:hAnsi="Times New Roman" w:cs="Times New Roman"/>
                <w:sz w:val="16"/>
                <w:szCs w:val="16"/>
              </w:rPr>
              <w:t xml:space="preserve"> 1</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40EE2992"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NM_000416</w:t>
            </w:r>
          </w:p>
        </w:tc>
      </w:tr>
      <w:tr w:rsidR="00DA62BA" w:rsidRPr="006F02BC" w14:paraId="6DF52836"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0699B62B"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26</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51EE56BA"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PPAR</w:t>
            </w:r>
            <w:r w:rsidRPr="006F02BC">
              <w:rPr>
                <w:rFonts w:ascii="Times New Roman" w:hAnsi="Times New Roman" w:cs="Times New Roman"/>
                <w:sz w:val="16"/>
                <w:szCs w:val="16"/>
              </w:rPr>
              <w:sym w:font="Symbol" w:char="F067"/>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3F8205DF"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 xml:space="preserve">Peroxisome proliferator-activated receptor </w:t>
            </w:r>
            <w:r w:rsidRPr="006F02BC">
              <w:rPr>
                <w:rFonts w:ascii="Times New Roman" w:hAnsi="Times New Roman" w:cs="Times New Roman"/>
                <w:sz w:val="16"/>
                <w:szCs w:val="16"/>
              </w:rPr>
              <w:sym w:font="Symbol" w:char="F067"/>
            </w:r>
            <w:r w:rsidRPr="006F02BC">
              <w:rPr>
                <w:rFonts w:ascii="Times New Roman" w:hAnsi="Times New Roman" w:cs="Times New Roman"/>
                <w:sz w:val="16"/>
                <w:szCs w:val="16"/>
              </w:rPr>
              <w:t xml:space="preserve"> </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7A280FDA"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NM_005037</w:t>
            </w:r>
          </w:p>
        </w:tc>
      </w:tr>
      <w:tr w:rsidR="00DA62BA" w:rsidRPr="006F02BC" w14:paraId="4618A702"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71148FEF"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27</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3CE2A87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IL10RA</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5E6541E1"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IL10 receptor subunit alpha</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6D9D4979"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NM_001558</w:t>
            </w:r>
          </w:p>
        </w:tc>
      </w:tr>
      <w:tr w:rsidR="00DA62BA" w:rsidRPr="006F02BC" w14:paraId="59A32384"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3ACBE1E7"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28</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3AA61D28"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IL4R</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11B950E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Interleukin 4 receptor 1 (alpha)</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0D60E7A3"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NM_000418</w:t>
            </w:r>
          </w:p>
        </w:tc>
      </w:tr>
      <w:tr w:rsidR="00DA62BA" w:rsidRPr="006F02BC" w14:paraId="6838E030"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62966DD8"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HK</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4000F114"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PPIA</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7F2D5E89"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Peptidylprolyl Isomerase A</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0A90988C"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NM_021130</w:t>
            </w:r>
          </w:p>
        </w:tc>
      </w:tr>
      <w:tr w:rsidR="00DA62BA" w:rsidRPr="006F02BC" w14:paraId="56E2EC4B"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68FD8D84"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HK</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622AF95C"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ACTB</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25AD3AA8"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Actin, beta</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01AFF8A8"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NM_001101</w:t>
            </w:r>
          </w:p>
        </w:tc>
      </w:tr>
      <w:tr w:rsidR="00DA62BA" w:rsidRPr="006F02BC" w14:paraId="41BF11DB"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5A8FD9FB" w14:textId="77777777" w:rsidR="00DA62BA" w:rsidRPr="006F02BC" w:rsidRDefault="00DA62BA" w:rsidP="00DA62BA">
            <w:pPr>
              <w:spacing w:line="480" w:lineRule="auto"/>
              <w:jc w:val="both"/>
              <w:rPr>
                <w:rFonts w:ascii="Times New Roman" w:hAnsi="Times New Roman" w:cs="Times New Roman"/>
                <w:b/>
                <w:bCs/>
                <w:sz w:val="16"/>
                <w:szCs w:val="16"/>
              </w:rPr>
            </w:pPr>
            <w:r w:rsidRPr="006F02BC">
              <w:rPr>
                <w:rFonts w:ascii="Times New Roman" w:hAnsi="Times New Roman" w:cs="Times New Roman"/>
                <w:b/>
                <w:bCs/>
                <w:sz w:val="16"/>
                <w:szCs w:val="16"/>
              </w:rPr>
              <w:t>HK</w:t>
            </w:r>
          </w:p>
        </w:tc>
        <w:tc>
          <w:tcPr>
            <w:tcW w:w="992" w:type="dxa"/>
            <w:tcBorders>
              <w:top w:val="nil"/>
              <w:left w:val="nil"/>
              <w:bottom w:val="nil"/>
              <w:right w:val="nil"/>
            </w:tcBorders>
            <w:shd w:val="clear" w:color="auto" w:fill="auto"/>
            <w:tcMar>
              <w:top w:w="15" w:type="dxa"/>
              <w:left w:w="55" w:type="dxa"/>
              <w:bottom w:w="0" w:type="dxa"/>
              <w:right w:w="55" w:type="dxa"/>
            </w:tcMar>
            <w:hideMark/>
          </w:tcPr>
          <w:p w14:paraId="5BAA4FC5"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B2M</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2FC30D63"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Beta-2-microglobulin</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68E55A1E"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NM_004048</w:t>
            </w:r>
          </w:p>
        </w:tc>
      </w:tr>
      <w:tr w:rsidR="00DA62BA" w:rsidRPr="006F02BC" w14:paraId="2E848617"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5A1CDA0B" w14:textId="77777777" w:rsidR="00DA62BA" w:rsidRPr="006F02BC" w:rsidRDefault="00DA62BA" w:rsidP="00DA62BA">
            <w:pPr>
              <w:spacing w:line="480" w:lineRule="auto"/>
              <w:jc w:val="both"/>
              <w:rPr>
                <w:rFonts w:ascii="Times New Roman" w:hAnsi="Times New Roman" w:cs="Times New Roman"/>
                <w:b/>
                <w:bCs/>
                <w:sz w:val="16"/>
                <w:szCs w:val="16"/>
              </w:rPr>
            </w:pPr>
          </w:p>
        </w:tc>
        <w:tc>
          <w:tcPr>
            <w:tcW w:w="992" w:type="dxa"/>
            <w:tcBorders>
              <w:top w:val="nil"/>
              <w:left w:val="nil"/>
              <w:bottom w:val="nil"/>
              <w:right w:val="nil"/>
            </w:tcBorders>
            <w:shd w:val="clear" w:color="auto" w:fill="auto"/>
            <w:tcMar>
              <w:top w:w="15" w:type="dxa"/>
              <w:left w:w="55" w:type="dxa"/>
              <w:bottom w:w="0" w:type="dxa"/>
              <w:right w:w="55" w:type="dxa"/>
            </w:tcMar>
            <w:hideMark/>
          </w:tcPr>
          <w:p w14:paraId="1FE5CFE2"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HGDC</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4E64DC8E" w14:textId="77777777" w:rsidR="00DA62BA" w:rsidRPr="006F02BC" w:rsidRDefault="00DA62BA" w:rsidP="00DA62BA">
            <w:pPr>
              <w:spacing w:line="480" w:lineRule="auto"/>
              <w:rPr>
                <w:rFonts w:ascii="Times New Roman" w:hAnsi="Times New Roman" w:cs="Times New Roman"/>
                <w:sz w:val="16"/>
                <w:szCs w:val="16"/>
                <w:lang w:val="en-US"/>
              </w:rPr>
            </w:pPr>
            <w:r w:rsidRPr="006F02BC">
              <w:rPr>
                <w:rFonts w:ascii="Times New Roman" w:hAnsi="Times New Roman" w:cs="Times New Roman"/>
                <w:sz w:val="16"/>
                <w:szCs w:val="16"/>
                <w:lang w:val="en-US"/>
              </w:rPr>
              <w:t>Human Genomic DNA Contamination Control</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0E6E0A0E"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NA</w:t>
            </w:r>
          </w:p>
        </w:tc>
      </w:tr>
      <w:tr w:rsidR="00DA62BA" w:rsidRPr="006F02BC" w14:paraId="327620F1" w14:textId="77777777" w:rsidTr="006F02BC">
        <w:trPr>
          <w:trHeight w:val="179"/>
        </w:trPr>
        <w:tc>
          <w:tcPr>
            <w:tcW w:w="709" w:type="dxa"/>
            <w:tcBorders>
              <w:top w:val="nil"/>
              <w:left w:val="nil"/>
              <w:bottom w:val="nil"/>
              <w:right w:val="nil"/>
            </w:tcBorders>
            <w:shd w:val="clear" w:color="auto" w:fill="auto"/>
            <w:tcMar>
              <w:top w:w="15" w:type="dxa"/>
              <w:left w:w="55" w:type="dxa"/>
              <w:bottom w:w="0" w:type="dxa"/>
              <w:right w:w="55" w:type="dxa"/>
            </w:tcMar>
            <w:hideMark/>
          </w:tcPr>
          <w:p w14:paraId="2D18F361" w14:textId="77777777" w:rsidR="00DA62BA" w:rsidRPr="006F02BC" w:rsidRDefault="00DA62BA" w:rsidP="00DA62BA">
            <w:pPr>
              <w:spacing w:line="480" w:lineRule="auto"/>
              <w:jc w:val="both"/>
              <w:rPr>
                <w:rFonts w:ascii="Times New Roman" w:hAnsi="Times New Roman" w:cs="Times New Roman"/>
                <w:sz w:val="16"/>
                <w:szCs w:val="16"/>
              </w:rPr>
            </w:pPr>
          </w:p>
        </w:tc>
        <w:tc>
          <w:tcPr>
            <w:tcW w:w="992" w:type="dxa"/>
            <w:tcBorders>
              <w:top w:val="nil"/>
              <w:left w:val="nil"/>
              <w:bottom w:val="nil"/>
              <w:right w:val="nil"/>
            </w:tcBorders>
            <w:shd w:val="clear" w:color="auto" w:fill="auto"/>
            <w:tcMar>
              <w:top w:w="15" w:type="dxa"/>
              <w:left w:w="55" w:type="dxa"/>
              <w:bottom w:w="0" w:type="dxa"/>
              <w:right w:w="55" w:type="dxa"/>
            </w:tcMar>
            <w:hideMark/>
          </w:tcPr>
          <w:p w14:paraId="313D8D9B"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RTC</w:t>
            </w:r>
          </w:p>
        </w:tc>
        <w:tc>
          <w:tcPr>
            <w:tcW w:w="3828" w:type="dxa"/>
            <w:tcBorders>
              <w:top w:val="nil"/>
              <w:left w:val="nil"/>
              <w:bottom w:val="nil"/>
              <w:right w:val="nil"/>
            </w:tcBorders>
            <w:shd w:val="clear" w:color="auto" w:fill="auto"/>
            <w:tcMar>
              <w:top w:w="15" w:type="dxa"/>
              <w:left w:w="55" w:type="dxa"/>
              <w:bottom w:w="0" w:type="dxa"/>
              <w:right w:w="55" w:type="dxa"/>
            </w:tcMar>
            <w:hideMark/>
          </w:tcPr>
          <w:p w14:paraId="216E4415"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lang w:val="en-US"/>
              </w:rPr>
              <w:t>Reverse Transcr</w:t>
            </w:r>
            <w:r w:rsidRPr="006F02BC">
              <w:rPr>
                <w:rFonts w:ascii="Times New Roman" w:hAnsi="Times New Roman" w:cs="Times New Roman"/>
                <w:sz w:val="16"/>
                <w:szCs w:val="16"/>
              </w:rPr>
              <w:t>iption Control</w:t>
            </w:r>
          </w:p>
        </w:tc>
        <w:tc>
          <w:tcPr>
            <w:tcW w:w="1701" w:type="dxa"/>
            <w:tcBorders>
              <w:top w:val="nil"/>
              <w:left w:val="nil"/>
              <w:bottom w:val="nil"/>
              <w:right w:val="nil"/>
            </w:tcBorders>
            <w:shd w:val="clear" w:color="auto" w:fill="auto"/>
            <w:tcMar>
              <w:top w:w="15" w:type="dxa"/>
              <w:left w:w="55" w:type="dxa"/>
              <w:bottom w:w="0" w:type="dxa"/>
              <w:right w:w="55" w:type="dxa"/>
            </w:tcMar>
            <w:hideMark/>
          </w:tcPr>
          <w:p w14:paraId="1E36AC21"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NA</w:t>
            </w:r>
          </w:p>
        </w:tc>
      </w:tr>
      <w:tr w:rsidR="00DA62BA" w:rsidRPr="006F02BC" w14:paraId="2CF2337B" w14:textId="77777777" w:rsidTr="006F02BC">
        <w:trPr>
          <w:trHeight w:val="179"/>
        </w:trPr>
        <w:tc>
          <w:tcPr>
            <w:tcW w:w="709" w:type="dxa"/>
            <w:tcBorders>
              <w:top w:val="nil"/>
              <w:left w:val="nil"/>
              <w:bottom w:val="single" w:sz="8" w:space="0" w:color="000000"/>
              <w:right w:val="nil"/>
            </w:tcBorders>
            <w:shd w:val="clear" w:color="auto" w:fill="auto"/>
            <w:tcMar>
              <w:top w:w="15" w:type="dxa"/>
              <w:left w:w="55" w:type="dxa"/>
              <w:bottom w:w="0" w:type="dxa"/>
              <w:right w:w="55" w:type="dxa"/>
            </w:tcMar>
            <w:hideMark/>
          </w:tcPr>
          <w:p w14:paraId="78DA84CE" w14:textId="77777777" w:rsidR="00DA62BA" w:rsidRPr="006F02BC" w:rsidRDefault="00DA62BA" w:rsidP="00DA62BA">
            <w:pPr>
              <w:spacing w:line="480" w:lineRule="auto"/>
              <w:jc w:val="both"/>
              <w:rPr>
                <w:rFonts w:ascii="Times New Roman" w:hAnsi="Times New Roman" w:cs="Times New Roman"/>
                <w:sz w:val="16"/>
                <w:szCs w:val="16"/>
              </w:rPr>
            </w:pPr>
          </w:p>
        </w:tc>
        <w:tc>
          <w:tcPr>
            <w:tcW w:w="992" w:type="dxa"/>
            <w:tcBorders>
              <w:top w:val="nil"/>
              <w:left w:val="nil"/>
              <w:bottom w:val="single" w:sz="8" w:space="0" w:color="000000"/>
              <w:right w:val="nil"/>
            </w:tcBorders>
            <w:shd w:val="clear" w:color="auto" w:fill="auto"/>
            <w:tcMar>
              <w:top w:w="15" w:type="dxa"/>
              <w:left w:w="55" w:type="dxa"/>
              <w:bottom w:w="0" w:type="dxa"/>
              <w:right w:w="55" w:type="dxa"/>
            </w:tcMar>
            <w:hideMark/>
          </w:tcPr>
          <w:p w14:paraId="7225C912"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PPC</w:t>
            </w:r>
          </w:p>
        </w:tc>
        <w:tc>
          <w:tcPr>
            <w:tcW w:w="3828" w:type="dxa"/>
            <w:tcBorders>
              <w:top w:val="nil"/>
              <w:left w:val="nil"/>
              <w:bottom w:val="single" w:sz="8" w:space="0" w:color="000000"/>
              <w:right w:val="nil"/>
            </w:tcBorders>
            <w:shd w:val="clear" w:color="auto" w:fill="auto"/>
            <w:tcMar>
              <w:top w:w="15" w:type="dxa"/>
              <w:left w:w="55" w:type="dxa"/>
              <w:bottom w:w="0" w:type="dxa"/>
              <w:right w:w="55" w:type="dxa"/>
            </w:tcMar>
            <w:hideMark/>
          </w:tcPr>
          <w:p w14:paraId="2E9FA9A8"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Positive PCR Control</w:t>
            </w:r>
          </w:p>
        </w:tc>
        <w:tc>
          <w:tcPr>
            <w:tcW w:w="1701" w:type="dxa"/>
            <w:tcBorders>
              <w:top w:val="nil"/>
              <w:left w:val="nil"/>
              <w:bottom w:val="single" w:sz="8" w:space="0" w:color="000000"/>
              <w:right w:val="nil"/>
            </w:tcBorders>
            <w:shd w:val="clear" w:color="auto" w:fill="auto"/>
            <w:tcMar>
              <w:top w:w="15" w:type="dxa"/>
              <w:left w:w="55" w:type="dxa"/>
              <w:bottom w:w="0" w:type="dxa"/>
              <w:right w:w="55" w:type="dxa"/>
            </w:tcMar>
            <w:hideMark/>
          </w:tcPr>
          <w:p w14:paraId="3E3C5E15" w14:textId="77777777" w:rsidR="00DA62BA" w:rsidRPr="006F02BC" w:rsidRDefault="00DA62BA" w:rsidP="00DA62BA">
            <w:pPr>
              <w:spacing w:line="480" w:lineRule="auto"/>
              <w:jc w:val="both"/>
              <w:rPr>
                <w:rFonts w:ascii="Times New Roman" w:hAnsi="Times New Roman" w:cs="Times New Roman"/>
                <w:sz w:val="16"/>
                <w:szCs w:val="16"/>
              </w:rPr>
            </w:pPr>
            <w:r w:rsidRPr="006F02BC">
              <w:rPr>
                <w:rFonts w:ascii="Times New Roman" w:hAnsi="Times New Roman" w:cs="Times New Roman"/>
                <w:sz w:val="16"/>
                <w:szCs w:val="16"/>
              </w:rPr>
              <w:t>NA</w:t>
            </w:r>
          </w:p>
        </w:tc>
      </w:tr>
    </w:tbl>
    <w:p w14:paraId="76DA05F5" w14:textId="77777777" w:rsidR="00763BE5" w:rsidRPr="00763BE5" w:rsidRDefault="00763BE5" w:rsidP="00544373">
      <w:pPr>
        <w:rPr>
          <w:rFonts w:ascii="Times New Roman" w:hAnsi="Times New Roman" w:cs="Times New Roman"/>
          <w:b/>
          <w:bCs/>
          <w:lang w:val="en-US"/>
        </w:rPr>
      </w:pPr>
    </w:p>
    <w:sectPr w:rsidR="00763BE5" w:rsidRPr="00763BE5" w:rsidSect="00763BE5">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4D"/>
    <w:family w:val="decorative"/>
    <w:pitch w:val="variable"/>
    <w:sig w:usb0="00000003" w:usb1="10000000" w:usb2="00000000" w:usb3="00000000" w:csb0="80000001" w:csb1="00000000"/>
  </w:font>
  <w:font w:name="Cambria Math">
    <w:panose1 w:val="02040503050406030204"/>
    <w:charset w:val="00"/>
    <w:family w:val="roman"/>
    <w:pitch w:val="variable"/>
    <w:sig w:usb0="E00002FF" w:usb1="420024FF"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09F" w:csb1="00000000"/>
  </w:font>
  <w:font w:name="Yu Mincho">
    <w:altName w:val="游明朝"/>
    <w:panose1 w:val="02020400000000000000"/>
    <w:charset w:val="80"/>
    <w:family w:val="roman"/>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trackRevisions/>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069"/>
    <w:rsid w:val="00001A6A"/>
    <w:rsid w:val="00010425"/>
    <w:rsid w:val="00036BD4"/>
    <w:rsid w:val="00060432"/>
    <w:rsid w:val="0007572E"/>
    <w:rsid w:val="00082540"/>
    <w:rsid w:val="00095A00"/>
    <w:rsid w:val="000B054C"/>
    <w:rsid w:val="000C20B1"/>
    <w:rsid w:val="000C7D6C"/>
    <w:rsid w:val="000D34E0"/>
    <w:rsid w:val="000E2FE0"/>
    <w:rsid w:val="000E6120"/>
    <w:rsid w:val="000F1817"/>
    <w:rsid w:val="000F5F52"/>
    <w:rsid w:val="00107969"/>
    <w:rsid w:val="00132F4F"/>
    <w:rsid w:val="00133069"/>
    <w:rsid w:val="00135513"/>
    <w:rsid w:val="00145687"/>
    <w:rsid w:val="00160E93"/>
    <w:rsid w:val="00172F39"/>
    <w:rsid w:val="001A322E"/>
    <w:rsid w:val="001B242C"/>
    <w:rsid w:val="001C5372"/>
    <w:rsid w:val="001E35AC"/>
    <w:rsid w:val="001F79A6"/>
    <w:rsid w:val="0022347D"/>
    <w:rsid w:val="00224D1A"/>
    <w:rsid w:val="00277455"/>
    <w:rsid w:val="002877FF"/>
    <w:rsid w:val="002959E4"/>
    <w:rsid w:val="002972AF"/>
    <w:rsid w:val="002B2176"/>
    <w:rsid w:val="002D0F29"/>
    <w:rsid w:val="002D1F73"/>
    <w:rsid w:val="002E0943"/>
    <w:rsid w:val="002E19E3"/>
    <w:rsid w:val="003004F8"/>
    <w:rsid w:val="0030310F"/>
    <w:rsid w:val="003142EB"/>
    <w:rsid w:val="003257C2"/>
    <w:rsid w:val="0033144A"/>
    <w:rsid w:val="003377A1"/>
    <w:rsid w:val="003401B7"/>
    <w:rsid w:val="00362187"/>
    <w:rsid w:val="003628B3"/>
    <w:rsid w:val="0036611B"/>
    <w:rsid w:val="00375782"/>
    <w:rsid w:val="003760F7"/>
    <w:rsid w:val="00387188"/>
    <w:rsid w:val="003A1D7F"/>
    <w:rsid w:val="003B41AC"/>
    <w:rsid w:val="003D794E"/>
    <w:rsid w:val="003E3952"/>
    <w:rsid w:val="003E6519"/>
    <w:rsid w:val="003F6219"/>
    <w:rsid w:val="0041031F"/>
    <w:rsid w:val="004107B6"/>
    <w:rsid w:val="004246B3"/>
    <w:rsid w:val="0044406B"/>
    <w:rsid w:val="00444F6E"/>
    <w:rsid w:val="00447918"/>
    <w:rsid w:val="00465ED0"/>
    <w:rsid w:val="004817D4"/>
    <w:rsid w:val="00487139"/>
    <w:rsid w:val="00487552"/>
    <w:rsid w:val="0049051C"/>
    <w:rsid w:val="00493107"/>
    <w:rsid w:val="004B4A50"/>
    <w:rsid w:val="004B4C16"/>
    <w:rsid w:val="004B6489"/>
    <w:rsid w:val="004C511B"/>
    <w:rsid w:val="004F2667"/>
    <w:rsid w:val="004F3672"/>
    <w:rsid w:val="00515207"/>
    <w:rsid w:val="00517909"/>
    <w:rsid w:val="00522798"/>
    <w:rsid w:val="00525A89"/>
    <w:rsid w:val="00537FE0"/>
    <w:rsid w:val="0054095F"/>
    <w:rsid w:val="00544373"/>
    <w:rsid w:val="00555BB6"/>
    <w:rsid w:val="005642AD"/>
    <w:rsid w:val="00566E6A"/>
    <w:rsid w:val="005764BB"/>
    <w:rsid w:val="0057797B"/>
    <w:rsid w:val="00583894"/>
    <w:rsid w:val="00591BCF"/>
    <w:rsid w:val="005936CA"/>
    <w:rsid w:val="0059385C"/>
    <w:rsid w:val="005B0BEB"/>
    <w:rsid w:val="005B538A"/>
    <w:rsid w:val="005B7B92"/>
    <w:rsid w:val="005C04D1"/>
    <w:rsid w:val="005C6A84"/>
    <w:rsid w:val="005D25C3"/>
    <w:rsid w:val="005E18BA"/>
    <w:rsid w:val="005E6421"/>
    <w:rsid w:val="00603C97"/>
    <w:rsid w:val="00611AC9"/>
    <w:rsid w:val="00614F58"/>
    <w:rsid w:val="00633F82"/>
    <w:rsid w:val="00641C98"/>
    <w:rsid w:val="006529E4"/>
    <w:rsid w:val="00652A65"/>
    <w:rsid w:val="006549C3"/>
    <w:rsid w:val="006777F0"/>
    <w:rsid w:val="0068042C"/>
    <w:rsid w:val="006A655E"/>
    <w:rsid w:val="006B73D4"/>
    <w:rsid w:val="006C4DB7"/>
    <w:rsid w:val="006C7069"/>
    <w:rsid w:val="006C7A7A"/>
    <w:rsid w:val="006D1F50"/>
    <w:rsid w:val="006D7BAF"/>
    <w:rsid w:val="006F02BC"/>
    <w:rsid w:val="00710D41"/>
    <w:rsid w:val="00716144"/>
    <w:rsid w:val="0073719D"/>
    <w:rsid w:val="00740BCE"/>
    <w:rsid w:val="007543DB"/>
    <w:rsid w:val="00755130"/>
    <w:rsid w:val="00763BE5"/>
    <w:rsid w:val="007803D5"/>
    <w:rsid w:val="00791B65"/>
    <w:rsid w:val="007925C6"/>
    <w:rsid w:val="00792A18"/>
    <w:rsid w:val="00796472"/>
    <w:rsid w:val="007B2849"/>
    <w:rsid w:val="007C483A"/>
    <w:rsid w:val="007E106D"/>
    <w:rsid w:val="007E63BC"/>
    <w:rsid w:val="007F2DC7"/>
    <w:rsid w:val="00813740"/>
    <w:rsid w:val="00825CA6"/>
    <w:rsid w:val="008405C2"/>
    <w:rsid w:val="00851A07"/>
    <w:rsid w:val="00867785"/>
    <w:rsid w:val="00881E4A"/>
    <w:rsid w:val="0089439D"/>
    <w:rsid w:val="008A2C10"/>
    <w:rsid w:val="008B120C"/>
    <w:rsid w:val="008B423E"/>
    <w:rsid w:val="008C3BA6"/>
    <w:rsid w:val="008E5C1F"/>
    <w:rsid w:val="008F42D1"/>
    <w:rsid w:val="008F7AE7"/>
    <w:rsid w:val="00904FD6"/>
    <w:rsid w:val="00910F73"/>
    <w:rsid w:val="0092313F"/>
    <w:rsid w:val="009237E3"/>
    <w:rsid w:val="00927784"/>
    <w:rsid w:val="009336B8"/>
    <w:rsid w:val="009436C3"/>
    <w:rsid w:val="00951992"/>
    <w:rsid w:val="009666E8"/>
    <w:rsid w:val="00997923"/>
    <w:rsid w:val="009B2E6F"/>
    <w:rsid w:val="009F29D6"/>
    <w:rsid w:val="009F756C"/>
    <w:rsid w:val="00A003AE"/>
    <w:rsid w:val="00A30329"/>
    <w:rsid w:val="00A36551"/>
    <w:rsid w:val="00A54879"/>
    <w:rsid w:val="00A6112F"/>
    <w:rsid w:val="00A70334"/>
    <w:rsid w:val="00A85CF3"/>
    <w:rsid w:val="00A9133F"/>
    <w:rsid w:val="00AA3B8A"/>
    <w:rsid w:val="00AA6B7E"/>
    <w:rsid w:val="00AD0E92"/>
    <w:rsid w:val="00AD2202"/>
    <w:rsid w:val="00AD72F2"/>
    <w:rsid w:val="00AE2895"/>
    <w:rsid w:val="00B33908"/>
    <w:rsid w:val="00B50B35"/>
    <w:rsid w:val="00B67ABE"/>
    <w:rsid w:val="00BB094B"/>
    <w:rsid w:val="00BB4C32"/>
    <w:rsid w:val="00BB5F1A"/>
    <w:rsid w:val="00BC789E"/>
    <w:rsid w:val="00BD0C51"/>
    <w:rsid w:val="00C01C73"/>
    <w:rsid w:val="00C028E9"/>
    <w:rsid w:val="00C10A26"/>
    <w:rsid w:val="00C32227"/>
    <w:rsid w:val="00C41C42"/>
    <w:rsid w:val="00C5739E"/>
    <w:rsid w:val="00C7232B"/>
    <w:rsid w:val="00C72700"/>
    <w:rsid w:val="00C91655"/>
    <w:rsid w:val="00C923C7"/>
    <w:rsid w:val="00C9516A"/>
    <w:rsid w:val="00CC61C0"/>
    <w:rsid w:val="00CD321F"/>
    <w:rsid w:val="00CE389E"/>
    <w:rsid w:val="00D1720A"/>
    <w:rsid w:val="00D4619C"/>
    <w:rsid w:val="00D5132C"/>
    <w:rsid w:val="00D603EC"/>
    <w:rsid w:val="00D756FE"/>
    <w:rsid w:val="00D91C20"/>
    <w:rsid w:val="00D96A4A"/>
    <w:rsid w:val="00D97458"/>
    <w:rsid w:val="00DA62BA"/>
    <w:rsid w:val="00DB2409"/>
    <w:rsid w:val="00DD2B41"/>
    <w:rsid w:val="00DE131A"/>
    <w:rsid w:val="00E10D24"/>
    <w:rsid w:val="00E27748"/>
    <w:rsid w:val="00E3406F"/>
    <w:rsid w:val="00E45541"/>
    <w:rsid w:val="00E50A48"/>
    <w:rsid w:val="00E515F4"/>
    <w:rsid w:val="00E55A90"/>
    <w:rsid w:val="00E57CC4"/>
    <w:rsid w:val="00E65279"/>
    <w:rsid w:val="00E67531"/>
    <w:rsid w:val="00E71A76"/>
    <w:rsid w:val="00E72E45"/>
    <w:rsid w:val="00E73C07"/>
    <w:rsid w:val="00E744D6"/>
    <w:rsid w:val="00E84428"/>
    <w:rsid w:val="00E97087"/>
    <w:rsid w:val="00EC38E5"/>
    <w:rsid w:val="00EC4AE2"/>
    <w:rsid w:val="00EC55C9"/>
    <w:rsid w:val="00ED1C4D"/>
    <w:rsid w:val="00EF3DE4"/>
    <w:rsid w:val="00F00A0E"/>
    <w:rsid w:val="00F029EB"/>
    <w:rsid w:val="00F07094"/>
    <w:rsid w:val="00F0746D"/>
    <w:rsid w:val="00F4683C"/>
    <w:rsid w:val="00F60458"/>
    <w:rsid w:val="00F646AD"/>
    <w:rsid w:val="00F703C7"/>
    <w:rsid w:val="00F83AD2"/>
    <w:rsid w:val="00F912B8"/>
    <w:rsid w:val="00FB42F8"/>
    <w:rsid w:val="00FB448F"/>
    <w:rsid w:val="00FC7407"/>
    <w:rsid w:val="00FD3A51"/>
    <w:rsid w:val="00FE6A4C"/>
    <w:rsid w:val="00FF14BC"/>
    <w:rsid w:val="00FF618F"/>
    <w:rsid w:val="00FF7308"/>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7B16EE"/>
  <w15:docId w15:val="{6D3D4569-0389-BF4F-8018-58A7D7A745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C7069"/>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C7069"/>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3635032">
      <w:bodyDiv w:val="1"/>
      <w:marLeft w:val="0"/>
      <w:marRight w:val="0"/>
      <w:marTop w:val="0"/>
      <w:marBottom w:val="0"/>
      <w:divBdr>
        <w:top w:val="none" w:sz="0" w:space="0" w:color="auto"/>
        <w:left w:val="none" w:sz="0" w:space="0" w:color="auto"/>
        <w:bottom w:val="none" w:sz="0" w:space="0" w:color="auto"/>
        <w:right w:val="none" w:sz="0" w:space="0" w:color="auto"/>
      </w:divBdr>
    </w:div>
    <w:div w:id="11746100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83EEDE-FBCE-BE4D-AC1F-2BB91F88C4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1135</Words>
  <Characters>6471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Tobias Schmidt</dc:creator>
  <cp:keywords/>
  <dc:description/>
  <cp:lastModifiedBy>Microsoft Office User</cp:lastModifiedBy>
  <cp:revision>2</cp:revision>
  <dcterms:created xsi:type="dcterms:W3CDTF">2020-07-07T15:37:00Z</dcterms:created>
  <dcterms:modified xsi:type="dcterms:W3CDTF">2020-07-07T15:37:00Z</dcterms:modified>
</cp:coreProperties>
</file>