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Extractive spectrophotometric detection of Sn(II) using </w:t>
      </w:r>
      <w:r>
        <w:rPr>
          <w:rFonts w:ascii="Times New Roman" w:hAnsi="Times New Roman" w:cs="Times New Roman"/>
          <w:b/>
          <w:sz w:val="28"/>
          <w:szCs w:val="28"/>
          <w:highlight w:val="none"/>
        </w:rPr>
        <w:t>6-bromo-3-hydroxy-2-(5-methylfuran-2-yl)-4H-chromen-4-one</w:t>
      </w:r>
    </w:p>
    <w:p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Pankaj Bhatia</w:t>
      </w:r>
      <w:r>
        <w:rPr>
          <w:rFonts w:hint="default" w:ascii="Times New Roman" w:hAnsi="Times New Roman" w:cs="Times New Roman"/>
          <w:bCs/>
          <w:i/>
          <w:iCs/>
          <w:sz w:val="24"/>
          <w:szCs w:val="24"/>
          <w:lang w:val="en-IN"/>
        </w:rPr>
        <w:t xml:space="preserve"> </w:t>
      </w:r>
      <w:r>
        <w:rPr>
          <w:b/>
          <w:bCs/>
          <w:i/>
          <w:iCs/>
          <w:sz w:val="24"/>
          <w:szCs w:val="24"/>
          <w:vertAlign w:val="superscript"/>
        </w:rPr>
        <w:t>‡</w:t>
      </w:r>
      <w:r>
        <w:rPr>
          <w:rFonts w:hint="default"/>
          <w:b/>
          <w:bCs/>
          <w:i/>
          <w:iCs/>
          <w:sz w:val="24"/>
          <w:szCs w:val="24"/>
          <w:vertAlign w:val="superscript"/>
          <w:lang w:val="en-IN"/>
        </w:rPr>
        <w:t>,</w:t>
      </w:r>
      <w:r>
        <w:rPr>
          <w:b/>
          <w:bCs/>
          <w:i/>
          <w:iCs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t xml:space="preserve">a,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*, Virender</w:t>
      </w:r>
      <w:r>
        <w:rPr>
          <w:rFonts w:hint="default" w:ascii="Times New Roman" w:hAnsi="Times New Roman" w:cs="Times New Roman"/>
          <w:bCs/>
          <w:i/>
          <w:iCs/>
          <w:sz w:val="24"/>
          <w:szCs w:val="24"/>
          <w:lang w:val="en-IN"/>
        </w:rPr>
        <w:t xml:space="preserve"> </w:t>
      </w:r>
      <w:r>
        <w:rPr>
          <w:b/>
          <w:bCs/>
          <w:i/>
          <w:iCs/>
          <w:sz w:val="24"/>
          <w:szCs w:val="24"/>
          <w:vertAlign w:val="superscript"/>
        </w:rPr>
        <w:t>‡</w:t>
      </w:r>
      <w:r>
        <w:rPr>
          <w:rFonts w:hint="default"/>
          <w:b/>
          <w:bCs/>
          <w:i/>
          <w:iCs/>
          <w:sz w:val="24"/>
          <w:szCs w:val="24"/>
          <w:vertAlign w:val="superscript"/>
          <w:lang w:val="en-IN"/>
        </w:rPr>
        <w:t>,</w:t>
      </w:r>
      <w:r>
        <w:rPr>
          <w:b/>
          <w:bCs/>
          <w:i/>
          <w:iCs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, Harish Kumar Sharma</w:t>
      </w:r>
      <w:r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, Gurjaspreet Singh</w:t>
      </w:r>
      <w:r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t>b,*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, Brij Mohan</w:t>
      </w:r>
      <w:r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t>c</w:t>
      </w:r>
    </w:p>
    <w:p>
      <w:pPr>
        <w:spacing w:after="0" w:line="360" w:lineRule="auto"/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vertAlign w:val="superscript"/>
          <w14:textFill>
            <w14:solidFill>
              <w14:schemeClr w14:val="tx1"/>
            </w14:solidFill>
          </w14:textFill>
        </w:rPr>
        <w:t>a</w:t>
      </w:r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Department of Chemistry, Kurukshetra University Kurukshetra, Kurukshetra-136119, India</w:t>
      </w:r>
    </w:p>
    <w:p>
      <w:pPr>
        <w:spacing w:after="0" w:line="360" w:lineRule="auto"/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i/>
          <w:iCs/>
          <w:sz w:val="20"/>
          <w:szCs w:val="20"/>
          <w:vertAlign w:val="superscript"/>
        </w:rPr>
        <w:t>b</w:t>
      </w:r>
      <w:r>
        <w:rPr>
          <w:rFonts w:ascii="Times New Roman" w:hAnsi="Times New Roman"/>
          <w:i/>
          <w:iCs/>
          <w:sz w:val="20"/>
          <w:szCs w:val="20"/>
        </w:rPr>
        <w:t>Department of Chemistry, Panjab University, Chandigarh, 160014, India</w:t>
      </w:r>
    </w:p>
    <w:p>
      <w:pPr>
        <w:spacing w:after="0" w:line="360" w:lineRule="auto"/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vertAlign w:val="superscript"/>
          <w14:textFill>
            <w14:solidFill>
              <w14:schemeClr w14:val="tx1"/>
            </w14:solidFill>
          </w14:textFill>
        </w:rPr>
        <w:t>c</w:t>
      </w:r>
      <w:r>
        <w:rPr>
          <w:rFonts w:hint="default" w:ascii="Times New Roman" w:hAnsi="Times New Roman" w:cs="Times New Roman"/>
          <w:i/>
          <w:sz w:val="21"/>
          <w:szCs w:val="21"/>
          <w:lang w:val="en-US" w:eastAsia="zh-CN"/>
        </w:rPr>
        <w:t>Centro de Química Estrutural, Institute of Molecular Sciences, Instituto Superior Técnico, Universidade de Lisboa, Av. Rovisco Pais, 1049-001 Lisboa, Portugal</w:t>
      </w:r>
    </w:p>
    <w:p>
      <w:pPr>
        <w:spacing w:line="360" w:lineRule="auto"/>
        <w:rPr>
          <w:i/>
          <w:iCs/>
          <w:u w:val="single"/>
        </w:rPr>
      </w:pPr>
      <w:bookmarkStart w:id="0" w:name="_GoBack"/>
      <w:bookmarkEnd w:id="0"/>
      <w:r>
        <w:rPr>
          <w:b/>
          <w:i/>
          <w:iCs/>
        </w:rPr>
        <w:t xml:space="preserve">‡ </w:t>
      </w:r>
      <w:r>
        <w:rPr>
          <w:i/>
          <w:iCs/>
        </w:rPr>
        <w:t>Authors contributed to the manuscript equally</w:t>
      </w:r>
    </w:p>
    <w:p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Supplementary Data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7"/>
        <w:gridCol w:w="62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7" w:type="dxa"/>
          </w:tcPr>
          <w:p>
            <w:pPr>
              <w:widowControl w:val="0"/>
              <w:spacing w:line="240" w:lineRule="auto"/>
              <w:jc w:val="center"/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eastAsiaTheme="minorEastAsia"/>
                <w:b/>
                <w:bCs/>
                <w:sz w:val="20"/>
                <w:szCs w:val="20"/>
                <w:lang w:eastAsia="zh-CN"/>
              </w:rPr>
              <w:t>Sr. no.</w:t>
            </w:r>
          </w:p>
        </w:tc>
        <w:tc>
          <w:tcPr>
            <w:tcW w:w="6241" w:type="dxa"/>
          </w:tcPr>
          <w:p>
            <w:pPr>
              <w:widowControl w:val="0"/>
              <w:spacing w:line="240" w:lineRule="auto"/>
              <w:jc w:val="both"/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  <w:t>C</w:t>
            </w:r>
            <w:r>
              <w:rPr>
                <w:rFonts w:hint="eastAsia" w:eastAsiaTheme="minorEastAsia"/>
                <w:b/>
                <w:bCs/>
                <w:sz w:val="20"/>
                <w:szCs w:val="20"/>
                <w:lang w:eastAsia="zh-CN"/>
              </w:rPr>
              <w:t>ontent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7" w:type="dxa"/>
          </w:tcPr>
          <w:p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 w:eastAsiaTheme="minorEastAsia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0"/>
                <w:szCs w:val="20"/>
                <w:lang w:eastAsia="zh-CN"/>
              </w:rPr>
              <w:t>Fig. S1.</w:t>
            </w:r>
          </w:p>
        </w:tc>
        <w:tc>
          <w:tcPr>
            <w:tcW w:w="6241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EastAsia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IR spectrum of BHMF reagent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7" w:type="dxa"/>
          </w:tcPr>
          <w:p>
            <w:pPr>
              <w:widowControl w:val="0"/>
              <w:spacing w:line="240" w:lineRule="auto"/>
              <w:jc w:val="both"/>
              <w:rPr>
                <w:rFonts w:hint="default" w:ascii="Times New Roman" w:hAnsi="Times New Roman" w:eastAsia="Calibri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0"/>
                <w:szCs w:val="20"/>
                <w:lang w:eastAsia="zh-CN"/>
              </w:rPr>
              <w:t>Fig. S2.</w:t>
            </w:r>
          </w:p>
        </w:tc>
        <w:tc>
          <w:tcPr>
            <w:tcW w:w="6241" w:type="dxa"/>
          </w:tcPr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EastAsia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H NMR spectrum of BHMF reagent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7" w:type="dxa"/>
          </w:tcPr>
          <w:p>
            <w:pPr>
              <w:widowControl w:val="0"/>
              <w:spacing w:line="240" w:lineRule="auto"/>
              <w:jc w:val="both"/>
              <w:rPr>
                <w:rFonts w:hint="default" w:ascii="Times New Roman" w:hAnsi="Times New Roman" w:eastAsia="Calibri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0"/>
                <w:szCs w:val="20"/>
                <w:lang w:eastAsia="zh-CN"/>
              </w:rPr>
              <w:t>Fig. S3.</w:t>
            </w:r>
          </w:p>
        </w:tc>
        <w:tc>
          <w:tcPr>
            <w:tcW w:w="6241" w:type="dxa"/>
          </w:tcPr>
          <w:p>
            <w:pPr>
              <w:pStyle w:val="7"/>
              <w:spacing w:line="360" w:lineRule="auto"/>
              <w:jc w:val="both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IN" w:eastAsia="zh-CN"/>
              </w:rPr>
            </w:pPr>
            <w:r>
              <w:rPr>
                <w:rFonts w:hint="default" w:ascii="Times New Roman" w:hAnsi="Times New Roman" w:cs="Times New Roman"/>
                <w:bCs/>
                <w:sz w:val="20"/>
                <w:szCs w:val="20"/>
                <w:highlight w:val="none"/>
              </w:rPr>
              <w:t>Effect of BHMF reagents on the absorbance of Sn(II)-BHMF complex at 434 n</w:t>
            </w:r>
            <w:r>
              <w:rPr>
                <w:rFonts w:hint="default" w:ascii="Times New Roman" w:hAnsi="Times New Roman" w:cs="Times New Roman"/>
                <w:bCs/>
                <w:sz w:val="20"/>
                <w:szCs w:val="20"/>
                <w:highlight w:val="none"/>
                <w:lang w:val="en-IN"/>
              </w:rPr>
              <w:t>m</w:t>
            </w:r>
          </w:p>
        </w:tc>
      </w:tr>
    </w:tbl>
    <w:p>
      <w:pPr>
        <w:jc w:val="center"/>
        <w:rPr>
          <w:b/>
          <w:bCs/>
          <w:sz w:val="20"/>
          <w:szCs w:val="20"/>
          <w:lang w:eastAsia="zh-CN"/>
        </w:rPr>
      </w:pPr>
    </w:p>
    <w:p>
      <w:pPr>
        <w:rPr>
          <w:b/>
          <w:bCs/>
          <w:i/>
          <w:iCs/>
        </w:rPr>
      </w:pPr>
    </w:p>
    <w:p>
      <w:pPr>
        <w:jc w:val="both"/>
        <w:rPr>
          <w:b/>
          <w:bCs/>
          <w:i/>
          <w:iCs/>
        </w:rPr>
      </w:pPr>
    </w:p>
    <w:p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380990" cy="3179445"/>
            <wp:effectExtent l="1905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85834" cy="3182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autoSpaceDE w:val="0"/>
        <w:autoSpaceDN w:val="0"/>
        <w:adjustRightInd w:val="0"/>
        <w:spacing w:after="0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S1- IR spectrum of BHMF reagent</w:t>
      </w:r>
    </w:p>
    <w:p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>
      <w:pPr>
        <w:spacing w:line="360" w:lineRule="auto"/>
        <w:rPr>
          <w:rFonts w:ascii="Times New Roman" w:hAnsi="Times New Roman" w:eastAsia="MyriadPro-Regular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507990" cy="3924935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11930" cy="3927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S2-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H NMR spectrum of BHMF reagent</w:t>
      </w:r>
    </w:p>
    <w:p>
      <w:pPr>
        <w:pStyle w:val="7"/>
        <w:spacing w:line="360" w:lineRule="auto"/>
        <w:jc w:val="center"/>
      </w:pPr>
      <w:r>
        <w:object>
          <v:shape id="_x0000_i1025" o:spt="75" type="#_x0000_t75" style="height:223.15pt;width:329.65pt;" o:ole="t" filled="f" o:preferrelative="t" stroked="f" coordsize="21600,21600">
            <v:path/>
            <v:fill on="f" focussize="0,0"/>
            <v:stroke on="f" joinstyle="miter"/>
            <v:imagedata r:id="rId15" cropleft="4468f" croptop="5783f" cropright="7447f" o:title=""/>
            <o:lock v:ext="edit" aspectratio="t"/>
            <w10:wrap type="none"/>
            <w10:anchorlock/>
          </v:shape>
          <o:OLEObject Type="Embed" ProgID="Origin50.Graph" ShapeID="_x0000_i1025" DrawAspect="Content" ObjectID="_1468075725" r:id="rId14">
            <o:LockedField>false</o:LockedField>
          </o:OLEObject>
        </w:object>
      </w:r>
    </w:p>
    <w:p>
      <w:pPr>
        <w:pStyle w:val="7"/>
        <w:spacing w:line="360" w:lineRule="auto"/>
        <w:jc w:val="center"/>
        <w:rPr>
          <w:bCs/>
          <w:highlight w:val="none"/>
        </w:rPr>
      </w:pPr>
      <w:r>
        <w:rPr>
          <w:b/>
          <w:bCs w:val="0"/>
          <w:highlight w:val="none"/>
        </w:rPr>
        <w:t>Figure S3</w:t>
      </w:r>
      <w:r>
        <w:rPr>
          <w:bCs/>
          <w:highlight w:val="none"/>
        </w:rPr>
        <w:t>. Effect of BHMF reagents on the absorbance of Sn(II)-BHMF complex at 434 nm</w:t>
      </w:r>
    </w:p>
    <w:p>
      <w:pPr>
        <w:rPr>
          <w:bCs/>
          <w:highlight w:val="none"/>
        </w:rPr>
      </w:pPr>
      <w:r>
        <w:rPr>
          <w:bCs/>
          <w:highlight w:val="none"/>
        </w:rPr>
        <w:br w:type="page"/>
      </w:r>
    </w:p>
    <w:p>
      <w:pPr>
        <w:jc w:val="center"/>
        <w:rPr>
          <w:b/>
          <w:bCs/>
          <w:sz w:val="20"/>
          <w:szCs w:val="20"/>
        </w:rPr>
      </w:pPr>
      <w:r>
        <w:rPr>
          <w:b/>
        </w:rPr>
        <w:t xml:space="preserve">     </w:t>
      </w:r>
      <w:r>
        <w:rPr>
          <w:b/>
          <w:bCs/>
          <w:sz w:val="20"/>
          <w:szCs w:val="20"/>
        </w:rPr>
        <w:t>Supplementary Data</w:t>
      </w:r>
    </w:p>
    <w:p>
      <w:pPr>
        <w:pStyle w:val="7"/>
        <w:spacing w:before="240" w:line="360" w:lineRule="auto"/>
        <w:jc w:val="both"/>
        <w:rPr>
          <w:b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7"/>
        <w:gridCol w:w="62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7" w:type="dxa"/>
          </w:tcPr>
          <w:p>
            <w:pPr>
              <w:widowControl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0"/>
                <w:szCs w:val="20"/>
                <w:lang w:eastAsia="zh-CN"/>
              </w:rPr>
              <w:t>Sr. no.</w:t>
            </w:r>
          </w:p>
        </w:tc>
        <w:tc>
          <w:tcPr>
            <w:tcW w:w="6241" w:type="dxa"/>
          </w:tcPr>
          <w:p>
            <w:pPr>
              <w:widowControl w:val="0"/>
              <w:spacing w:line="360" w:lineRule="auto"/>
              <w:jc w:val="both"/>
              <w:rPr>
                <w:rFonts w:hint="default" w:ascii="Times New Roman" w:hAnsi="Times New Roman" w:cs="Times New Roman" w:eastAsiaTheme="minorEastAsia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0"/>
                <w:szCs w:val="20"/>
                <w:lang w:eastAsia="zh-CN"/>
              </w:rPr>
              <w:t>Content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7" w:type="dxa"/>
          </w:tcPr>
          <w:p>
            <w:pPr>
              <w:widowControl w:val="0"/>
              <w:spacing w:line="360" w:lineRule="auto"/>
              <w:jc w:val="both"/>
              <w:rPr>
                <w:rFonts w:hint="default" w:ascii="Times New Roman" w:hAnsi="Times New Roman" w:cs="Times New Roman" w:eastAsiaTheme="minorEastAsia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highlight w:val="none"/>
              </w:rPr>
              <w:t xml:space="preserve">Table 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highlight w:val="none"/>
                <w:lang w:val="en-IN"/>
              </w:rPr>
              <w:t>S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highlight w:val="none"/>
              </w:rPr>
              <w:t>1</w:t>
            </w:r>
          </w:p>
        </w:tc>
        <w:tc>
          <w:tcPr>
            <w:tcW w:w="6241" w:type="dxa"/>
          </w:tcPr>
          <w:p>
            <w:pPr>
              <w:widowControl w:val="0"/>
              <w:spacing w:after="0" w:line="360" w:lineRule="auto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</w:rPr>
              <w:t xml:space="preserve">Effect of various acids on Absorbance of Sn(II)-BHMF complex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7" w:type="dxa"/>
          </w:tcPr>
          <w:p>
            <w:pPr>
              <w:widowControl w:val="0"/>
              <w:spacing w:line="360" w:lineRule="auto"/>
              <w:jc w:val="both"/>
              <w:rPr>
                <w:rFonts w:hint="default" w:ascii="Times New Roman" w:hAnsi="Times New Roman" w:eastAsia="Calibri" w:cs="Times New Roman"/>
                <w:b/>
                <w:bCs/>
                <w:sz w:val="20"/>
                <w:szCs w:val="20"/>
                <w:lang w:val="en-IN" w:eastAsia="zh-CN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highlight w:val="none"/>
              </w:rPr>
              <w:t xml:space="preserve">Table 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highlight w:val="none"/>
                <w:lang w:val="en-IN"/>
              </w:rPr>
              <w:t>S2</w:t>
            </w:r>
          </w:p>
        </w:tc>
        <w:tc>
          <w:tcPr>
            <w:tcW w:w="6241" w:type="dxa"/>
          </w:tcPr>
          <w:p>
            <w:pPr>
              <w:widowControl w:val="0"/>
              <w:spacing w:after="0" w:line="360" w:lineRule="auto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Absorbance of Sn(II)-BHMF complex in different concentration of HCl (1.0 M)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7" w:type="dxa"/>
            <w:vAlign w:val="top"/>
          </w:tcPr>
          <w:p>
            <w:pPr>
              <w:widowControl w:val="0"/>
              <w:spacing w:line="360" w:lineRule="auto"/>
              <w:jc w:val="both"/>
              <w:rPr>
                <w:rFonts w:hint="default" w:ascii="Times New Roman" w:hAnsi="Times New Roman" w:eastAsia="Calibri" w:cs="Times New Roman"/>
                <w:b/>
                <w:bCs/>
                <w:sz w:val="20"/>
                <w:szCs w:val="20"/>
                <w:lang w:val="en-IN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highlight w:val="none"/>
              </w:rPr>
              <w:t xml:space="preserve">Table 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highlight w:val="none"/>
                <w:lang w:val="en-IN"/>
              </w:rPr>
              <w:t>S3</w:t>
            </w:r>
          </w:p>
        </w:tc>
        <w:tc>
          <w:tcPr>
            <w:tcW w:w="6241" w:type="dxa"/>
          </w:tcPr>
          <w:p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sz w:val="20"/>
                <w:szCs w:val="20"/>
                <w:lang w:val="en-IN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Dependence of absorbance of Sn(II)-BHMF complex on BHMF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7" w:type="dxa"/>
            <w:vAlign w:val="top"/>
          </w:tcPr>
          <w:p>
            <w:pPr>
              <w:widowControl w:val="0"/>
              <w:spacing w:line="360" w:lineRule="auto"/>
              <w:jc w:val="both"/>
              <w:rPr>
                <w:rFonts w:hint="default" w:ascii="Times New Roman" w:hAnsi="Times New Roman" w:eastAsia="Calibri" w:cs="Times New Roman"/>
                <w:b/>
                <w:bCs/>
                <w:sz w:val="20"/>
                <w:szCs w:val="20"/>
                <w:lang w:val="en-IN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highlight w:val="none"/>
              </w:rPr>
              <w:t xml:space="preserve">Table 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highlight w:val="none"/>
                <w:lang w:val="en-IN"/>
              </w:rPr>
              <w:t>S4</w:t>
            </w:r>
          </w:p>
        </w:tc>
        <w:tc>
          <w:tcPr>
            <w:tcW w:w="6241" w:type="dxa"/>
          </w:tcPr>
          <w:p>
            <w:pPr>
              <w:pStyle w:val="7"/>
              <w:spacing w:line="360" w:lineRule="auto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</w:rPr>
              <w:t>Table- S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  <w:lang w:val="en-IN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</w:rPr>
              <w:t>. Use of various solvents for the extraction of complex Sn(II)-BHMF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7" w:type="dxa"/>
            <w:vAlign w:val="top"/>
          </w:tcPr>
          <w:p>
            <w:pPr>
              <w:widowControl w:val="0"/>
              <w:spacing w:line="360" w:lineRule="auto"/>
              <w:jc w:val="both"/>
              <w:rPr>
                <w:rFonts w:hint="default" w:ascii="Times New Roman" w:hAnsi="Times New Roman" w:eastAsia="Calibri" w:cs="Times New Roman"/>
                <w:b/>
                <w:bCs/>
                <w:sz w:val="20"/>
                <w:szCs w:val="20"/>
                <w:lang w:val="en-IN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highlight w:val="none"/>
              </w:rPr>
              <w:t xml:space="preserve">Table 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highlight w:val="none"/>
                <w:lang w:val="en-IN"/>
              </w:rPr>
              <w:t>S5</w:t>
            </w:r>
          </w:p>
        </w:tc>
        <w:tc>
          <w:tcPr>
            <w:tcW w:w="6241" w:type="dxa"/>
          </w:tcPr>
          <w:p>
            <w:pPr>
              <w:pStyle w:val="7"/>
              <w:spacing w:line="36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Dependence of absorbance of Sn(II)-BHMF complex on equilibration time(sec)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7" w:type="dxa"/>
            <w:vAlign w:val="top"/>
          </w:tcPr>
          <w:p>
            <w:pPr>
              <w:widowControl w:val="0"/>
              <w:spacing w:line="360" w:lineRule="auto"/>
              <w:jc w:val="both"/>
              <w:rPr>
                <w:rFonts w:hint="default" w:ascii="Times New Roman" w:hAnsi="Times New Roman" w:eastAsia="Calibri" w:cs="Times New Roman"/>
                <w:b/>
                <w:bCs/>
                <w:sz w:val="20"/>
                <w:szCs w:val="20"/>
                <w:lang w:val="en-IN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highlight w:val="none"/>
              </w:rPr>
              <w:t xml:space="preserve">Table 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highlight w:val="none"/>
                <w:lang w:val="en-IN"/>
              </w:rPr>
              <w:t>S6</w:t>
            </w:r>
          </w:p>
        </w:tc>
        <w:tc>
          <w:tcPr>
            <w:tcW w:w="6241" w:type="dxa"/>
          </w:tcPr>
          <w:p>
            <w:pPr>
              <w:pStyle w:val="7"/>
              <w:spacing w:line="36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Absorbance values of Sn-BHMF complex at different concentration of tin(II)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7" w:type="dxa"/>
            <w:vAlign w:val="top"/>
          </w:tcPr>
          <w:p>
            <w:pPr>
              <w:widowControl w:val="0"/>
              <w:spacing w:line="360" w:lineRule="auto"/>
              <w:jc w:val="both"/>
              <w:rPr>
                <w:rFonts w:hint="default" w:ascii="Times New Roman" w:hAnsi="Times New Roman" w:eastAsia="Calibri" w:cs="Times New Roman"/>
                <w:b/>
                <w:bCs/>
                <w:sz w:val="20"/>
                <w:szCs w:val="20"/>
                <w:lang w:val="en-IN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highlight w:val="none"/>
              </w:rPr>
              <w:t xml:space="preserve">Table 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highlight w:val="none"/>
                <w:lang w:val="en-IN"/>
              </w:rPr>
              <w:t>S7</w:t>
            </w:r>
          </w:p>
        </w:tc>
        <w:tc>
          <w:tcPr>
            <w:tcW w:w="6241" w:type="dxa"/>
          </w:tcPr>
          <w:p>
            <w:pPr>
              <w:pStyle w:val="7"/>
              <w:spacing w:line="36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 xml:space="preserve"> Job’s method of continuous variations of Sn(II) and BHMF, absorbance at 390 nm and 434 nm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7" w:type="dxa"/>
            <w:vAlign w:val="top"/>
          </w:tcPr>
          <w:p>
            <w:pPr>
              <w:widowControl w:val="0"/>
              <w:spacing w:line="360" w:lineRule="auto"/>
              <w:jc w:val="both"/>
              <w:rPr>
                <w:rFonts w:hint="default" w:ascii="Times New Roman" w:hAnsi="Times New Roman" w:eastAsia="Calibri" w:cs="Times New Roman"/>
                <w:b/>
                <w:bCs/>
                <w:sz w:val="20"/>
                <w:szCs w:val="20"/>
                <w:lang w:val="en-IN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highlight w:val="none"/>
              </w:rPr>
              <w:t xml:space="preserve">Table 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highlight w:val="none"/>
                <w:lang w:val="en-IN"/>
              </w:rPr>
              <w:t>S8</w:t>
            </w:r>
          </w:p>
        </w:tc>
        <w:tc>
          <w:tcPr>
            <w:tcW w:w="6241" w:type="dxa"/>
          </w:tcPr>
          <w:p>
            <w:pPr>
              <w:pStyle w:val="7"/>
              <w:spacing w:line="36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Mole’s ratio method for the Sn(II)-BHMF complex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7" w:type="dxa"/>
            <w:vAlign w:val="top"/>
          </w:tcPr>
          <w:p>
            <w:pPr>
              <w:widowControl w:val="0"/>
              <w:spacing w:line="360" w:lineRule="auto"/>
              <w:jc w:val="both"/>
              <w:rPr>
                <w:rFonts w:hint="default" w:ascii="Times New Roman" w:hAnsi="Times New Roman" w:eastAsia="Calibri" w:cs="Times New Roman"/>
                <w:b/>
                <w:bCs/>
                <w:sz w:val="20"/>
                <w:szCs w:val="20"/>
                <w:lang w:val="en-IN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highlight w:val="none"/>
              </w:rPr>
              <w:t xml:space="preserve">Table 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highlight w:val="none"/>
                <w:lang w:val="en-IN"/>
              </w:rPr>
              <w:t>S9</w:t>
            </w:r>
          </w:p>
        </w:tc>
        <w:tc>
          <w:tcPr>
            <w:tcW w:w="6241" w:type="dxa"/>
          </w:tcPr>
          <w:p>
            <w:pPr>
              <w:pStyle w:val="7"/>
              <w:spacing w:line="36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Effect of various anions on the absorbance of Sn(II)-BHMF complex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7" w:type="dxa"/>
            <w:vAlign w:val="top"/>
          </w:tcPr>
          <w:p>
            <w:pPr>
              <w:widowControl w:val="0"/>
              <w:spacing w:line="360" w:lineRule="auto"/>
              <w:jc w:val="both"/>
              <w:rPr>
                <w:rFonts w:hint="default" w:ascii="Times New Roman" w:hAnsi="Times New Roman" w:eastAsia="Calibri" w:cs="Times New Roman"/>
                <w:b/>
                <w:bCs/>
                <w:sz w:val="20"/>
                <w:szCs w:val="20"/>
                <w:lang w:val="en-IN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highlight w:val="none"/>
              </w:rPr>
              <w:t xml:space="preserve">Table 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highlight w:val="none"/>
                <w:lang w:val="en-IN"/>
              </w:rPr>
              <w:t>S10</w:t>
            </w:r>
          </w:p>
        </w:tc>
        <w:tc>
          <w:tcPr>
            <w:tcW w:w="6241" w:type="dxa"/>
          </w:tcPr>
          <w:p>
            <w:pPr>
              <w:pStyle w:val="7"/>
              <w:spacing w:line="36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</w:rPr>
              <w:t>Effect of different cations on the absorbance of Sn(II)-BHMF complex</w:t>
            </w:r>
          </w:p>
        </w:tc>
      </w:tr>
    </w:tbl>
    <w:p>
      <w:pPr>
        <w:rPr>
          <w:b/>
        </w:rPr>
      </w:pPr>
      <w:r>
        <w:rPr>
          <w:b/>
        </w:rPr>
        <w:br w:type="page"/>
      </w:r>
    </w:p>
    <w:p>
      <w:pPr>
        <w:pStyle w:val="7"/>
        <w:spacing w:before="240" w:line="360" w:lineRule="auto"/>
        <w:jc w:val="both"/>
        <w:rPr>
          <w:b/>
          <w:highlight w:val="none"/>
        </w:rPr>
      </w:pPr>
      <w:r>
        <w:rPr>
          <w:b/>
        </w:rPr>
        <w:t xml:space="preserve">   </w:t>
      </w:r>
      <w:r>
        <w:rPr>
          <w:b/>
          <w:highlight w:val="none"/>
        </w:rPr>
        <w:t xml:space="preserve">Table </w:t>
      </w:r>
      <w:r>
        <w:rPr>
          <w:rFonts w:hint="default"/>
          <w:b/>
          <w:highlight w:val="none"/>
          <w:lang w:val="en-IN"/>
        </w:rPr>
        <w:t>S</w:t>
      </w:r>
      <w:r>
        <w:rPr>
          <w:b/>
          <w:highlight w:val="none"/>
        </w:rPr>
        <w:t xml:space="preserve">1- Effect of various acids on Absorbance of Sn(II)-BHMF complex </w:t>
      </w:r>
    </w:p>
    <w:tbl>
      <w:tblPr>
        <w:tblStyle w:val="6"/>
        <w:tblW w:w="0" w:type="auto"/>
        <w:tblInd w:w="28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33"/>
        <w:gridCol w:w="405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3" w:type="dxa"/>
          </w:tcPr>
          <w:p>
            <w:pPr>
              <w:spacing w:after="0" w:line="360" w:lineRule="auto"/>
              <w:jc w:val="center"/>
              <w:rPr>
                <w:rFonts w:ascii="Times New Roman" w:hAnsi="Times New Roman" w:cs="Times New Roman" w:eastAsiaTheme="minorHAnsi"/>
                <w:b/>
                <w:sz w:val="24"/>
                <w:szCs w:val="24"/>
                <w:highlight w:val="none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sz w:val="24"/>
                <w:szCs w:val="24"/>
                <w:highlight w:val="none"/>
                <w:lang w:eastAsia="en-US"/>
              </w:rPr>
              <w:t>Various acids (1 M)</w:t>
            </w:r>
          </w:p>
        </w:tc>
        <w:tc>
          <w:tcPr>
            <w:tcW w:w="4057" w:type="dxa"/>
          </w:tcPr>
          <w:p>
            <w:pPr>
              <w:spacing w:after="0" w:line="360" w:lineRule="auto"/>
              <w:jc w:val="center"/>
              <w:rPr>
                <w:rFonts w:ascii="Times New Roman" w:hAnsi="Times New Roman" w:cs="Times New Roman" w:eastAsiaTheme="minorHAnsi"/>
                <w:b/>
                <w:sz w:val="24"/>
                <w:szCs w:val="24"/>
                <w:highlight w:val="none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sz w:val="24"/>
                <w:szCs w:val="24"/>
                <w:highlight w:val="none"/>
                <w:lang w:eastAsia="en-US"/>
              </w:rPr>
              <w:t>Absorbance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3" w:type="dxa"/>
          </w:tcPr>
          <w:p>
            <w:pPr>
              <w:spacing w:after="0" w:line="36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highlight w:val="none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highlight w:val="none"/>
                <w:lang w:eastAsia="en-US"/>
              </w:rPr>
              <w:t>HCl</w:t>
            </w:r>
          </w:p>
        </w:tc>
        <w:tc>
          <w:tcPr>
            <w:tcW w:w="4057" w:type="dxa"/>
          </w:tcPr>
          <w:p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highlight w:val="none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highlight w:val="none"/>
                <w:lang w:eastAsia="en-US"/>
              </w:rPr>
              <w:t>0.698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3" w:type="dxa"/>
          </w:tcPr>
          <w:p>
            <w:pPr>
              <w:spacing w:after="0" w:line="36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highlight w:val="none"/>
                <w:vertAlign w:val="subscript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highlight w:val="none"/>
                <w:lang w:eastAsia="en-US"/>
              </w:rPr>
              <w:t>H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highlight w:val="none"/>
                <w:vertAlign w:val="subscript"/>
                <w:lang w:eastAsia="en-US"/>
              </w:rPr>
              <w:t>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highlight w:val="none"/>
                <w:lang w:eastAsia="en-US"/>
              </w:rPr>
              <w:t>SO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highlight w:val="none"/>
                <w:vertAlign w:val="subscript"/>
                <w:lang w:eastAsia="en-US"/>
              </w:rPr>
              <w:t>4</w:t>
            </w:r>
          </w:p>
        </w:tc>
        <w:tc>
          <w:tcPr>
            <w:tcW w:w="4057" w:type="dxa"/>
          </w:tcPr>
          <w:p>
            <w:pPr>
              <w:spacing w:after="0" w:line="36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highlight w:val="none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highlight w:val="none"/>
                <w:lang w:eastAsia="en-US"/>
              </w:rPr>
              <w:t>0.4176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3" w:type="dxa"/>
          </w:tcPr>
          <w:p>
            <w:pPr>
              <w:spacing w:after="0" w:line="36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highlight w:val="none"/>
                <w:vertAlign w:val="subscript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highlight w:val="none"/>
                <w:lang w:eastAsia="en-US"/>
              </w:rPr>
              <w:t>HClO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highlight w:val="none"/>
                <w:vertAlign w:val="subscript"/>
                <w:lang w:eastAsia="en-US"/>
              </w:rPr>
              <w:t>4</w:t>
            </w:r>
          </w:p>
        </w:tc>
        <w:tc>
          <w:tcPr>
            <w:tcW w:w="4057" w:type="dxa"/>
          </w:tcPr>
          <w:p>
            <w:pPr>
              <w:spacing w:after="0" w:line="36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highlight w:val="none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highlight w:val="none"/>
                <w:lang w:eastAsia="en-US"/>
              </w:rPr>
              <w:t>0.4042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3" w:type="dxa"/>
          </w:tcPr>
          <w:p>
            <w:pPr>
              <w:spacing w:after="0" w:line="36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highlight w:val="none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highlight w:val="none"/>
                <w:lang w:eastAsia="en-US"/>
              </w:rPr>
              <w:t>CH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highlight w:val="none"/>
                <w:vertAlign w:val="subscript"/>
                <w:lang w:eastAsia="en-US"/>
              </w:rPr>
              <w:t>3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highlight w:val="none"/>
                <w:lang w:eastAsia="en-US"/>
              </w:rPr>
              <w:t>COOH</w:t>
            </w:r>
          </w:p>
        </w:tc>
        <w:tc>
          <w:tcPr>
            <w:tcW w:w="4057" w:type="dxa"/>
          </w:tcPr>
          <w:p>
            <w:pPr>
              <w:spacing w:after="0" w:line="36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highlight w:val="none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highlight w:val="none"/>
                <w:lang w:eastAsia="en-US"/>
              </w:rPr>
              <w:t>0.2016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3" w:type="dxa"/>
          </w:tcPr>
          <w:p>
            <w:pPr>
              <w:spacing w:after="0" w:line="36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highlight w:val="none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highlight w:val="none"/>
                <w:lang w:eastAsia="en-US"/>
              </w:rPr>
              <w:t>H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highlight w:val="none"/>
                <w:vertAlign w:val="subscript"/>
                <w:lang w:eastAsia="en-US"/>
              </w:rPr>
              <w:t>3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highlight w:val="none"/>
                <w:lang w:eastAsia="en-US"/>
              </w:rPr>
              <w:t>PO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highlight w:val="none"/>
                <w:vertAlign w:val="subscript"/>
                <w:lang w:eastAsia="en-US"/>
              </w:rPr>
              <w:t>4</w:t>
            </w:r>
          </w:p>
        </w:tc>
        <w:tc>
          <w:tcPr>
            <w:tcW w:w="4057" w:type="dxa"/>
          </w:tcPr>
          <w:p>
            <w:pPr>
              <w:spacing w:after="0" w:line="36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highlight w:val="none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highlight w:val="none"/>
                <w:lang w:eastAsia="en-US"/>
              </w:rPr>
              <w:t>0.1957</w:t>
            </w:r>
          </w:p>
        </w:tc>
      </w:tr>
    </w:tbl>
    <w:p>
      <w:pPr>
        <w:pStyle w:val="7"/>
        <w:spacing w:line="360" w:lineRule="auto"/>
        <w:jc w:val="both"/>
        <w:rPr>
          <w:highlight w:val="none"/>
        </w:rPr>
      </w:pPr>
      <w:r>
        <w:rPr>
          <w:b/>
          <w:highlight w:val="none"/>
        </w:rPr>
        <w:t>[Conditions:</w:t>
      </w:r>
      <w:r>
        <w:rPr>
          <w:highlight w:val="none"/>
        </w:rPr>
        <w:t xml:space="preserve"> Tin= 10 µg, 0.1% BHMF (in ethanol) = 1.5 mL, acid = various acid as shown in table 5.1 (1 M), aqueous volume = solvent volume = 10 mL, solvent = dichloromethane, equilibration time = 30 sec., number of extraction = one, λ</w:t>
      </w:r>
      <w:r>
        <w:rPr>
          <w:highlight w:val="none"/>
          <w:vertAlign w:val="subscript"/>
        </w:rPr>
        <w:t>max</w:t>
      </w:r>
      <w:r>
        <w:rPr>
          <w:highlight w:val="none"/>
        </w:rPr>
        <w:t xml:space="preserve"> = 434 nm.]</w:t>
      </w:r>
    </w:p>
    <w:p>
      <w:pPr>
        <w:spacing w:after="0" w:line="360" w:lineRule="auto"/>
        <w:jc w:val="center"/>
        <w:rPr>
          <w:rFonts w:ascii="Times New Roman" w:hAnsi="Times New Roman" w:eastAsia="MyriadPro-Regular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pStyle w:val="7"/>
        <w:spacing w:line="360" w:lineRule="auto"/>
        <w:jc w:val="both"/>
        <w:rPr>
          <w:b/>
        </w:rPr>
      </w:pPr>
    </w:p>
    <w:p>
      <w:pPr>
        <w:pStyle w:val="7"/>
        <w:spacing w:line="360" w:lineRule="auto"/>
        <w:jc w:val="both"/>
        <w:rPr>
          <w:b/>
        </w:rPr>
      </w:pPr>
      <w:r>
        <w:rPr>
          <w:b/>
        </w:rPr>
        <w:t>Table S</w:t>
      </w:r>
      <w:r>
        <w:rPr>
          <w:rFonts w:hint="default"/>
          <w:b/>
          <w:lang w:val="en-IN"/>
        </w:rPr>
        <w:t>2</w:t>
      </w:r>
      <w:r>
        <w:rPr>
          <w:b/>
        </w:rPr>
        <w:t>- Absorbance of Sn(II)-BHMF complex in different concentration of HCl (1.0 M)</w:t>
      </w:r>
    </w:p>
    <w:tbl>
      <w:tblPr>
        <w:tblStyle w:val="6"/>
        <w:tblW w:w="872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436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4360" w:type="dxa"/>
          </w:tcPr>
          <w:p>
            <w:pPr>
              <w:spacing w:after="0" w:line="360" w:lineRule="auto"/>
              <w:jc w:val="center"/>
              <w:rPr>
                <w:rFonts w:ascii="Times New Roman" w:hAnsi="Times New Roman" w:cs="Times New Roman"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sz w:val="24"/>
                <w:szCs w:val="24"/>
                <w:lang w:eastAsia="en-US"/>
              </w:rPr>
              <w:t>Acid HCl (1.0 M)</w:t>
            </w:r>
          </w:p>
        </w:tc>
        <w:tc>
          <w:tcPr>
            <w:tcW w:w="4360" w:type="dxa"/>
          </w:tcPr>
          <w:p>
            <w:pPr>
              <w:spacing w:after="0" w:line="360" w:lineRule="auto"/>
              <w:jc w:val="center"/>
              <w:rPr>
                <w:rFonts w:ascii="Times New Roman" w:hAnsi="Times New Roman" w:cs="Times New Roman"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sz w:val="24"/>
                <w:szCs w:val="24"/>
                <w:lang w:eastAsia="en-US"/>
              </w:rPr>
              <w:t>Absorbance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4360" w:type="dxa"/>
          </w:tcPr>
          <w:p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0.2 mL</w:t>
            </w:r>
          </w:p>
        </w:tc>
        <w:tc>
          <w:tcPr>
            <w:tcW w:w="4360" w:type="dxa"/>
          </w:tcPr>
          <w:p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0.259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4360" w:type="dxa"/>
          </w:tcPr>
          <w:p>
            <w:pPr>
              <w:spacing w:after="0" w:line="36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0.4 mL</w:t>
            </w:r>
          </w:p>
        </w:tc>
        <w:tc>
          <w:tcPr>
            <w:tcW w:w="4360" w:type="dxa"/>
          </w:tcPr>
          <w:p>
            <w:pPr>
              <w:spacing w:after="0" w:line="36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0.351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4360" w:type="dxa"/>
          </w:tcPr>
          <w:p>
            <w:pPr>
              <w:spacing w:after="0" w:line="36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0.5 mL</w:t>
            </w:r>
          </w:p>
        </w:tc>
        <w:tc>
          <w:tcPr>
            <w:tcW w:w="4360" w:type="dxa"/>
          </w:tcPr>
          <w:p>
            <w:pPr>
              <w:spacing w:after="0" w:line="36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0.412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4360" w:type="dxa"/>
          </w:tcPr>
          <w:p>
            <w:pPr>
              <w:spacing w:after="0" w:line="36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0.6 mL</w:t>
            </w:r>
          </w:p>
        </w:tc>
        <w:tc>
          <w:tcPr>
            <w:tcW w:w="4360" w:type="dxa"/>
          </w:tcPr>
          <w:p>
            <w:pPr>
              <w:spacing w:after="0" w:line="36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0.443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4360" w:type="dxa"/>
          </w:tcPr>
          <w:p>
            <w:pPr>
              <w:spacing w:after="0" w:line="36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0.8 mL</w:t>
            </w:r>
          </w:p>
        </w:tc>
        <w:tc>
          <w:tcPr>
            <w:tcW w:w="4360" w:type="dxa"/>
          </w:tcPr>
          <w:p>
            <w:pPr>
              <w:spacing w:after="0" w:line="36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0.564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4360" w:type="dxa"/>
          </w:tcPr>
          <w:p>
            <w:pPr>
              <w:spacing w:after="0" w:line="36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1.0 mL</w:t>
            </w:r>
          </w:p>
        </w:tc>
        <w:tc>
          <w:tcPr>
            <w:tcW w:w="4360" w:type="dxa"/>
          </w:tcPr>
          <w:p>
            <w:pPr>
              <w:spacing w:after="0" w:line="36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0.698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4360" w:type="dxa"/>
          </w:tcPr>
          <w:p>
            <w:pPr>
              <w:spacing w:after="0" w:line="36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1.2 mL</w:t>
            </w:r>
          </w:p>
        </w:tc>
        <w:tc>
          <w:tcPr>
            <w:tcW w:w="4360" w:type="dxa"/>
          </w:tcPr>
          <w:p>
            <w:pPr>
              <w:spacing w:after="0" w:line="36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0.485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4360" w:type="dxa"/>
          </w:tcPr>
          <w:p>
            <w:pPr>
              <w:pStyle w:val="7"/>
              <w:spacing w:line="360" w:lineRule="auto"/>
              <w:jc w:val="center"/>
            </w:pPr>
            <w:r>
              <w:t>1.4 mL</w:t>
            </w:r>
          </w:p>
        </w:tc>
        <w:tc>
          <w:tcPr>
            <w:tcW w:w="4360" w:type="dxa"/>
          </w:tcPr>
          <w:p>
            <w:pPr>
              <w:pStyle w:val="7"/>
              <w:spacing w:line="360" w:lineRule="auto"/>
              <w:jc w:val="center"/>
            </w:pPr>
            <w:r>
              <w:t>0.402</w:t>
            </w:r>
          </w:p>
        </w:tc>
      </w:tr>
    </w:tbl>
    <w:p>
      <w:pPr>
        <w:pStyle w:val="7"/>
        <w:spacing w:line="360" w:lineRule="auto"/>
        <w:jc w:val="both"/>
      </w:pPr>
      <w:r>
        <w:rPr>
          <w:b/>
        </w:rPr>
        <w:t>[Conditions:</w:t>
      </w:r>
      <w:r>
        <w:t xml:space="preserve"> Tin= 10 µg, 0.1% BHMF (in ethanol) = 1.5 mL, HCl (1.0 M) = variable concentration, aqueous volume = solvent volume = 10 mL, solvent = variable, equilibration time = 30 sec, number of extraction = one, λ</w:t>
      </w:r>
      <w:r>
        <w:rPr>
          <w:vertAlign w:val="subscript"/>
        </w:rPr>
        <w:t>max</w:t>
      </w:r>
      <w:r>
        <w:t>= 434 nm.]</w:t>
      </w:r>
    </w:p>
    <w:p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Table S</w:t>
      </w:r>
      <w:r>
        <w:rPr>
          <w:rFonts w:hint="default" w:ascii="Times New Roman" w:hAnsi="Times New Roman" w:cs="Times New Roman"/>
          <w:b/>
          <w:sz w:val="24"/>
          <w:szCs w:val="24"/>
          <w:lang w:val="en-IN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- Dependence of absorbance of Sn(II)-BHMF complex on BHMF</w:t>
      </w:r>
    </w:p>
    <w:tbl>
      <w:tblPr>
        <w:tblStyle w:val="6"/>
        <w:tblW w:w="8143" w:type="dxa"/>
        <w:tblInd w:w="46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43"/>
        <w:gridCol w:w="430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3843" w:type="dxa"/>
          </w:tcPr>
          <w:p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 w:eastAsiaTheme="minorHAnsi"/>
                <w:b/>
                <w:sz w:val="20"/>
                <w:szCs w:val="20"/>
                <w:lang w:eastAsia="en-US"/>
              </w:rPr>
              <w:t>0.1 % BHMF (mL)</w:t>
            </w:r>
          </w:p>
        </w:tc>
        <w:tc>
          <w:tcPr>
            <w:tcW w:w="4300" w:type="dxa"/>
          </w:tcPr>
          <w:p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 w:eastAsiaTheme="minorHAnsi"/>
                <w:b/>
                <w:sz w:val="20"/>
                <w:szCs w:val="20"/>
                <w:lang w:eastAsia="en-US"/>
              </w:rPr>
              <w:t>Absorbance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3843" w:type="dxa"/>
          </w:tcPr>
          <w:p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 w:eastAsiaTheme="minorHAnsi"/>
                <w:sz w:val="20"/>
                <w:szCs w:val="20"/>
                <w:lang w:eastAsia="en-US"/>
              </w:rPr>
            </w:pPr>
            <w:r>
              <w:rPr>
                <w:rFonts w:ascii="Arial" w:hAnsi="Arial" w:cs="Arial" w:eastAsiaTheme="minorHAnsi"/>
                <w:sz w:val="20"/>
                <w:szCs w:val="20"/>
                <w:lang w:eastAsia="en-US"/>
              </w:rPr>
              <w:t>0.5</w:t>
            </w:r>
          </w:p>
        </w:tc>
        <w:tc>
          <w:tcPr>
            <w:tcW w:w="4300" w:type="dxa"/>
          </w:tcPr>
          <w:p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 w:eastAsiaTheme="minorHAnsi"/>
                <w:sz w:val="20"/>
                <w:szCs w:val="20"/>
                <w:lang w:eastAsia="en-US"/>
              </w:rPr>
            </w:pPr>
            <w:r>
              <w:rPr>
                <w:rFonts w:ascii="Arial" w:hAnsi="Arial" w:cs="Arial" w:eastAsiaTheme="minorHAnsi"/>
                <w:sz w:val="20"/>
                <w:szCs w:val="20"/>
                <w:lang w:eastAsia="en-US"/>
              </w:rPr>
              <w:t>0.238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3843" w:type="dxa"/>
          </w:tcPr>
          <w:p>
            <w:pPr>
              <w:spacing w:after="0" w:line="360" w:lineRule="auto"/>
              <w:jc w:val="center"/>
              <w:rPr>
                <w:rFonts w:ascii="Arial" w:hAnsi="Arial" w:cs="Arial" w:eastAsiaTheme="minorHAnsi"/>
                <w:sz w:val="20"/>
                <w:szCs w:val="20"/>
                <w:lang w:eastAsia="en-US"/>
              </w:rPr>
            </w:pPr>
            <w:r>
              <w:rPr>
                <w:rFonts w:ascii="Arial" w:hAnsi="Arial" w:cs="Arial" w:eastAsiaTheme="minorHAnsi"/>
                <w:sz w:val="20"/>
                <w:szCs w:val="20"/>
                <w:lang w:eastAsia="en-US"/>
              </w:rPr>
              <w:t>1.0</w:t>
            </w:r>
          </w:p>
        </w:tc>
        <w:tc>
          <w:tcPr>
            <w:tcW w:w="4300" w:type="dxa"/>
          </w:tcPr>
          <w:p>
            <w:pPr>
              <w:spacing w:after="0" w:line="360" w:lineRule="auto"/>
              <w:jc w:val="center"/>
              <w:rPr>
                <w:rFonts w:ascii="Arial" w:hAnsi="Arial" w:cs="Arial" w:eastAsiaTheme="minorHAnsi"/>
                <w:sz w:val="20"/>
                <w:szCs w:val="20"/>
                <w:lang w:eastAsia="en-US"/>
              </w:rPr>
            </w:pPr>
            <w:r>
              <w:rPr>
                <w:rFonts w:ascii="Arial" w:hAnsi="Arial" w:cs="Arial" w:eastAsiaTheme="minorHAnsi"/>
                <w:sz w:val="20"/>
                <w:szCs w:val="20"/>
                <w:lang w:eastAsia="en-US"/>
              </w:rPr>
              <w:t>0.443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3843" w:type="dxa"/>
          </w:tcPr>
          <w:p>
            <w:pPr>
              <w:spacing w:after="0" w:line="360" w:lineRule="auto"/>
              <w:jc w:val="center"/>
              <w:rPr>
                <w:rFonts w:ascii="Arial" w:hAnsi="Arial" w:cs="Arial" w:eastAsiaTheme="minorHAnsi"/>
                <w:sz w:val="20"/>
                <w:szCs w:val="20"/>
                <w:lang w:eastAsia="en-US"/>
              </w:rPr>
            </w:pPr>
            <w:r>
              <w:rPr>
                <w:rFonts w:ascii="Arial" w:hAnsi="Arial" w:cs="Arial" w:eastAsiaTheme="minorHAnsi"/>
                <w:sz w:val="20"/>
                <w:szCs w:val="20"/>
                <w:lang w:eastAsia="en-US"/>
              </w:rPr>
              <w:t>1.3</w:t>
            </w:r>
          </w:p>
        </w:tc>
        <w:tc>
          <w:tcPr>
            <w:tcW w:w="4300" w:type="dxa"/>
          </w:tcPr>
          <w:p>
            <w:pPr>
              <w:spacing w:after="0" w:line="360" w:lineRule="auto"/>
              <w:jc w:val="center"/>
              <w:rPr>
                <w:rFonts w:ascii="Arial" w:hAnsi="Arial" w:cs="Arial" w:eastAsiaTheme="minorHAnsi"/>
                <w:sz w:val="20"/>
                <w:szCs w:val="20"/>
                <w:lang w:eastAsia="en-US"/>
              </w:rPr>
            </w:pPr>
            <w:r>
              <w:rPr>
                <w:rFonts w:ascii="Arial" w:hAnsi="Arial" w:cs="Arial" w:eastAsiaTheme="minorHAnsi"/>
                <w:sz w:val="20"/>
                <w:szCs w:val="20"/>
                <w:lang w:eastAsia="en-US"/>
              </w:rPr>
              <w:t>0.526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3843" w:type="dxa"/>
          </w:tcPr>
          <w:p>
            <w:pPr>
              <w:spacing w:after="0" w:line="360" w:lineRule="auto"/>
              <w:jc w:val="center"/>
              <w:rPr>
                <w:rFonts w:ascii="Arial" w:hAnsi="Arial" w:cs="Arial" w:eastAsiaTheme="minorHAnsi"/>
                <w:sz w:val="20"/>
                <w:szCs w:val="20"/>
                <w:lang w:eastAsia="en-US"/>
              </w:rPr>
            </w:pPr>
            <w:r>
              <w:rPr>
                <w:rFonts w:ascii="Arial" w:hAnsi="Arial" w:cs="Arial" w:eastAsiaTheme="minorHAnsi"/>
                <w:sz w:val="20"/>
                <w:szCs w:val="20"/>
                <w:lang w:eastAsia="en-US"/>
              </w:rPr>
              <w:t>1.5</w:t>
            </w:r>
          </w:p>
        </w:tc>
        <w:tc>
          <w:tcPr>
            <w:tcW w:w="4300" w:type="dxa"/>
          </w:tcPr>
          <w:p>
            <w:pPr>
              <w:spacing w:after="0" w:line="360" w:lineRule="auto"/>
              <w:jc w:val="center"/>
              <w:rPr>
                <w:rFonts w:ascii="Arial" w:hAnsi="Arial" w:cs="Arial" w:eastAsiaTheme="minorHAnsi"/>
                <w:sz w:val="20"/>
                <w:szCs w:val="20"/>
                <w:lang w:eastAsia="en-US"/>
              </w:rPr>
            </w:pPr>
            <w:r>
              <w:rPr>
                <w:rFonts w:ascii="Arial" w:hAnsi="Arial" w:cs="Arial" w:eastAsiaTheme="minorHAnsi"/>
                <w:sz w:val="20"/>
                <w:szCs w:val="20"/>
                <w:lang w:eastAsia="en-US"/>
              </w:rPr>
              <w:t>0.698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3843" w:type="dxa"/>
          </w:tcPr>
          <w:p>
            <w:pPr>
              <w:spacing w:after="0" w:line="360" w:lineRule="auto"/>
              <w:jc w:val="center"/>
              <w:rPr>
                <w:rFonts w:ascii="Arial" w:hAnsi="Arial" w:cs="Arial" w:eastAsiaTheme="minorHAnsi"/>
                <w:sz w:val="20"/>
                <w:szCs w:val="20"/>
                <w:lang w:eastAsia="en-US"/>
              </w:rPr>
            </w:pPr>
            <w:r>
              <w:rPr>
                <w:rFonts w:ascii="Arial" w:hAnsi="Arial" w:cs="Arial" w:eastAsiaTheme="minorHAnsi"/>
                <w:sz w:val="20"/>
                <w:szCs w:val="20"/>
                <w:lang w:eastAsia="en-US"/>
              </w:rPr>
              <w:t>1.7</w:t>
            </w:r>
          </w:p>
        </w:tc>
        <w:tc>
          <w:tcPr>
            <w:tcW w:w="4300" w:type="dxa"/>
          </w:tcPr>
          <w:p>
            <w:pPr>
              <w:spacing w:after="0" w:line="360" w:lineRule="auto"/>
              <w:jc w:val="center"/>
              <w:rPr>
                <w:rFonts w:ascii="Arial" w:hAnsi="Arial" w:cs="Arial" w:eastAsiaTheme="minorHAnsi"/>
                <w:sz w:val="20"/>
                <w:szCs w:val="20"/>
                <w:lang w:eastAsia="en-US"/>
              </w:rPr>
            </w:pPr>
            <w:r>
              <w:rPr>
                <w:rFonts w:ascii="Arial" w:hAnsi="Arial" w:cs="Arial" w:eastAsiaTheme="minorHAnsi"/>
                <w:sz w:val="20"/>
                <w:szCs w:val="20"/>
                <w:lang w:eastAsia="en-US"/>
              </w:rPr>
              <w:t>0.534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3843" w:type="dxa"/>
          </w:tcPr>
          <w:p>
            <w:pPr>
              <w:spacing w:after="0" w:line="360" w:lineRule="auto"/>
              <w:jc w:val="center"/>
              <w:rPr>
                <w:rFonts w:ascii="Arial" w:hAnsi="Arial" w:cs="Arial" w:eastAsiaTheme="minorHAnsi"/>
                <w:sz w:val="20"/>
                <w:szCs w:val="20"/>
                <w:lang w:eastAsia="en-US"/>
              </w:rPr>
            </w:pPr>
            <w:r>
              <w:rPr>
                <w:rFonts w:ascii="Arial" w:hAnsi="Arial" w:cs="Arial" w:eastAsiaTheme="minorHAnsi"/>
                <w:sz w:val="20"/>
                <w:szCs w:val="20"/>
                <w:lang w:eastAsia="en-US"/>
              </w:rPr>
              <w:t>2.0</w:t>
            </w:r>
          </w:p>
        </w:tc>
        <w:tc>
          <w:tcPr>
            <w:tcW w:w="4300" w:type="dxa"/>
          </w:tcPr>
          <w:p>
            <w:pPr>
              <w:spacing w:after="0" w:line="360" w:lineRule="auto"/>
              <w:jc w:val="center"/>
              <w:rPr>
                <w:rFonts w:ascii="Arial" w:hAnsi="Arial" w:cs="Arial" w:eastAsiaTheme="minorHAnsi"/>
                <w:sz w:val="20"/>
                <w:szCs w:val="20"/>
                <w:lang w:eastAsia="en-US"/>
              </w:rPr>
            </w:pPr>
            <w:r>
              <w:rPr>
                <w:rFonts w:ascii="Arial" w:hAnsi="Arial" w:cs="Arial" w:eastAsiaTheme="minorHAnsi"/>
                <w:sz w:val="20"/>
                <w:szCs w:val="20"/>
                <w:lang w:eastAsia="en-US"/>
              </w:rPr>
              <w:t>0.507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" w:hRule="atLeast"/>
        </w:trPr>
        <w:tc>
          <w:tcPr>
            <w:tcW w:w="3843" w:type="dxa"/>
          </w:tcPr>
          <w:p>
            <w:pPr>
              <w:spacing w:after="0" w:line="360" w:lineRule="auto"/>
              <w:jc w:val="center"/>
              <w:rPr>
                <w:rFonts w:ascii="Arial" w:hAnsi="Arial" w:cs="Arial" w:eastAsiaTheme="minorHAnsi"/>
                <w:sz w:val="20"/>
                <w:szCs w:val="20"/>
                <w:lang w:eastAsia="en-US"/>
              </w:rPr>
            </w:pPr>
            <w:r>
              <w:rPr>
                <w:rFonts w:ascii="Arial" w:hAnsi="Arial" w:cs="Arial" w:eastAsiaTheme="minorHAnsi"/>
                <w:sz w:val="20"/>
                <w:szCs w:val="20"/>
                <w:lang w:eastAsia="en-US"/>
              </w:rPr>
              <w:t>2.5</w:t>
            </w:r>
          </w:p>
        </w:tc>
        <w:tc>
          <w:tcPr>
            <w:tcW w:w="4300" w:type="dxa"/>
          </w:tcPr>
          <w:p>
            <w:pPr>
              <w:spacing w:after="0" w:line="360" w:lineRule="auto"/>
              <w:jc w:val="center"/>
              <w:rPr>
                <w:rFonts w:ascii="Arial" w:hAnsi="Arial" w:cs="Arial" w:eastAsiaTheme="minorHAnsi"/>
                <w:sz w:val="20"/>
                <w:szCs w:val="20"/>
                <w:lang w:eastAsia="en-US"/>
              </w:rPr>
            </w:pPr>
            <w:r>
              <w:rPr>
                <w:rFonts w:ascii="Arial" w:hAnsi="Arial" w:cs="Arial" w:eastAsiaTheme="minorHAnsi"/>
                <w:sz w:val="20"/>
                <w:szCs w:val="20"/>
                <w:lang w:eastAsia="en-US"/>
              </w:rPr>
              <w:t>0.459</w:t>
            </w:r>
          </w:p>
        </w:tc>
      </w:tr>
    </w:tbl>
    <w:p>
      <w:pPr>
        <w:pStyle w:val="7"/>
        <w:spacing w:line="360" w:lineRule="auto"/>
        <w:jc w:val="both"/>
      </w:pPr>
      <w:r>
        <w:rPr>
          <w:b/>
        </w:rPr>
        <w:t>[Conditions:</w:t>
      </w:r>
      <w:r>
        <w:t xml:space="preserve"> Tin = 10 µg, 0.1% BHMF (in ethanol) = variable, HCl (1.0 M) = 1.0 mL, aqueous volume = solvent volume = 10 mL, solvent = variable, equilibration time = 30 sec., number of extraction = one, λ</w:t>
      </w:r>
      <w:r>
        <w:rPr>
          <w:vertAlign w:val="subscript"/>
        </w:rPr>
        <w:t>max</w:t>
      </w:r>
      <w:r>
        <w:t>= 434 nm.]</w:t>
      </w:r>
    </w:p>
    <w:p>
      <w:r>
        <w:br w:type="page"/>
      </w:r>
    </w:p>
    <w:p>
      <w:pPr>
        <w:pStyle w:val="7"/>
        <w:spacing w:line="360" w:lineRule="auto"/>
        <w:rPr>
          <w:b/>
          <w:highlight w:val="none"/>
        </w:rPr>
      </w:pPr>
      <w:r>
        <w:rPr>
          <w:b/>
          <w:highlight w:val="none"/>
        </w:rPr>
        <w:t>Table- S</w:t>
      </w:r>
      <w:r>
        <w:rPr>
          <w:rFonts w:hint="default"/>
          <w:b/>
          <w:highlight w:val="none"/>
          <w:lang w:val="en-IN"/>
        </w:rPr>
        <w:t>4</w:t>
      </w:r>
      <w:r>
        <w:rPr>
          <w:b/>
          <w:highlight w:val="none"/>
        </w:rPr>
        <w:t>. Use of various solvents for the extraction of complex Sn(II)-BHMF</w:t>
      </w:r>
    </w:p>
    <w:p>
      <w:pPr>
        <w:pStyle w:val="7"/>
        <w:tabs>
          <w:tab w:val="left" w:pos="1440"/>
        </w:tabs>
        <w:spacing w:line="360" w:lineRule="auto"/>
        <w:jc w:val="both"/>
        <w:rPr>
          <w:highlight w:val="none"/>
        </w:rPr>
      </w:pPr>
      <w:r>
        <w:rPr>
          <w:highlight w:val="none"/>
        </w:rPr>
        <w:object>
          <v:shape id="_x0000_i1026" o:spt="75" type="#_x0000_t75" style="height:283.15pt;width:429.75pt;" o:ole="t" filled="f" o:preferrelative="t" stroked="f" coordsize="21600,21600">
            <v:path/>
            <v:fill on="f" focussize="0,0"/>
            <v:stroke on="f" joinstyle="miter"/>
            <v:imagedata r:id="rId17" cropbottom="4627f" o:title=""/>
            <o:lock v:ext="edit" aspectratio="t"/>
            <w10:wrap type="none"/>
            <w10:anchorlock/>
          </v:shape>
          <o:OLEObject Type="Embed" ProgID="Word.Document.12" ShapeID="_x0000_i1026" DrawAspect="Content" ObjectID="_1468075726" r:id="rId16">
            <o:LockedField>false</o:LockedField>
          </o:OLEObject>
        </w:object>
      </w:r>
      <w:r>
        <w:rPr>
          <w:highlight w:val="none"/>
        </w:rPr>
        <w:t>[</w:t>
      </w:r>
      <w:r>
        <w:rPr>
          <w:b/>
          <w:highlight w:val="none"/>
        </w:rPr>
        <w:t>Conditions</w:t>
      </w:r>
      <w:r>
        <w:rPr>
          <w:highlight w:val="none"/>
        </w:rPr>
        <w:t>: Tin = 10 µg, 0.1% BHMF (in ethanol) = 1.5 mL, HCl (1.0 M) =1.0 mL, aqueous volume = solvent volume = 10 mL, solvent = various solvent, equilibration time = 30 sec, number of extraction = one, λ</w:t>
      </w:r>
      <w:r>
        <w:rPr>
          <w:highlight w:val="none"/>
          <w:vertAlign w:val="subscript"/>
        </w:rPr>
        <w:t xml:space="preserve"> </w:t>
      </w:r>
      <w:r>
        <w:rPr>
          <w:highlight w:val="none"/>
        </w:rPr>
        <w:t>= 434 nm.]</w:t>
      </w:r>
    </w:p>
    <w:p>
      <w:pPr>
        <w:rPr>
          <w:highlight w:val="none"/>
        </w:rPr>
      </w:pPr>
      <w:r>
        <w:rPr>
          <w:highlight w:val="none"/>
        </w:rPr>
        <w:br w:type="page"/>
      </w:r>
    </w:p>
    <w:p>
      <w:pPr>
        <w:pStyle w:val="7"/>
        <w:spacing w:line="360" w:lineRule="auto"/>
        <w:jc w:val="both"/>
        <w:rPr>
          <w:b/>
        </w:rPr>
      </w:pPr>
      <w:r>
        <w:rPr>
          <w:b/>
        </w:rPr>
        <w:t xml:space="preserve">Table </w:t>
      </w:r>
      <w:r>
        <w:rPr>
          <w:rFonts w:hint="default"/>
          <w:b/>
          <w:lang w:val="en-IN"/>
        </w:rPr>
        <w:t>S5</w:t>
      </w:r>
      <w:r>
        <w:rPr>
          <w:b/>
        </w:rPr>
        <w:t>- Dependence of absorbance of Sn(II)-BHMF complex on equilibration time(sec)</w:t>
      </w:r>
    </w:p>
    <w:tbl>
      <w:tblPr>
        <w:tblStyle w:val="6"/>
        <w:tblW w:w="0" w:type="auto"/>
        <w:tblInd w:w="28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27"/>
        <w:gridCol w:w="429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027" w:type="dxa"/>
          </w:tcPr>
          <w:p>
            <w:pPr>
              <w:pStyle w:val="7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</w:rPr>
              <w:t>Equilibration time (sec)</w:t>
            </w:r>
          </w:p>
        </w:tc>
        <w:tc>
          <w:tcPr>
            <w:tcW w:w="4297" w:type="dxa"/>
          </w:tcPr>
          <w:p>
            <w:pPr>
              <w:pStyle w:val="7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</w:rPr>
              <w:t>Absorbance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4027" w:type="dxa"/>
          </w:tcPr>
          <w:p>
            <w:pPr>
              <w:pStyle w:val="7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0.0</w:t>
            </w:r>
          </w:p>
        </w:tc>
        <w:tc>
          <w:tcPr>
            <w:tcW w:w="4297" w:type="dxa"/>
          </w:tcPr>
          <w:p>
            <w:pPr>
              <w:pStyle w:val="7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0.100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027" w:type="dxa"/>
          </w:tcPr>
          <w:p>
            <w:pPr>
              <w:pStyle w:val="7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4297" w:type="dxa"/>
          </w:tcPr>
          <w:p>
            <w:pPr>
              <w:pStyle w:val="7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0.420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027" w:type="dxa"/>
          </w:tcPr>
          <w:p>
            <w:pPr>
              <w:pStyle w:val="7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4297" w:type="dxa"/>
          </w:tcPr>
          <w:p>
            <w:pPr>
              <w:pStyle w:val="7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0.562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027" w:type="dxa"/>
          </w:tcPr>
          <w:p>
            <w:pPr>
              <w:pStyle w:val="7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4297" w:type="dxa"/>
          </w:tcPr>
          <w:p>
            <w:pPr>
              <w:pStyle w:val="7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0.698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027" w:type="dxa"/>
          </w:tcPr>
          <w:p>
            <w:pPr>
              <w:pStyle w:val="7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40</w:t>
            </w:r>
          </w:p>
        </w:tc>
        <w:tc>
          <w:tcPr>
            <w:tcW w:w="4297" w:type="dxa"/>
          </w:tcPr>
          <w:p>
            <w:pPr>
              <w:pStyle w:val="7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0.569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4027" w:type="dxa"/>
          </w:tcPr>
          <w:p>
            <w:pPr>
              <w:pStyle w:val="7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4297" w:type="dxa"/>
          </w:tcPr>
          <w:p>
            <w:pPr>
              <w:pStyle w:val="7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0.426</w:t>
            </w:r>
          </w:p>
        </w:tc>
      </w:tr>
    </w:tbl>
    <w:p>
      <w:pPr>
        <w:pStyle w:val="7"/>
        <w:spacing w:line="360" w:lineRule="auto"/>
        <w:jc w:val="both"/>
      </w:pPr>
      <w:r>
        <w:rPr>
          <w:b/>
        </w:rPr>
        <w:t>[Conditions:</w:t>
      </w:r>
      <w:r>
        <w:t xml:space="preserve"> Tin= 10 µg, 0.1% BHMF (in ethanol) =1.5 mL, HCl (1.0 M) = 1.0 mL, aqueous volume = solvent volume = 10 mL, solvent = dichloromethane (DCM), equilibration time = variable, number of extraction = one, λ</w:t>
      </w:r>
      <w:r>
        <w:rPr>
          <w:vertAlign w:val="subscript"/>
        </w:rPr>
        <w:t>max</w:t>
      </w:r>
      <w:r>
        <w:t>= 434 nm.]</w:t>
      </w:r>
    </w:p>
    <w:p>
      <w:pPr>
        <w:pStyle w:val="7"/>
        <w:spacing w:line="360" w:lineRule="auto"/>
        <w:jc w:val="both"/>
      </w:pPr>
    </w:p>
    <w:p>
      <w:pPr>
        <w:pStyle w:val="7"/>
        <w:spacing w:after="240"/>
        <w:jc w:val="center"/>
        <w:rPr>
          <w:b/>
          <w:bCs/>
        </w:rPr>
      </w:pPr>
      <w:r>
        <w:rPr>
          <w:b/>
          <w:bCs/>
        </w:rPr>
        <w:t>Table S</w:t>
      </w:r>
      <w:r>
        <w:rPr>
          <w:rFonts w:hint="default"/>
          <w:b/>
          <w:bCs/>
          <w:lang w:val="en-IN"/>
        </w:rPr>
        <w:t>6</w:t>
      </w:r>
      <w:r>
        <w:rPr>
          <w:b/>
          <w:bCs/>
        </w:rPr>
        <w:t xml:space="preserve"> – Absorbance values of Sn-BHMF complex at different concentration of tin(II)</w:t>
      </w:r>
    </w:p>
    <w:tbl>
      <w:tblPr>
        <w:tblStyle w:val="6"/>
        <w:tblW w:w="0" w:type="auto"/>
        <w:tblInd w:w="55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2"/>
        <w:gridCol w:w="442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72" w:type="dxa"/>
          </w:tcPr>
          <w:p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 w:eastAsiaTheme="minorHAnsi"/>
                <w:sz w:val="20"/>
                <w:szCs w:val="20"/>
                <w:lang w:eastAsia="en-US"/>
              </w:rPr>
            </w:pPr>
            <w:r>
              <w:rPr>
                <w:rFonts w:ascii="Arial" w:hAnsi="Arial" w:cs="Arial" w:eastAsiaTheme="minorHAnsi"/>
                <w:b/>
                <w:bCs/>
                <w:sz w:val="20"/>
                <w:szCs w:val="20"/>
                <w:lang w:eastAsia="en-US"/>
              </w:rPr>
              <w:t>Tin(II) (μg/ 10 mL)</w:t>
            </w:r>
          </w:p>
        </w:tc>
        <w:tc>
          <w:tcPr>
            <w:tcW w:w="4426" w:type="dxa"/>
          </w:tcPr>
          <w:p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 w:eastAsiaTheme="minorHAnsi"/>
                <w:b/>
                <w:sz w:val="20"/>
                <w:szCs w:val="20"/>
                <w:lang w:eastAsia="en-US"/>
              </w:rPr>
              <w:t>Absorbance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72" w:type="dxa"/>
          </w:tcPr>
          <w:p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 w:eastAsiaTheme="minorHAnsi"/>
                <w:sz w:val="20"/>
                <w:szCs w:val="20"/>
                <w:lang w:eastAsia="en-US"/>
              </w:rPr>
            </w:pPr>
            <w:r>
              <w:rPr>
                <w:rFonts w:ascii="Arial" w:hAnsi="Arial" w:cs="Arial"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4426" w:type="dxa"/>
          </w:tcPr>
          <w:p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 w:eastAsiaTheme="minorHAnsi"/>
                <w:sz w:val="20"/>
                <w:szCs w:val="20"/>
                <w:lang w:eastAsia="en-US"/>
              </w:rPr>
            </w:pPr>
            <w:r>
              <w:rPr>
                <w:rFonts w:ascii="Arial" w:hAnsi="Arial" w:cs="Arial" w:eastAsiaTheme="minorHAnsi"/>
                <w:sz w:val="20"/>
                <w:szCs w:val="20"/>
                <w:lang w:eastAsia="en-US"/>
              </w:rPr>
              <w:t>0.000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72" w:type="dxa"/>
          </w:tcPr>
          <w:p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 w:eastAsiaTheme="minorHAnsi"/>
                <w:sz w:val="20"/>
                <w:szCs w:val="20"/>
                <w:lang w:eastAsia="en-US"/>
              </w:rPr>
            </w:pPr>
            <w:r>
              <w:rPr>
                <w:rFonts w:ascii="Arial" w:hAnsi="Arial" w:cs="Arial"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26" w:type="dxa"/>
          </w:tcPr>
          <w:p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 w:eastAsiaTheme="minorHAnsi"/>
                <w:sz w:val="20"/>
                <w:szCs w:val="20"/>
                <w:lang w:eastAsia="en-US"/>
              </w:rPr>
            </w:pPr>
            <w:r>
              <w:rPr>
                <w:rFonts w:ascii="Arial" w:hAnsi="Arial" w:cs="Arial" w:eastAsiaTheme="minorHAnsi"/>
                <w:sz w:val="20"/>
                <w:szCs w:val="20"/>
                <w:lang w:eastAsia="en-US"/>
              </w:rPr>
              <w:t>0.091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72" w:type="dxa"/>
          </w:tcPr>
          <w:p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 w:eastAsiaTheme="minorHAnsi"/>
                <w:sz w:val="20"/>
                <w:szCs w:val="20"/>
                <w:lang w:eastAsia="en-US"/>
              </w:rPr>
            </w:pPr>
            <w:r>
              <w:rPr>
                <w:rFonts w:ascii="Arial" w:hAnsi="Arial" w:cs="Arial"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426" w:type="dxa"/>
          </w:tcPr>
          <w:p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 w:eastAsiaTheme="minorHAnsi"/>
                <w:sz w:val="20"/>
                <w:szCs w:val="20"/>
                <w:lang w:eastAsia="en-US"/>
              </w:rPr>
            </w:pPr>
            <w:r>
              <w:rPr>
                <w:rFonts w:ascii="Arial" w:hAnsi="Arial" w:cs="Arial" w:eastAsiaTheme="minorHAnsi"/>
                <w:sz w:val="20"/>
                <w:szCs w:val="20"/>
                <w:lang w:eastAsia="en-US"/>
              </w:rPr>
              <w:t>0.193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72" w:type="dxa"/>
          </w:tcPr>
          <w:p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 w:eastAsiaTheme="minorHAnsi"/>
                <w:sz w:val="20"/>
                <w:szCs w:val="20"/>
                <w:lang w:eastAsia="en-US"/>
              </w:rPr>
            </w:pPr>
            <w:r>
              <w:rPr>
                <w:rFonts w:ascii="Arial" w:hAnsi="Arial" w:cs="Arial" w:eastAsia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426" w:type="dxa"/>
          </w:tcPr>
          <w:p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 w:eastAsiaTheme="minorHAnsi"/>
                <w:sz w:val="20"/>
                <w:szCs w:val="20"/>
                <w:lang w:eastAsia="en-US"/>
              </w:rPr>
            </w:pPr>
            <w:r>
              <w:rPr>
                <w:rFonts w:ascii="Arial" w:hAnsi="Arial" w:cs="Arial" w:eastAsiaTheme="minorHAnsi"/>
                <w:sz w:val="20"/>
                <w:szCs w:val="20"/>
                <w:lang w:eastAsia="en-US"/>
              </w:rPr>
              <w:t>0.281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72" w:type="dxa"/>
          </w:tcPr>
          <w:p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 w:eastAsiaTheme="minorHAnsi"/>
                <w:sz w:val="20"/>
                <w:szCs w:val="20"/>
                <w:lang w:eastAsia="en-US"/>
              </w:rPr>
            </w:pPr>
            <w:r>
              <w:rPr>
                <w:rFonts w:ascii="Arial" w:hAnsi="Arial" w:cs="Arial" w:eastAsiaTheme="minorHAns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426" w:type="dxa"/>
          </w:tcPr>
          <w:p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 w:eastAsiaTheme="minorHAnsi"/>
                <w:sz w:val="20"/>
                <w:szCs w:val="20"/>
                <w:lang w:eastAsia="en-US"/>
              </w:rPr>
            </w:pPr>
            <w:r>
              <w:rPr>
                <w:rFonts w:ascii="Arial" w:hAnsi="Arial" w:cs="Arial" w:eastAsiaTheme="minorHAnsi"/>
                <w:sz w:val="20"/>
                <w:szCs w:val="20"/>
                <w:lang w:eastAsia="en-US"/>
              </w:rPr>
              <w:t>0.326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72" w:type="dxa"/>
          </w:tcPr>
          <w:p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 w:eastAsiaTheme="minorHAnsi"/>
                <w:sz w:val="20"/>
                <w:szCs w:val="20"/>
                <w:lang w:eastAsia="en-US"/>
              </w:rPr>
            </w:pPr>
            <w:r>
              <w:rPr>
                <w:rFonts w:ascii="Arial" w:hAnsi="Arial" w:cs="Arial" w:eastAsiaTheme="minorHAns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426" w:type="dxa"/>
          </w:tcPr>
          <w:p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 w:eastAsiaTheme="minorHAnsi"/>
                <w:sz w:val="20"/>
                <w:szCs w:val="20"/>
                <w:lang w:eastAsia="en-US"/>
              </w:rPr>
            </w:pPr>
            <w:r>
              <w:rPr>
                <w:rFonts w:ascii="Arial" w:hAnsi="Arial" w:cs="Arial" w:eastAsiaTheme="minorHAnsi"/>
                <w:sz w:val="20"/>
                <w:szCs w:val="20"/>
                <w:lang w:eastAsia="en-US"/>
              </w:rPr>
              <w:t>0.393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72" w:type="dxa"/>
          </w:tcPr>
          <w:p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 w:eastAsiaTheme="minorHAnsi"/>
                <w:sz w:val="20"/>
                <w:szCs w:val="20"/>
                <w:lang w:eastAsia="en-US"/>
              </w:rPr>
            </w:pPr>
            <w:r>
              <w:rPr>
                <w:rFonts w:ascii="Arial" w:hAnsi="Arial" w:cs="Arial" w:eastAsiaTheme="minorHAns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426" w:type="dxa"/>
          </w:tcPr>
          <w:p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 w:eastAsiaTheme="minorHAnsi"/>
                <w:sz w:val="20"/>
                <w:szCs w:val="20"/>
                <w:lang w:eastAsia="en-US"/>
              </w:rPr>
            </w:pPr>
            <w:r>
              <w:rPr>
                <w:rFonts w:ascii="Arial" w:hAnsi="Arial" w:cs="Arial" w:eastAsiaTheme="minorHAnsi"/>
                <w:sz w:val="20"/>
                <w:szCs w:val="20"/>
                <w:lang w:eastAsia="en-US"/>
              </w:rPr>
              <w:t>0.442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72" w:type="dxa"/>
          </w:tcPr>
          <w:p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 w:eastAsiaTheme="minorHAnsi"/>
                <w:sz w:val="20"/>
                <w:szCs w:val="20"/>
                <w:lang w:eastAsia="en-US"/>
              </w:rPr>
            </w:pPr>
            <w:r>
              <w:rPr>
                <w:rFonts w:ascii="Arial" w:hAnsi="Arial" w:cs="Arial"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426" w:type="dxa"/>
          </w:tcPr>
          <w:p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 w:eastAsiaTheme="minorHAnsi"/>
                <w:sz w:val="20"/>
                <w:szCs w:val="20"/>
                <w:lang w:eastAsia="en-US"/>
              </w:rPr>
            </w:pPr>
            <w:r>
              <w:rPr>
                <w:rFonts w:ascii="Arial" w:hAnsi="Arial" w:cs="Arial" w:eastAsiaTheme="minorHAnsi"/>
                <w:sz w:val="20"/>
                <w:szCs w:val="20"/>
                <w:lang w:eastAsia="en-US"/>
              </w:rPr>
              <w:t>0.481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72" w:type="dxa"/>
          </w:tcPr>
          <w:p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 w:eastAsiaTheme="minorHAnsi"/>
                <w:sz w:val="20"/>
                <w:szCs w:val="20"/>
                <w:lang w:eastAsia="en-US"/>
              </w:rPr>
            </w:pPr>
            <w:r>
              <w:rPr>
                <w:rFonts w:ascii="Arial" w:hAnsi="Arial" w:cs="Arial" w:eastAsiaTheme="minorHAns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426" w:type="dxa"/>
          </w:tcPr>
          <w:p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 w:eastAsiaTheme="minorHAnsi"/>
                <w:sz w:val="20"/>
                <w:szCs w:val="20"/>
                <w:lang w:eastAsia="en-US"/>
              </w:rPr>
            </w:pPr>
            <w:r>
              <w:rPr>
                <w:rFonts w:ascii="Arial" w:hAnsi="Arial" w:cs="Arial" w:eastAsiaTheme="minorHAnsi"/>
                <w:sz w:val="20"/>
                <w:szCs w:val="20"/>
                <w:lang w:eastAsia="en-US"/>
              </w:rPr>
              <w:t>0.531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72" w:type="dxa"/>
          </w:tcPr>
          <w:p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 w:eastAsiaTheme="minorHAnsi"/>
                <w:sz w:val="20"/>
                <w:szCs w:val="20"/>
                <w:lang w:eastAsia="en-US"/>
              </w:rPr>
            </w:pPr>
            <w:r>
              <w:rPr>
                <w:rFonts w:ascii="Arial" w:hAnsi="Arial" w:cs="Arial" w:eastAsiaTheme="minorHAns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4426" w:type="dxa"/>
          </w:tcPr>
          <w:p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 w:eastAsiaTheme="minorHAnsi"/>
                <w:sz w:val="20"/>
                <w:szCs w:val="20"/>
                <w:lang w:eastAsia="en-US"/>
              </w:rPr>
            </w:pPr>
            <w:r>
              <w:rPr>
                <w:rFonts w:ascii="Arial" w:hAnsi="Arial" w:cs="Arial" w:eastAsiaTheme="minorHAnsi"/>
                <w:sz w:val="20"/>
                <w:szCs w:val="20"/>
                <w:lang w:eastAsia="en-US"/>
              </w:rPr>
              <w:t>0.581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72" w:type="dxa"/>
          </w:tcPr>
          <w:p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 w:eastAsiaTheme="minorHAnsi"/>
                <w:sz w:val="20"/>
                <w:szCs w:val="20"/>
                <w:lang w:eastAsia="en-US"/>
              </w:rPr>
            </w:pPr>
            <w:r>
              <w:rPr>
                <w:rFonts w:ascii="Arial" w:hAnsi="Arial" w:cs="Arial" w:eastAsiaTheme="minorHAns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4426" w:type="dxa"/>
          </w:tcPr>
          <w:p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 w:eastAsiaTheme="minorHAnsi"/>
                <w:sz w:val="20"/>
                <w:szCs w:val="20"/>
                <w:lang w:eastAsia="en-US"/>
              </w:rPr>
            </w:pPr>
            <w:r>
              <w:rPr>
                <w:rFonts w:ascii="Arial" w:hAnsi="Arial" w:cs="Arial" w:eastAsiaTheme="minorHAnsi"/>
                <w:sz w:val="20"/>
                <w:szCs w:val="20"/>
                <w:lang w:eastAsia="en-US"/>
              </w:rPr>
              <w:t>0.632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72" w:type="dxa"/>
          </w:tcPr>
          <w:p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 w:eastAsiaTheme="minorHAnsi"/>
                <w:sz w:val="20"/>
                <w:szCs w:val="20"/>
                <w:lang w:eastAsia="en-US"/>
              </w:rPr>
            </w:pPr>
            <w:r>
              <w:rPr>
                <w:rFonts w:ascii="Arial" w:hAnsi="Arial" w:cs="Arial" w:eastAsiaTheme="minorHAnsi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426" w:type="dxa"/>
          </w:tcPr>
          <w:p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 w:eastAsiaTheme="minorHAnsi"/>
                <w:sz w:val="20"/>
                <w:szCs w:val="20"/>
                <w:lang w:eastAsia="en-US"/>
              </w:rPr>
            </w:pPr>
            <w:r>
              <w:rPr>
                <w:rFonts w:ascii="Arial" w:hAnsi="Arial" w:cs="Arial" w:eastAsiaTheme="minorHAnsi"/>
                <w:sz w:val="20"/>
                <w:szCs w:val="20"/>
                <w:lang w:eastAsia="en-US"/>
              </w:rPr>
              <w:t>0.661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72" w:type="dxa"/>
          </w:tcPr>
          <w:p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 w:eastAsiaTheme="minorHAnsi"/>
                <w:sz w:val="20"/>
                <w:szCs w:val="20"/>
                <w:lang w:eastAsia="en-US"/>
              </w:rPr>
            </w:pPr>
            <w:r>
              <w:rPr>
                <w:rFonts w:ascii="Arial" w:hAnsi="Arial" w:cs="Arial" w:eastAsiaTheme="minorHAns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4426" w:type="dxa"/>
          </w:tcPr>
          <w:p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 w:eastAsiaTheme="minorHAnsi"/>
                <w:sz w:val="20"/>
                <w:szCs w:val="20"/>
                <w:lang w:eastAsia="en-US"/>
              </w:rPr>
            </w:pPr>
            <w:r>
              <w:rPr>
                <w:rFonts w:ascii="Arial" w:hAnsi="Arial" w:cs="Arial" w:eastAsiaTheme="minorHAnsi"/>
                <w:sz w:val="20"/>
                <w:szCs w:val="20"/>
                <w:lang w:eastAsia="en-US"/>
              </w:rPr>
              <w:t>0.678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72" w:type="dxa"/>
          </w:tcPr>
          <w:p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 w:eastAsiaTheme="minorHAnsi"/>
                <w:sz w:val="20"/>
                <w:szCs w:val="20"/>
                <w:lang w:eastAsia="en-US"/>
              </w:rPr>
            </w:pPr>
            <w:r>
              <w:rPr>
                <w:rFonts w:ascii="Arial" w:hAnsi="Arial" w:cs="Arial" w:eastAsiaTheme="minorHAnsi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4426" w:type="dxa"/>
          </w:tcPr>
          <w:p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 w:eastAsiaTheme="minorHAnsi"/>
                <w:sz w:val="20"/>
                <w:szCs w:val="20"/>
                <w:lang w:eastAsia="en-US"/>
              </w:rPr>
            </w:pPr>
            <w:r>
              <w:rPr>
                <w:rFonts w:ascii="Arial" w:hAnsi="Arial" w:cs="Arial" w:eastAsiaTheme="minorHAnsi"/>
                <w:sz w:val="20"/>
                <w:szCs w:val="20"/>
                <w:lang w:eastAsia="en-US"/>
              </w:rPr>
              <w:t>0.689</w:t>
            </w:r>
          </w:p>
        </w:tc>
      </w:tr>
    </w:tbl>
    <w:p>
      <w:pPr>
        <w:pStyle w:val="7"/>
        <w:spacing w:line="360" w:lineRule="auto"/>
        <w:jc w:val="both"/>
      </w:pPr>
      <w:r>
        <w:rPr>
          <w:b/>
        </w:rPr>
        <w:t>[Conditions</w:t>
      </w:r>
      <w:r>
        <w:t>: Tin= variable, 0.1% BHMF (in ethanol) =1.5 mL, HCl (1.0 M) = 1.0 mL, aqueous volume = solvent volume = 10 mL, solvent = dichloromethane (DCM), equilibration time =30 sec, number of extraction = one, λ</w:t>
      </w:r>
      <w:r>
        <w:rPr>
          <w:vertAlign w:val="subscript"/>
        </w:rPr>
        <w:t>max</w:t>
      </w:r>
      <w:r>
        <w:t>= 434 nm.]</w:t>
      </w:r>
    </w:p>
    <w:p>
      <w:pPr>
        <w:pStyle w:val="7"/>
        <w:spacing w:line="360" w:lineRule="auto"/>
        <w:jc w:val="both"/>
      </w:pPr>
    </w:p>
    <w:p>
      <w:pPr>
        <w:pStyle w:val="7"/>
        <w:spacing w:line="360" w:lineRule="auto"/>
        <w:jc w:val="both"/>
      </w:pPr>
    </w:p>
    <w:p>
      <w:pPr>
        <w:pStyle w:val="7"/>
        <w:spacing w:line="360" w:lineRule="auto"/>
        <w:jc w:val="both"/>
      </w:pPr>
    </w:p>
    <w:p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</w:t>
      </w:r>
      <w:r>
        <w:rPr>
          <w:rFonts w:hint="default" w:ascii="Times New Roman" w:hAnsi="Times New Roman" w:cs="Times New Roman"/>
          <w:b/>
          <w:sz w:val="24"/>
          <w:szCs w:val="24"/>
          <w:lang w:val="en-IN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- Job’s method of continuous variations of Sn(II) and BHMF, absorbance at 390 nm and 434 nm </w:t>
      </w:r>
    </w:p>
    <w:p>
      <w:pPr>
        <w:pStyle w:val="7"/>
        <w:tabs>
          <w:tab w:val="left" w:pos="1440"/>
        </w:tabs>
        <w:spacing w:before="240" w:line="360" w:lineRule="auto"/>
        <w:jc w:val="both"/>
      </w:pPr>
      <w:r>
        <w:rPr>
          <w:b/>
          <w:bCs/>
        </w:rPr>
        <w:object>
          <v:shape id="_x0000_i1027" o:spt="75" type="#_x0000_t75" style="height:283.5pt;width:435.4pt;" o:ole="t" filled="f" o:preferrelative="t" stroked="f" coordsize="21600,21600">
            <v:path/>
            <v:fill on="f" focussize="0,0"/>
            <v:stroke on="f" joinstyle="miter"/>
            <v:imagedata r:id="rId19" cropbottom="4393f" o:title=""/>
            <o:lock v:ext="edit" aspectratio="t"/>
            <w10:wrap type="none"/>
            <w10:anchorlock/>
          </v:shape>
          <o:OLEObject Type="Embed" ProgID="Word.Document.12" ShapeID="_x0000_i1027" DrawAspect="Content" ObjectID="_1468075727" r:id="rId18">
            <o:LockedField>false</o:LockedField>
          </o:OLEObject>
        </w:object>
      </w:r>
      <w:r>
        <w:rPr>
          <w:b/>
          <w:bCs/>
        </w:rPr>
        <w:t>[</w:t>
      </w:r>
      <w:r>
        <w:rPr>
          <w:b/>
        </w:rPr>
        <w:t xml:space="preserve">Conditions: </w:t>
      </w:r>
      <w:r>
        <w:t>concentration of Sn(II)=8.425 × 10</w:t>
      </w:r>
      <w:r>
        <w:rPr>
          <w:vertAlign w:val="superscript"/>
        </w:rPr>
        <w:t>-4</w:t>
      </w:r>
      <w:r>
        <w:t xml:space="preserve"> M, concentration of reagents=8.425 × 10</w:t>
      </w:r>
      <w:r>
        <w:rPr>
          <w:vertAlign w:val="superscript"/>
        </w:rPr>
        <w:t>-4</w:t>
      </w:r>
      <w:r>
        <w:t xml:space="preserve"> M, solvent volume=10 mL, other conditions are same as in proposed method]</w:t>
      </w:r>
    </w:p>
    <w:p>
      <w:r>
        <w:br w:type="page"/>
      </w:r>
    </w:p>
    <w:p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hint="default" w:ascii="Times New Roman" w:hAnsi="Times New Roman" w:cs="Times New Roman"/>
          <w:b/>
          <w:sz w:val="24"/>
          <w:szCs w:val="24"/>
          <w:lang w:val="en-IN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8- Mole’s ratio method for the Sn(II)-BHMF complex</w:t>
      </w:r>
    </w:p>
    <w:p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object>
          <v:shape id="_x0000_i1028" o:spt="75" type="#_x0000_t75" style="height:236.65pt;width:433.9pt;" o:ole="t" filled="f" o:preferrelative="t" stroked="f" coordsize="21600,21600">
            <v:path/>
            <v:fill on="f" focussize="0,0"/>
            <v:stroke on="f" joinstyle="miter"/>
            <v:imagedata r:id="rId21" cropbottom="5464f" o:title=""/>
            <o:lock v:ext="edit" aspectratio="t"/>
            <w10:wrap type="none"/>
            <w10:anchorlock/>
          </v:shape>
          <o:OLEObject Type="Embed" ProgID="Word.Document.12" ShapeID="_x0000_i1028" DrawAspect="Content" ObjectID="_1468075728" r:id="rId20">
            <o:LockedField>false</o:LockedField>
          </o:OLEObject>
        </w:object>
      </w:r>
      <w:r>
        <w:rPr>
          <w:rFonts w:ascii="Times New Roman" w:hAnsi="Times New Roman" w:cs="Times New Roman"/>
          <w:b/>
          <w:sz w:val="24"/>
          <w:szCs w:val="24"/>
        </w:rPr>
        <w:t xml:space="preserve">[Conditions: </w:t>
      </w:r>
      <w:r>
        <w:rPr>
          <w:rFonts w:ascii="Times New Roman" w:hAnsi="Times New Roman" w:cs="Times New Roman"/>
          <w:sz w:val="24"/>
          <w:szCs w:val="24"/>
        </w:rPr>
        <w:t>concentration of Sn(II) = 4.213 × 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-4</w:t>
      </w:r>
      <w:r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concentration of reagents = 4.123 × 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-4</w:t>
      </w:r>
      <w:r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solvent volume = 10 mL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other conditions are same as in proposed method]</w:t>
      </w:r>
    </w:p>
    <w:p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hint="default" w:ascii="Times New Roman" w:hAnsi="Times New Roman" w:cs="Times New Roman"/>
          <w:b/>
          <w:sz w:val="24"/>
          <w:szCs w:val="24"/>
          <w:lang w:val="en-IN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9- Effect of various anions on the absorbance of Sn(II)-BHMF complex</w:t>
      </w:r>
    </w:p>
    <w:tbl>
      <w:tblPr>
        <w:tblStyle w:val="6"/>
        <w:tblW w:w="0" w:type="auto"/>
        <w:tblInd w:w="19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5"/>
        <w:gridCol w:w="2546"/>
        <w:gridCol w:w="309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2845" w:type="dxa"/>
          </w:tcPr>
          <w:p>
            <w:pPr>
              <w:spacing w:after="0" w:line="360" w:lineRule="auto"/>
              <w:rPr>
                <w:rFonts w:ascii="Times New Roman" w:hAnsi="Times New Roman" w:cs="Times New Roman"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sz w:val="24"/>
                <w:szCs w:val="24"/>
                <w:lang w:eastAsia="en-US"/>
              </w:rPr>
              <w:t>Anion added</w:t>
            </w:r>
          </w:p>
        </w:tc>
        <w:tc>
          <w:tcPr>
            <w:tcW w:w="2546" w:type="dxa"/>
          </w:tcPr>
          <w:p>
            <w:pPr>
              <w:spacing w:after="0" w:line="360" w:lineRule="auto"/>
              <w:jc w:val="center"/>
              <w:rPr>
                <w:rFonts w:ascii="Times New Roman" w:hAnsi="Times New Roman" w:cs="Times New Roman"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sz w:val="24"/>
                <w:szCs w:val="24"/>
                <w:lang w:eastAsia="en-US"/>
              </w:rPr>
              <w:t>Amount (mg/10 mL)</w:t>
            </w:r>
          </w:p>
        </w:tc>
        <w:tc>
          <w:tcPr>
            <w:tcW w:w="3090" w:type="dxa"/>
          </w:tcPr>
          <w:p>
            <w:pPr>
              <w:spacing w:after="0" w:line="360" w:lineRule="auto"/>
              <w:jc w:val="center"/>
              <w:rPr>
                <w:rFonts w:ascii="Times New Roman" w:hAnsi="Times New Roman" w:cs="Times New Roman"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sz w:val="24"/>
                <w:szCs w:val="24"/>
                <w:lang w:eastAsia="en-US"/>
              </w:rPr>
              <w:t>Absorbance at 434 nm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2845" w:type="dxa"/>
          </w:tcPr>
          <w:p>
            <w:pPr>
              <w:spacing w:after="0" w:line="36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Sodium Bromide</w:t>
            </w:r>
          </w:p>
        </w:tc>
        <w:tc>
          <w:tcPr>
            <w:tcW w:w="2546" w:type="dxa"/>
          </w:tcPr>
          <w:p>
            <w:pPr>
              <w:spacing w:after="0" w:line="36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100.0</w:t>
            </w:r>
          </w:p>
        </w:tc>
        <w:tc>
          <w:tcPr>
            <w:tcW w:w="3090" w:type="dxa"/>
          </w:tcPr>
          <w:p>
            <w:pPr>
              <w:spacing w:after="0" w:line="36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0.698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2845" w:type="dxa"/>
          </w:tcPr>
          <w:p>
            <w:pPr>
              <w:spacing w:after="0" w:line="36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Sodium Sulphate</w:t>
            </w:r>
          </w:p>
        </w:tc>
        <w:tc>
          <w:tcPr>
            <w:tcW w:w="2546" w:type="dxa"/>
          </w:tcPr>
          <w:p>
            <w:pPr>
              <w:spacing w:after="0" w:line="36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100.0</w:t>
            </w:r>
          </w:p>
        </w:tc>
        <w:tc>
          <w:tcPr>
            <w:tcW w:w="3090" w:type="dxa"/>
          </w:tcPr>
          <w:p>
            <w:pPr>
              <w:spacing w:after="0" w:line="36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0.698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845" w:type="dxa"/>
          </w:tcPr>
          <w:p>
            <w:pPr>
              <w:spacing w:after="0" w:line="36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Sodium Nitrate</w:t>
            </w:r>
          </w:p>
        </w:tc>
        <w:tc>
          <w:tcPr>
            <w:tcW w:w="2546" w:type="dxa"/>
          </w:tcPr>
          <w:p>
            <w:pPr>
              <w:spacing w:after="0" w:line="36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90.0</w:t>
            </w:r>
          </w:p>
        </w:tc>
        <w:tc>
          <w:tcPr>
            <w:tcW w:w="3090" w:type="dxa"/>
          </w:tcPr>
          <w:p>
            <w:pPr>
              <w:spacing w:after="0" w:line="36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0.698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2845" w:type="dxa"/>
          </w:tcPr>
          <w:p>
            <w:pPr>
              <w:spacing w:after="0" w:line="36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Sodium iodide</w:t>
            </w:r>
          </w:p>
        </w:tc>
        <w:tc>
          <w:tcPr>
            <w:tcW w:w="2546" w:type="dxa"/>
          </w:tcPr>
          <w:p>
            <w:pPr>
              <w:spacing w:after="0" w:line="36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80.0</w:t>
            </w:r>
          </w:p>
        </w:tc>
        <w:tc>
          <w:tcPr>
            <w:tcW w:w="3090" w:type="dxa"/>
          </w:tcPr>
          <w:p>
            <w:pPr>
              <w:spacing w:after="0" w:line="36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0.698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845" w:type="dxa"/>
          </w:tcPr>
          <w:p>
            <w:pPr>
              <w:spacing w:after="0" w:line="36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Sodium Tartate</w:t>
            </w:r>
          </w:p>
        </w:tc>
        <w:tc>
          <w:tcPr>
            <w:tcW w:w="2546" w:type="dxa"/>
          </w:tcPr>
          <w:p>
            <w:pPr>
              <w:spacing w:after="0" w:line="36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50.0</w:t>
            </w:r>
          </w:p>
        </w:tc>
        <w:tc>
          <w:tcPr>
            <w:tcW w:w="3090" w:type="dxa"/>
          </w:tcPr>
          <w:p>
            <w:pPr>
              <w:spacing w:after="0" w:line="36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0.698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2845" w:type="dxa"/>
          </w:tcPr>
          <w:p>
            <w:pPr>
              <w:spacing w:after="0" w:line="36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Sodium Citrate</w:t>
            </w:r>
          </w:p>
        </w:tc>
        <w:tc>
          <w:tcPr>
            <w:tcW w:w="2546" w:type="dxa"/>
          </w:tcPr>
          <w:p>
            <w:pPr>
              <w:spacing w:after="0" w:line="36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50.0</w:t>
            </w:r>
          </w:p>
        </w:tc>
        <w:tc>
          <w:tcPr>
            <w:tcW w:w="3090" w:type="dxa"/>
          </w:tcPr>
          <w:p>
            <w:pPr>
              <w:spacing w:after="0" w:line="36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0.698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845" w:type="dxa"/>
          </w:tcPr>
          <w:p>
            <w:pPr>
              <w:spacing w:after="0" w:line="36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Thiourea</w:t>
            </w:r>
          </w:p>
        </w:tc>
        <w:tc>
          <w:tcPr>
            <w:tcW w:w="2546" w:type="dxa"/>
          </w:tcPr>
          <w:p>
            <w:pPr>
              <w:spacing w:after="0" w:line="36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40.0</w:t>
            </w:r>
          </w:p>
        </w:tc>
        <w:tc>
          <w:tcPr>
            <w:tcW w:w="3090" w:type="dxa"/>
          </w:tcPr>
          <w:p>
            <w:pPr>
              <w:spacing w:after="0" w:line="36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0.698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2845" w:type="dxa"/>
          </w:tcPr>
          <w:p>
            <w:pPr>
              <w:spacing w:after="0" w:line="36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Sulphite</w:t>
            </w:r>
          </w:p>
        </w:tc>
        <w:tc>
          <w:tcPr>
            <w:tcW w:w="2546" w:type="dxa"/>
          </w:tcPr>
          <w:p>
            <w:pPr>
              <w:spacing w:after="0" w:line="36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30.0</w:t>
            </w:r>
          </w:p>
        </w:tc>
        <w:tc>
          <w:tcPr>
            <w:tcW w:w="3090" w:type="dxa"/>
          </w:tcPr>
          <w:p>
            <w:pPr>
              <w:spacing w:after="0" w:line="36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0.698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845" w:type="dxa"/>
          </w:tcPr>
          <w:p>
            <w:pPr>
              <w:spacing w:after="0" w:line="36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Ascorbic acid</w:t>
            </w:r>
          </w:p>
        </w:tc>
        <w:tc>
          <w:tcPr>
            <w:tcW w:w="2546" w:type="dxa"/>
          </w:tcPr>
          <w:p>
            <w:pPr>
              <w:spacing w:after="0" w:line="36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10.0</w:t>
            </w:r>
          </w:p>
        </w:tc>
        <w:tc>
          <w:tcPr>
            <w:tcW w:w="3090" w:type="dxa"/>
          </w:tcPr>
          <w:p>
            <w:pPr>
              <w:spacing w:after="0" w:line="36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0.698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2845" w:type="dxa"/>
          </w:tcPr>
          <w:p>
            <w:pPr>
              <w:spacing w:after="0" w:line="36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Acetate</w:t>
            </w:r>
          </w:p>
        </w:tc>
        <w:tc>
          <w:tcPr>
            <w:tcW w:w="2546" w:type="dxa"/>
          </w:tcPr>
          <w:p>
            <w:pPr>
              <w:spacing w:after="0" w:line="36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10.0</w:t>
            </w:r>
          </w:p>
        </w:tc>
        <w:tc>
          <w:tcPr>
            <w:tcW w:w="3090" w:type="dxa"/>
          </w:tcPr>
          <w:p>
            <w:pPr>
              <w:spacing w:after="0" w:line="36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0.698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845" w:type="dxa"/>
          </w:tcPr>
          <w:p>
            <w:pPr>
              <w:spacing w:after="0" w:line="36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Glycerol</w:t>
            </w:r>
          </w:p>
        </w:tc>
        <w:tc>
          <w:tcPr>
            <w:tcW w:w="2546" w:type="dxa"/>
          </w:tcPr>
          <w:p>
            <w:pPr>
              <w:spacing w:after="0" w:line="36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1.0 mL</w:t>
            </w:r>
          </w:p>
        </w:tc>
        <w:tc>
          <w:tcPr>
            <w:tcW w:w="3090" w:type="dxa"/>
          </w:tcPr>
          <w:p>
            <w:pPr>
              <w:spacing w:after="0" w:line="36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0.698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2845" w:type="dxa"/>
          </w:tcPr>
          <w:p>
            <w:pPr>
              <w:spacing w:after="0" w:line="36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H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vertAlign w:val="subscript"/>
                <w:lang w:eastAsia="en-US"/>
              </w:rPr>
              <w:t>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O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vertAlign w:val="subscript"/>
                <w:lang w:eastAsia="en-US"/>
              </w:rPr>
              <w:t xml:space="preserve">2 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(30% w/v)</w:t>
            </w:r>
          </w:p>
        </w:tc>
        <w:tc>
          <w:tcPr>
            <w:tcW w:w="2546" w:type="dxa"/>
          </w:tcPr>
          <w:p>
            <w:pPr>
              <w:spacing w:after="0" w:line="36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1.0 mL</w:t>
            </w:r>
          </w:p>
        </w:tc>
        <w:tc>
          <w:tcPr>
            <w:tcW w:w="3090" w:type="dxa"/>
          </w:tcPr>
          <w:p>
            <w:pPr>
              <w:spacing w:after="0" w:line="36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0.698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845" w:type="dxa"/>
          </w:tcPr>
          <w:p>
            <w:pPr>
              <w:spacing w:after="0" w:line="36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Sodium oxalate</w:t>
            </w:r>
          </w:p>
        </w:tc>
        <w:tc>
          <w:tcPr>
            <w:tcW w:w="2546" w:type="dxa"/>
          </w:tcPr>
          <w:p>
            <w:pPr>
              <w:spacing w:after="0" w:line="36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0.1</w:t>
            </w:r>
          </w:p>
        </w:tc>
        <w:tc>
          <w:tcPr>
            <w:tcW w:w="3090" w:type="dxa"/>
          </w:tcPr>
          <w:p>
            <w:pPr>
              <w:spacing w:after="0" w:line="36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0.347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845" w:type="dxa"/>
          </w:tcPr>
          <w:p>
            <w:pPr>
              <w:spacing w:after="0" w:line="36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Sodium Floride</w:t>
            </w:r>
          </w:p>
        </w:tc>
        <w:tc>
          <w:tcPr>
            <w:tcW w:w="2546" w:type="dxa"/>
          </w:tcPr>
          <w:p>
            <w:pPr>
              <w:spacing w:after="0" w:line="36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0.015</w:t>
            </w:r>
          </w:p>
        </w:tc>
        <w:tc>
          <w:tcPr>
            <w:tcW w:w="3090" w:type="dxa"/>
          </w:tcPr>
          <w:p>
            <w:pPr>
              <w:spacing w:after="0" w:line="36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0.312</w:t>
            </w:r>
          </w:p>
        </w:tc>
      </w:tr>
    </w:tbl>
    <w:p>
      <w:pPr>
        <w:pStyle w:val="7"/>
        <w:spacing w:line="360" w:lineRule="auto"/>
        <w:jc w:val="both"/>
      </w:pPr>
      <w:r>
        <w:rPr>
          <w:b/>
        </w:rPr>
        <w:t>[Conditions</w:t>
      </w:r>
      <w:r>
        <w:t>: Tin = 10 μg, 0.1% BHMF (in ethanol) =1.5 mL, HCl (1.0 M) = 1.0 mL, aqueous volume = solvent volume = 10 mL, solvent = dichloromethane (DCM), equilibration time = 30 sec, number of extraction = one, λ</w:t>
      </w:r>
      <w:r>
        <w:rPr>
          <w:vertAlign w:val="subscript"/>
        </w:rPr>
        <w:t>max</w:t>
      </w:r>
      <w:r>
        <w:t>= 434 nm.]</w:t>
      </w:r>
    </w:p>
    <w:p>
      <w:pPr>
        <w:pStyle w:val="7"/>
        <w:spacing w:line="360" w:lineRule="auto"/>
        <w:jc w:val="both"/>
      </w:pPr>
    </w:p>
    <w:p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Table-</w:t>
      </w:r>
      <w:r>
        <w:rPr>
          <w:rFonts w:hint="default" w:ascii="Times New Roman" w:hAnsi="Times New Roman" w:cs="Times New Roman"/>
          <w:b/>
          <w:sz w:val="24"/>
          <w:szCs w:val="24"/>
          <w:lang w:val="en-IN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10-Effect of different cations on the absorbance of Sn(II)-BHMF complex</w:t>
      </w:r>
    </w:p>
    <w:p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object>
          <v:shape id="_x0000_i1029" o:spt="75" type="#_x0000_t75" style="height:468pt;width:427.5pt;" o:ole="t" filled="f" o:preferrelative="t" stroked="f" coordsize="21600,21600">
            <v:path/>
            <v:fill on="f" focussize="0,0"/>
            <v:stroke on="f" joinstyle="miter"/>
            <v:imagedata r:id="rId23" o:title=""/>
            <o:lock v:ext="edit" aspectratio="t"/>
            <w10:wrap type="none"/>
            <w10:anchorlock/>
          </v:shape>
          <o:OLEObject Type="Embed" ProgID="Word.Document.12" ShapeID="_x0000_i1029" DrawAspect="Content" ObjectID="_1468075729" r:id="rId22">
            <o:LockedField>false</o:LockedField>
          </o:OLEObject>
        </w:objec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>
      <w:pPr>
        <w:pStyle w:val="7"/>
        <w:spacing w:line="360" w:lineRule="auto"/>
        <w:jc w:val="both"/>
      </w:pPr>
    </w:p>
    <w:p>
      <w:pPr>
        <w:jc w:val="center"/>
        <w:rPr>
          <w:b/>
          <w:bCs/>
          <w:i/>
          <w:iCs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yriadPro-Regular">
    <w:altName w:val="Arial"/>
    <w:panose1 w:val="00000000000000000000"/>
    <w:charset w:val="A1"/>
    <w:family w:val="swiss"/>
    <w:pitch w:val="default"/>
    <w:sig w:usb0="00000000" w:usb1="00000000" w:usb2="00000000" w:usb3="00000000" w:csb0="00000008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38140747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hideSpellingErrors/>
  <w:hideGrammaticalErrors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LCwNDU3NzI2NLcwtTRR0lEKTi0uzszPAykwqgUASyURaywAAAA="/>
  </w:docVars>
  <w:rsids>
    <w:rsidRoot w:val="000513EC"/>
    <w:rsid w:val="000513EC"/>
    <w:rsid w:val="0025393C"/>
    <w:rsid w:val="00291A1C"/>
    <w:rsid w:val="00292F8E"/>
    <w:rsid w:val="002F536F"/>
    <w:rsid w:val="00474484"/>
    <w:rsid w:val="004C40D1"/>
    <w:rsid w:val="005965CD"/>
    <w:rsid w:val="0062302A"/>
    <w:rsid w:val="0066386C"/>
    <w:rsid w:val="006C318C"/>
    <w:rsid w:val="006C6F8B"/>
    <w:rsid w:val="006F7113"/>
    <w:rsid w:val="00727610"/>
    <w:rsid w:val="007311E7"/>
    <w:rsid w:val="00791CED"/>
    <w:rsid w:val="00811699"/>
    <w:rsid w:val="008F29FC"/>
    <w:rsid w:val="009B4153"/>
    <w:rsid w:val="00AF6613"/>
    <w:rsid w:val="00B32409"/>
    <w:rsid w:val="00B3424F"/>
    <w:rsid w:val="00BB1B70"/>
    <w:rsid w:val="00D61185"/>
    <w:rsid w:val="00DB41A9"/>
    <w:rsid w:val="00DC3B55"/>
    <w:rsid w:val="00DD16E8"/>
    <w:rsid w:val="00F77BFE"/>
    <w:rsid w:val="00FC1953"/>
    <w:rsid w:val="26B66402"/>
    <w:rsid w:val="27654052"/>
    <w:rsid w:val="300A583C"/>
    <w:rsid w:val="354D5B85"/>
    <w:rsid w:val="671832C3"/>
    <w:rsid w:val="70165EBB"/>
    <w:rsid w:val="7E6C0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unhideWhenUsed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5">
    <w:name w:val="header"/>
    <w:basedOn w:val="1"/>
    <w:link w:val="8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table" w:styleId="6">
    <w:name w:val="Table Grid"/>
    <w:basedOn w:val="3"/>
    <w:qFormat/>
    <w:uiPriority w:val="59"/>
    <w:pPr>
      <w:spacing w:after="0" w:line="240" w:lineRule="auto"/>
    </w:pPr>
    <w:rPr>
      <w:rFonts w:eastAsiaTheme="minorHAnsi"/>
      <w:lang w:val="en-US" w:eastAsia="en-US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customStyle="1" w:styleId="7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en-US" w:eastAsia="en-US" w:bidi="ar-SA"/>
    </w:rPr>
  </w:style>
  <w:style w:type="character" w:customStyle="1" w:styleId="8">
    <w:name w:val="Header Char"/>
    <w:basedOn w:val="2"/>
    <w:link w:val="5"/>
    <w:qFormat/>
    <w:uiPriority w:val="99"/>
    <w:rPr>
      <w:lang w:val="en-US"/>
    </w:rPr>
  </w:style>
  <w:style w:type="character" w:customStyle="1" w:styleId="9">
    <w:name w:val="Footer Char"/>
    <w:basedOn w:val="2"/>
    <w:link w:val="4"/>
    <w:qFormat/>
    <w:uiPriority w:val="99"/>
    <w:rPr>
      <w:lang w:val="en-US"/>
    </w:rPr>
  </w:style>
  <w:style w:type="paragraph" w:styleId="10">
    <w:name w:val="No Spacing"/>
    <w:qFormat/>
    <w:uiPriority w:val="1"/>
    <w:pPr>
      <w:spacing w:line="360" w:lineRule="auto"/>
      <w:jc w:val="both"/>
    </w:pPr>
    <w:rPr>
      <w:rFonts w:ascii="Times New Roman" w:hAnsi="Times New Roman" w:eastAsia="SimSun" w:cs="Times New Roman"/>
      <w:sz w:val="22"/>
      <w:szCs w:val="22"/>
      <w:lang w:val="en-IN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4" Type="http://schemas.openxmlformats.org/officeDocument/2006/relationships/fontTable" Target="fontTable.xml"/><Relationship Id="rId23" Type="http://schemas.openxmlformats.org/officeDocument/2006/relationships/image" Target="media/image7.emf"/><Relationship Id="rId22" Type="http://schemas.openxmlformats.org/officeDocument/2006/relationships/package" Target="embeddings/Document4.docx"/><Relationship Id="rId21" Type="http://schemas.openxmlformats.org/officeDocument/2006/relationships/image" Target="media/image6.emf"/><Relationship Id="rId20" Type="http://schemas.openxmlformats.org/officeDocument/2006/relationships/package" Target="embeddings/Document3.docx"/><Relationship Id="rId2" Type="http://schemas.openxmlformats.org/officeDocument/2006/relationships/settings" Target="settings.xml"/><Relationship Id="rId19" Type="http://schemas.openxmlformats.org/officeDocument/2006/relationships/image" Target="media/image5.emf"/><Relationship Id="rId18" Type="http://schemas.openxmlformats.org/officeDocument/2006/relationships/package" Target="embeddings/Document2.docx"/><Relationship Id="rId17" Type="http://schemas.openxmlformats.org/officeDocument/2006/relationships/image" Target="media/image4.emf"/><Relationship Id="rId16" Type="http://schemas.openxmlformats.org/officeDocument/2006/relationships/package" Target="embeddings/Document1.docx"/><Relationship Id="rId15" Type="http://schemas.openxmlformats.org/officeDocument/2006/relationships/image" Target="media/image3.wmf"/><Relationship Id="rId14" Type="http://schemas.openxmlformats.org/officeDocument/2006/relationships/oleObject" Target="embeddings/oleObject1.bin"/><Relationship Id="rId13" Type="http://schemas.openxmlformats.org/officeDocument/2006/relationships/image" Target="media/image2.emf"/><Relationship Id="rId12" Type="http://schemas.openxmlformats.org/officeDocument/2006/relationships/image" Target="media/image1.emf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613</Words>
  <Characters>3495</Characters>
  <Lines>29</Lines>
  <Paragraphs>8</Paragraphs>
  <TotalTime>0</TotalTime>
  <ScaleCrop>false</ScaleCrop>
  <LinksUpToDate>false</LinksUpToDate>
  <CharactersWithSpaces>4100</CharactersWithSpaces>
  <Application>WPS Office_11.2.0.11417_F1E327BC-269C-435d-A152-05C5408002CA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2022-07-24T15:16:00Z</dcterms:created>
  <dc:creator>Briz Dablain</dc:creator>
  <cp:lastModifiedBy>Virendra Bhatti</cp:lastModifiedBy>
  <dcterms:modified xsi:type="dcterms:W3CDTF">2022-12-10T16:16:15Z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d2b551ff14b39db5f5840e3294f80316b7cb00c106c453c5f643c94eab8b25fd</vt:lpwstr>
  </property>
  <property fmtid="{D5CDD505-2E9C-101B-9397-08002B2CF9AE}" pid="3" name="KSOProductBuildVer">
    <vt:lpwstr>1033-11.2.0.11417</vt:lpwstr>
  </property>
  <property fmtid="{D5CDD505-2E9C-101B-9397-08002B2CF9AE}" pid="4" name="ICV">
    <vt:lpwstr>079F380040884BC1AF3A88A5F9D826E2</vt:lpwstr>
  </property>
</Properties>
</file>