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03"/>
        <w:gridCol w:w="537"/>
        <w:gridCol w:w="10603"/>
        <w:gridCol w:w="1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803" w:type="dxa"/>
            <w:tcBorders>
              <w:bottom w:val="double" w:color="000000" w:sz="0" w:space="0"/>
            </w:tcBorders>
            <w:shd w:val="clear" w:color="auto" w:fill="63639A"/>
          </w:tcPr>
          <w:p>
            <w:pPr>
              <w:pStyle w:val="11"/>
              <w:spacing w:before="196"/>
              <w:ind w:left="110"/>
              <w:rPr>
                <w:b/>
                <w:sz w:val="21"/>
              </w:rPr>
            </w:pPr>
            <w:r>
              <w:rPr>
                <w:b/>
                <w:color w:val="FFFFFF"/>
                <w:w w:val="105"/>
                <w:sz w:val="21"/>
              </w:rPr>
              <w:t>Section/topic</w:t>
            </w:r>
          </w:p>
        </w:tc>
        <w:tc>
          <w:tcPr>
            <w:tcW w:w="537" w:type="dxa"/>
            <w:tcBorders>
              <w:top w:val="double" w:color="000000" w:sz="0" w:space="0"/>
              <w:bottom w:val="double" w:color="000000" w:sz="0" w:space="0"/>
            </w:tcBorders>
            <w:shd w:val="clear" w:color="auto" w:fill="63639A"/>
          </w:tcPr>
          <w:p>
            <w:pPr>
              <w:pStyle w:val="11"/>
              <w:spacing w:before="196"/>
              <w:ind w:right="97"/>
              <w:jc w:val="right"/>
              <w:rPr>
                <w:b/>
                <w:sz w:val="21"/>
              </w:rPr>
            </w:pPr>
            <w:r>
              <w:rPr>
                <w:b/>
                <w:color w:val="FFFFFF"/>
                <w:w w:val="102"/>
                <w:sz w:val="21"/>
              </w:rPr>
              <w:t>#</w:t>
            </w:r>
          </w:p>
        </w:tc>
        <w:tc>
          <w:tcPr>
            <w:tcW w:w="10603" w:type="dxa"/>
            <w:tcBorders>
              <w:top w:val="double" w:color="000000" w:sz="0" w:space="0"/>
              <w:bottom w:val="double" w:color="000000" w:sz="0" w:space="0"/>
            </w:tcBorders>
            <w:shd w:val="clear" w:color="auto" w:fill="63639A"/>
          </w:tcPr>
          <w:p>
            <w:pPr>
              <w:pStyle w:val="11"/>
              <w:spacing w:before="196"/>
              <w:ind w:left="110"/>
              <w:rPr>
                <w:b/>
                <w:sz w:val="21"/>
              </w:rPr>
            </w:pPr>
            <w:r>
              <w:rPr>
                <w:b/>
                <w:color w:val="FFFFFF"/>
                <w:w w:val="105"/>
                <w:sz w:val="21"/>
              </w:rPr>
              <w:t>Checklist item</w:t>
            </w:r>
          </w:p>
        </w:tc>
        <w:tc>
          <w:tcPr>
            <w:tcW w:w="1257" w:type="dxa"/>
            <w:tcBorders>
              <w:top w:val="double" w:color="000000" w:sz="0" w:space="0"/>
              <w:bottom w:val="double" w:color="000000" w:sz="0" w:space="0"/>
            </w:tcBorders>
            <w:shd w:val="clear" w:color="auto" w:fill="63639A"/>
          </w:tcPr>
          <w:p>
            <w:pPr>
              <w:pStyle w:val="11"/>
              <w:spacing w:before="71" w:line="252" w:lineRule="auto"/>
              <w:ind w:left="106"/>
              <w:rPr>
                <w:b/>
                <w:sz w:val="21"/>
              </w:rPr>
            </w:pPr>
            <w:r>
              <w:rPr>
                <w:b/>
                <w:color w:val="FFFFFF"/>
                <w:w w:val="105"/>
                <w:sz w:val="21"/>
              </w:rPr>
              <w:t>Reported on page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3943" w:type="dxa"/>
            <w:gridSpan w:val="3"/>
            <w:tcBorders>
              <w:top w:val="double" w:color="000000" w:sz="0" w:space="0"/>
            </w:tcBorders>
            <w:shd w:val="clear" w:color="auto" w:fill="FFFFCC"/>
          </w:tcPr>
          <w:p>
            <w:pPr>
              <w:pStyle w:val="11"/>
              <w:spacing w:before="33"/>
              <w:ind w:left="110"/>
              <w:rPr>
                <w:b/>
                <w:sz w:val="21"/>
              </w:rPr>
            </w:pPr>
            <w:r>
              <w:rPr>
                <w:b/>
                <w:w w:val="105"/>
                <w:sz w:val="21"/>
              </w:rPr>
              <w:t>TITLE</w:t>
            </w:r>
          </w:p>
        </w:tc>
        <w:tc>
          <w:tcPr>
            <w:tcW w:w="1257" w:type="dxa"/>
            <w:tcBorders>
              <w:top w:val="double" w:color="000000" w:sz="0" w:space="0"/>
            </w:tcBorders>
            <w:shd w:val="clear" w:color="auto" w:fill="FFFFCC"/>
          </w:tcPr>
          <w:p>
            <w:pPr>
              <w:pStyle w:val="11"/>
              <w:spacing w:before="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803" w:type="dxa"/>
            <w:tcBorders>
              <w:bottom w:val="double" w:color="000000" w:sz="0" w:space="0"/>
            </w:tcBorders>
          </w:tcPr>
          <w:p>
            <w:pPr>
              <w:pStyle w:val="11"/>
              <w:ind w:left="110"/>
              <w:rPr>
                <w:sz w:val="19"/>
              </w:rPr>
            </w:pPr>
            <w:r>
              <w:rPr>
                <w:w w:val="105"/>
                <w:sz w:val="19"/>
              </w:rPr>
              <w:t>Title</w:t>
            </w:r>
          </w:p>
        </w:tc>
        <w:tc>
          <w:tcPr>
            <w:tcW w:w="537" w:type="dxa"/>
            <w:tcBorders>
              <w:bottom w:val="double" w:color="000000" w:sz="0" w:space="0"/>
            </w:tcBorders>
          </w:tcPr>
          <w:p>
            <w:pPr>
              <w:pStyle w:val="11"/>
              <w:ind w:right="97"/>
              <w:jc w:val="right"/>
              <w:rPr>
                <w:sz w:val="19"/>
              </w:rPr>
            </w:pPr>
            <w:r>
              <w:rPr>
                <w:w w:val="103"/>
                <w:sz w:val="19"/>
              </w:rPr>
              <w:t>1</w:t>
            </w:r>
          </w:p>
        </w:tc>
        <w:tc>
          <w:tcPr>
            <w:tcW w:w="10603" w:type="dxa"/>
            <w:tcBorders>
              <w:bottom w:val="double" w:color="000000" w:sz="0" w:space="0"/>
            </w:tcBorders>
          </w:tcPr>
          <w:p>
            <w:pPr>
              <w:pStyle w:val="11"/>
              <w:ind w:left="110"/>
              <w:rPr>
                <w:rFonts w:eastAsia="宋体"/>
                <w:sz w:val="19"/>
                <w:lang w:eastAsia="zh-CN"/>
              </w:rPr>
            </w:pPr>
            <w:r>
              <w:rPr>
                <w:rFonts w:hint="eastAsia"/>
                <w:sz w:val="19"/>
              </w:rPr>
              <w:t>The report is identified as a meta-analysis</w:t>
            </w:r>
            <w:r>
              <w:rPr>
                <w:rFonts w:hint="eastAsia" w:eastAsia="宋体"/>
                <w:sz w:val="19"/>
                <w:lang w:eastAsia="zh-CN"/>
              </w:rPr>
              <w:t>.</w:t>
            </w:r>
          </w:p>
        </w:tc>
        <w:tc>
          <w:tcPr>
            <w:tcW w:w="1257" w:type="dxa"/>
            <w:tcBorders>
              <w:bottom w:val="double" w:color="000000" w:sz="0" w:space="0"/>
            </w:tcBorders>
          </w:tcPr>
          <w:p>
            <w:pPr>
              <w:pStyle w:val="11"/>
              <w:spacing w:before="0"/>
              <w:ind w:firstLine="540" w:firstLineChars="300"/>
              <w:rPr>
                <w:rFonts w:ascii="Times New Roman" w:eastAsiaTheme="minorEastAsia"/>
                <w:sz w:val="18"/>
                <w:lang w:eastAsia="zh-CN"/>
              </w:rPr>
            </w:pPr>
            <w:r>
              <w:rPr>
                <w:rFonts w:hint="eastAsia" w:ascii="Times New Roman" w:eastAsiaTheme="minorEastAsia"/>
                <w:sz w:val="18"/>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943" w:type="dxa"/>
            <w:gridSpan w:val="3"/>
            <w:tcBorders>
              <w:top w:val="double" w:color="000000" w:sz="0" w:space="0"/>
            </w:tcBorders>
            <w:shd w:val="clear" w:color="auto" w:fill="FFFFCC"/>
          </w:tcPr>
          <w:p>
            <w:pPr>
              <w:pStyle w:val="11"/>
              <w:spacing w:before="33"/>
              <w:ind w:left="110"/>
              <w:rPr>
                <w:b/>
                <w:sz w:val="21"/>
              </w:rPr>
            </w:pPr>
            <w:r>
              <w:rPr>
                <w:b/>
                <w:w w:val="105"/>
                <w:sz w:val="21"/>
              </w:rPr>
              <w:t>ABSTRACT</w:t>
            </w:r>
          </w:p>
        </w:tc>
        <w:tc>
          <w:tcPr>
            <w:tcW w:w="1257" w:type="dxa"/>
            <w:tcBorders>
              <w:top w:val="double" w:color="000000" w:sz="0" w:space="0"/>
            </w:tcBorders>
            <w:shd w:val="clear" w:color="auto" w:fill="FFFFCC"/>
          </w:tcPr>
          <w:p>
            <w:pPr>
              <w:pStyle w:val="11"/>
              <w:spacing w:before="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2803" w:type="dxa"/>
            <w:tcBorders>
              <w:bottom w:val="double" w:color="000000" w:sz="0" w:space="0"/>
            </w:tcBorders>
          </w:tcPr>
          <w:p>
            <w:pPr>
              <w:pStyle w:val="11"/>
              <w:ind w:left="110"/>
              <w:rPr>
                <w:sz w:val="19"/>
              </w:rPr>
            </w:pPr>
            <w:r>
              <w:rPr>
                <w:w w:val="105"/>
                <w:sz w:val="19"/>
              </w:rPr>
              <w:t>Structured summary</w:t>
            </w:r>
          </w:p>
        </w:tc>
        <w:tc>
          <w:tcPr>
            <w:tcW w:w="537" w:type="dxa"/>
            <w:tcBorders>
              <w:bottom w:val="double" w:color="000000" w:sz="0" w:space="0"/>
            </w:tcBorders>
          </w:tcPr>
          <w:p>
            <w:pPr>
              <w:pStyle w:val="11"/>
              <w:ind w:right="97"/>
              <w:jc w:val="right"/>
              <w:rPr>
                <w:sz w:val="19"/>
              </w:rPr>
            </w:pPr>
            <w:r>
              <w:rPr>
                <w:w w:val="103"/>
                <w:sz w:val="19"/>
              </w:rPr>
              <w:t>2</w:t>
            </w:r>
          </w:p>
        </w:tc>
        <w:tc>
          <w:tcPr>
            <w:tcW w:w="10603" w:type="dxa"/>
            <w:tcBorders>
              <w:bottom w:val="double" w:color="000000" w:sz="0" w:space="0"/>
            </w:tcBorders>
          </w:tcPr>
          <w:p>
            <w:pPr>
              <w:pStyle w:val="11"/>
              <w:spacing w:line="252" w:lineRule="auto"/>
              <w:ind w:left="110" w:right="101"/>
              <w:rPr>
                <w:sz w:val="19"/>
              </w:rPr>
            </w:pPr>
            <w:r>
              <w:rPr>
                <w:rFonts w:hint="eastAsia" w:eastAsia="宋体"/>
                <w:sz w:val="19"/>
                <w:lang w:eastAsia="zh-CN"/>
              </w:rPr>
              <w:t>The structured abstract includes Background, Methods, Results,Conclusion and Keywords.</w:t>
            </w:r>
          </w:p>
        </w:tc>
        <w:tc>
          <w:tcPr>
            <w:tcW w:w="1257" w:type="dxa"/>
            <w:tcBorders>
              <w:bottom w:val="double" w:color="000000" w:sz="0" w:space="0"/>
            </w:tcBorders>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3943" w:type="dxa"/>
            <w:gridSpan w:val="3"/>
            <w:tcBorders>
              <w:top w:val="double" w:color="000000" w:sz="0" w:space="0"/>
            </w:tcBorders>
            <w:shd w:val="clear" w:color="auto" w:fill="FFFFCC"/>
          </w:tcPr>
          <w:p>
            <w:pPr>
              <w:pStyle w:val="11"/>
              <w:spacing w:before="33"/>
              <w:ind w:left="110"/>
              <w:rPr>
                <w:b/>
                <w:sz w:val="21"/>
              </w:rPr>
            </w:pPr>
            <w:r>
              <w:rPr>
                <w:b/>
                <w:w w:val="105"/>
                <w:sz w:val="21"/>
              </w:rPr>
              <w:t>INTRODUCTION</w:t>
            </w:r>
          </w:p>
        </w:tc>
        <w:tc>
          <w:tcPr>
            <w:tcW w:w="1257" w:type="dxa"/>
            <w:tcBorders>
              <w:top w:val="double" w:color="000000" w:sz="0" w:space="0"/>
            </w:tcBorders>
            <w:shd w:val="clear" w:color="auto" w:fill="FFFFCC"/>
          </w:tcPr>
          <w:p>
            <w:pPr>
              <w:pStyle w:val="11"/>
              <w:spacing w:before="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2803" w:type="dxa"/>
          </w:tcPr>
          <w:p>
            <w:pPr>
              <w:pStyle w:val="11"/>
              <w:spacing w:before="28"/>
              <w:ind w:left="110"/>
              <w:rPr>
                <w:sz w:val="19"/>
              </w:rPr>
            </w:pPr>
            <w:r>
              <w:rPr>
                <w:w w:val="105"/>
                <w:sz w:val="19"/>
              </w:rPr>
              <w:t>Rationale</w:t>
            </w:r>
          </w:p>
        </w:tc>
        <w:tc>
          <w:tcPr>
            <w:tcW w:w="537" w:type="dxa"/>
          </w:tcPr>
          <w:p>
            <w:pPr>
              <w:pStyle w:val="11"/>
              <w:spacing w:before="28"/>
              <w:ind w:right="97"/>
              <w:jc w:val="right"/>
              <w:rPr>
                <w:sz w:val="19"/>
              </w:rPr>
            </w:pPr>
            <w:r>
              <w:rPr>
                <w:w w:val="103"/>
                <w:sz w:val="19"/>
              </w:rPr>
              <w:t>3</w:t>
            </w:r>
          </w:p>
        </w:tc>
        <w:tc>
          <w:tcPr>
            <w:tcW w:w="10603" w:type="dxa"/>
          </w:tcPr>
          <w:p>
            <w:pPr>
              <w:pStyle w:val="11"/>
              <w:spacing w:before="28"/>
              <w:ind w:firstLine="190" w:firstLineChars="100"/>
              <w:rPr>
                <w:rFonts w:eastAsia="宋体"/>
                <w:sz w:val="19"/>
                <w:lang w:eastAsia="zh-CN"/>
              </w:rPr>
            </w:pPr>
            <w:r>
              <w:rPr>
                <w:rFonts w:hint="eastAsia" w:eastAsia="宋体"/>
                <w:sz w:val="19"/>
                <w:lang w:eastAsia="zh-CN"/>
              </w:rPr>
              <w:t>Described in the background.</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803" w:type="dxa"/>
            <w:tcBorders>
              <w:bottom w:val="double" w:color="000000" w:sz="0" w:space="0"/>
            </w:tcBorders>
          </w:tcPr>
          <w:p>
            <w:pPr>
              <w:pStyle w:val="11"/>
              <w:ind w:left="110"/>
              <w:rPr>
                <w:sz w:val="19"/>
              </w:rPr>
            </w:pPr>
            <w:r>
              <w:rPr>
                <w:w w:val="105"/>
                <w:sz w:val="19"/>
              </w:rPr>
              <w:t>Objectives</w:t>
            </w:r>
          </w:p>
        </w:tc>
        <w:tc>
          <w:tcPr>
            <w:tcW w:w="537" w:type="dxa"/>
            <w:tcBorders>
              <w:bottom w:val="double" w:color="000000" w:sz="0" w:space="0"/>
            </w:tcBorders>
          </w:tcPr>
          <w:p>
            <w:pPr>
              <w:pStyle w:val="11"/>
              <w:ind w:right="97"/>
              <w:jc w:val="right"/>
              <w:rPr>
                <w:sz w:val="19"/>
              </w:rPr>
            </w:pPr>
            <w:r>
              <w:rPr>
                <w:w w:val="103"/>
                <w:sz w:val="19"/>
              </w:rPr>
              <w:t>4</w:t>
            </w:r>
          </w:p>
        </w:tc>
        <w:tc>
          <w:tcPr>
            <w:tcW w:w="10603" w:type="dxa"/>
            <w:tcBorders>
              <w:bottom w:val="double" w:color="000000" w:sz="0" w:space="0"/>
            </w:tcBorders>
          </w:tcPr>
          <w:p>
            <w:pPr>
              <w:pStyle w:val="11"/>
              <w:spacing w:line="252" w:lineRule="auto"/>
              <w:rPr>
                <w:rFonts w:eastAsia="宋体"/>
                <w:sz w:val="19"/>
                <w:lang w:eastAsia="zh-CN"/>
              </w:rPr>
            </w:pPr>
            <w:r>
              <w:rPr>
                <w:rFonts w:hint="eastAsia" w:eastAsia="宋体"/>
                <w:sz w:val="19"/>
                <w:lang w:eastAsia="zh-CN"/>
              </w:rPr>
              <w:t xml:space="preserve">   Stated in the background.</w:t>
            </w:r>
          </w:p>
        </w:tc>
        <w:tc>
          <w:tcPr>
            <w:tcW w:w="1257" w:type="dxa"/>
            <w:tcBorders>
              <w:bottom w:val="double" w:color="000000" w:sz="0" w:space="0"/>
            </w:tcBorders>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943" w:type="dxa"/>
            <w:gridSpan w:val="3"/>
            <w:tcBorders>
              <w:top w:val="double" w:color="000000" w:sz="0" w:space="0"/>
            </w:tcBorders>
            <w:shd w:val="clear" w:color="auto" w:fill="FFFFCC"/>
          </w:tcPr>
          <w:p>
            <w:pPr>
              <w:pStyle w:val="11"/>
              <w:spacing w:before="33"/>
              <w:ind w:left="110"/>
              <w:rPr>
                <w:b/>
                <w:sz w:val="21"/>
              </w:rPr>
            </w:pPr>
            <w:r>
              <w:rPr>
                <w:b/>
                <w:w w:val="105"/>
                <w:sz w:val="21"/>
              </w:rPr>
              <w:t>METHODS</w:t>
            </w:r>
          </w:p>
        </w:tc>
        <w:tc>
          <w:tcPr>
            <w:tcW w:w="1257" w:type="dxa"/>
            <w:tcBorders>
              <w:top w:val="double" w:color="000000" w:sz="0" w:space="0"/>
            </w:tcBorders>
            <w:shd w:val="clear" w:color="auto" w:fill="FFFFCC"/>
          </w:tcPr>
          <w:p>
            <w:pPr>
              <w:pStyle w:val="11"/>
              <w:spacing w:before="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ind w:left="110"/>
              <w:rPr>
                <w:sz w:val="19"/>
              </w:rPr>
            </w:pPr>
            <w:r>
              <w:rPr>
                <w:w w:val="105"/>
                <w:sz w:val="19"/>
              </w:rPr>
              <w:t>Protocol and registration</w:t>
            </w:r>
          </w:p>
        </w:tc>
        <w:tc>
          <w:tcPr>
            <w:tcW w:w="537" w:type="dxa"/>
          </w:tcPr>
          <w:p>
            <w:pPr>
              <w:pStyle w:val="11"/>
              <w:ind w:right="97"/>
              <w:jc w:val="right"/>
              <w:rPr>
                <w:sz w:val="19"/>
              </w:rPr>
            </w:pPr>
            <w:r>
              <w:rPr>
                <w:w w:val="103"/>
                <w:sz w:val="19"/>
              </w:rPr>
              <w:t>5</w:t>
            </w:r>
          </w:p>
        </w:tc>
        <w:tc>
          <w:tcPr>
            <w:tcW w:w="10603" w:type="dxa"/>
          </w:tcPr>
          <w:p>
            <w:pPr>
              <w:pStyle w:val="11"/>
              <w:spacing w:line="252" w:lineRule="auto"/>
              <w:ind w:left="110"/>
              <w:rPr>
                <w:rFonts w:hint="eastAsia" w:eastAsia="宋体"/>
                <w:sz w:val="19"/>
                <w:lang w:val="en-US" w:eastAsia="zh-CN"/>
              </w:rPr>
            </w:pPr>
            <w:r>
              <w:rPr>
                <w:rFonts w:hint="eastAsia"/>
                <w:sz w:val="19"/>
              </w:rPr>
              <w:t>The protocol is described in the Methods. Registration does not apply</w:t>
            </w:r>
            <w:r>
              <w:rPr>
                <w:rFonts w:hint="eastAsia" w:eastAsia="宋体"/>
                <w:sz w:val="19"/>
                <w:lang w:val="en-US" w:eastAsia="zh-CN"/>
              </w:rPr>
              <w:t>.</w:t>
            </w:r>
          </w:p>
        </w:tc>
        <w:tc>
          <w:tcPr>
            <w:tcW w:w="1257" w:type="dxa"/>
          </w:tcPr>
          <w:p>
            <w:pPr>
              <w:pStyle w:val="11"/>
              <w:spacing w:before="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ind w:left="110"/>
              <w:rPr>
                <w:sz w:val="19"/>
              </w:rPr>
            </w:pPr>
            <w:r>
              <w:rPr>
                <w:w w:val="105"/>
                <w:sz w:val="19"/>
              </w:rPr>
              <w:t>Eligibility criteria</w:t>
            </w:r>
          </w:p>
        </w:tc>
        <w:tc>
          <w:tcPr>
            <w:tcW w:w="537" w:type="dxa"/>
          </w:tcPr>
          <w:p>
            <w:pPr>
              <w:pStyle w:val="11"/>
              <w:ind w:right="97"/>
              <w:jc w:val="right"/>
              <w:rPr>
                <w:sz w:val="19"/>
              </w:rPr>
            </w:pPr>
            <w:r>
              <w:rPr>
                <w:w w:val="103"/>
                <w:sz w:val="19"/>
              </w:rPr>
              <w:t>6</w:t>
            </w:r>
          </w:p>
        </w:tc>
        <w:tc>
          <w:tcPr>
            <w:tcW w:w="10603" w:type="dxa"/>
          </w:tcPr>
          <w:p>
            <w:pPr>
              <w:pStyle w:val="11"/>
              <w:spacing w:before="35" w:line="252" w:lineRule="auto"/>
              <w:ind w:left="110"/>
            </w:pPr>
            <w:r>
              <w:rPr>
                <w:sz w:val="19"/>
              </w:rPr>
              <w:t>Randomized controlled trials of adults undergoing general anesthesia and used dexmedetomidine or esmolol as hypotensive drug were included.</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ind w:left="110"/>
              <w:rPr>
                <w:sz w:val="19"/>
              </w:rPr>
            </w:pPr>
            <w:r>
              <w:rPr>
                <w:w w:val="105"/>
                <w:sz w:val="19"/>
              </w:rPr>
              <w:t>Information sources</w:t>
            </w:r>
          </w:p>
        </w:tc>
        <w:tc>
          <w:tcPr>
            <w:tcW w:w="537" w:type="dxa"/>
          </w:tcPr>
          <w:p>
            <w:pPr>
              <w:pStyle w:val="11"/>
              <w:ind w:right="97"/>
              <w:jc w:val="right"/>
              <w:rPr>
                <w:sz w:val="19"/>
              </w:rPr>
            </w:pPr>
            <w:r>
              <w:rPr>
                <w:w w:val="103"/>
                <w:sz w:val="19"/>
              </w:rPr>
              <w:t>7</w:t>
            </w:r>
          </w:p>
        </w:tc>
        <w:tc>
          <w:tcPr>
            <w:tcW w:w="10603" w:type="dxa"/>
          </w:tcPr>
          <w:p>
            <w:pPr>
              <w:pStyle w:val="11"/>
              <w:spacing w:line="252" w:lineRule="auto"/>
              <w:ind w:left="110"/>
              <w:rPr>
                <w:sz w:val="19"/>
              </w:rPr>
            </w:pPr>
            <w:r>
              <w:rPr>
                <w:sz w:val="19"/>
              </w:rPr>
              <w:t>Two reviewers independently selected primary studies from PubMed, EMBASE, and the Cochrane Library up to January, 2020.No language or publication status restrictions were imposed,and the study was limited to human.</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ind w:left="110"/>
              <w:rPr>
                <w:sz w:val="19"/>
              </w:rPr>
            </w:pPr>
            <w:r>
              <w:rPr>
                <w:w w:val="105"/>
                <w:sz w:val="19"/>
              </w:rPr>
              <w:t>Search</w:t>
            </w:r>
          </w:p>
        </w:tc>
        <w:tc>
          <w:tcPr>
            <w:tcW w:w="537" w:type="dxa"/>
          </w:tcPr>
          <w:p>
            <w:pPr>
              <w:pStyle w:val="11"/>
              <w:ind w:right="97"/>
              <w:jc w:val="right"/>
              <w:rPr>
                <w:sz w:val="19"/>
              </w:rPr>
            </w:pPr>
            <w:r>
              <w:rPr>
                <w:w w:val="103"/>
                <w:sz w:val="19"/>
              </w:rPr>
              <w:t>8</w:t>
            </w:r>
          </w:p>
        </w:tc>
        <w:tc>
          <w:tcPr>
            <w:tcW w:w="10603" w:type="dxa"/>
          </w:tcPr>
          <w:tbl>
            <w:tblPr>
              <w:tblStyle w:val="7"/>
              <w:tblW w:w="12048"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796"/>
              <w:gridCol w:w="2450"/>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widowControl/>
                    <w:autoSpaceDE/>
                    <w:autoSpaceDN/>
                    <w:rPr>
                      <w:rFonts w:ascii="Arial" w:hAnsi="Arial" w:eastAsia="Arial" w:cs="Arial"/>
                      <w:sz w:val="19"/>
                      <w:szCs w:val="22"/>
                      <w:lang w:val="en-US" w:eastAsia="zh-CN" w:bidi="ar-SA"/>
                    </w:rPr>
                  </w:pPr>
                  <w:bookmarkStart w:id="0" w:name="OLE_LINK6"/>
                  <w:r>
                    <w:rPr>
                      <w:rFonts w:ascii="Arial" w:hAnsi="Arial" w:eastAsia="Arial" w:cs="Arial"/>
                      <w:sz w:val="19"/>
                      <w:szCs w:val="22"/>
                      <w:lang w:val="en-US" w:eastAsia="zh-CN" w:bidi="ar-SA"/>
                    </w:rPr>
                    <w:t>Search</w:t>
                  </w:r>
                </w:p>
              </w:tc>
              <w:tc>
                <w:tcPr>
                  <w:tcW w:w="7796" w:type="dxa"/>
                  <w:vAlign w:val="center"/>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zh-CN" w:bidi="ar-SA"/>
                    </w:rPr>
                    <w:t>Query</w:t>
                  </w:r>
                </w:p>
              </w:tc>
              <w:tc>
                <w:tcPr>
                  <w:tcW w:w="2450" w:type="dxa"/>
                  <w:vAlign w:val="center"/>
                </w:tcPr>
                <w:p>
                  <w:pPr>
                    <w:widowControl/>
                    <w:autoSpaceDE/>
                    <w:autoSpaceDN/>
                    <w:rPr>
                      <w:rFonts w:ascii="Times New Roman" w:hAnsi="Times New Roman"/>
                      <w:sz w:val="20"/>
                      <w:szCs w:val="21"/>
                      <w:lang w:eastAsia="zh-CN"/>
                    </w:rPr>
                  </w:pPr>
                  <w:r>
                    <w:rPr>
                      <w:rFonts w:ascii="Times New Roman" w:hAnsi="Times New Roman"/>
                      <w:sz w:val="20"/>
                      <w:szCs w:val="21"/>
                      <w:lang w:eastAsia="zh-CN"/>
                    </w:rPr>
                    <w:t>Items found</w:t>
                  </w:r>
                </w:p>
              </w:tc>
              <w:tc>
                <w:tcPr>
                  <w:tcW w:w="951" w:type="dxa"/>
                  <w:vAlign w:val="center"/>
                </w:tcPr>
                <w:p>
                  <w:pPr>
                    <w:widowControl/>
                    <w:autoSpaceDE/>
                    <w:autoSpaceDN/>
                    <w:rPr>
                      <w:rFonts w:ascii="Times New Roman" w:hAnsi="Times New Roman"/>
                      <w:sz w:val="2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en-US" w:bidi="ar-SA"/>
                    </w:rPr>
                    <w:fldChar w:fldCharType="begin"/>
                  </w:r>
                  <w:r>
                    <w:rPr>
                      <w:rFonts w:ascii="Arial" w:hAnsi="Arial" w:eastAsia="Arial" w:cs="Arial"/>
                      <w:sz w:val="19"/>
                      <w:szCs w:val="22"/>
                      <w:lang w:val="en-US" w:eastAsia="en-US" w:bidi="ar-SA"/>
                    </w:rPr>
                    <w:instrText xml:space="preserve"> HYPERLINK "https://www-ncbi-nlm-nih-gov.elibrary.einstein.yu.edu/pubmed/advanced" \o "Perform actions on search" </w:instrText>
                  </w:r>
                  <w:r>
                    <w:rPr>
                      <w:rFonts w:ascii="Arial" w:hAnsi="Arial" w:eastAsia="Arial" w:cs="Arial"/>
                      <w:sz w:val="19"/>
                      <w:szCs w:val="22"/>
                      <w:lang w:val="en-US" w:eastAsia="en-US" w:bidi="ar-SA"/>
                    </w:rPr>
                    <w:fldChar w:fldCharType="separate"/>
                  </w:r>
                  <w:r>
                    <w:rPr>
                      <w:rFonts w:ascii="Arial" w:hAnsi="Arial" w:eastAsia="Arial" w:cs="Arial"/>
                      <w:sz w:val="19"/>
                      <w:szCs w:val="22"/>
                      <w:lang w:val="en-US" w:eastAsia="zh-CN" w:bidi="ar-SA"/>
                    </w:rPr>
                    <w:t>#</w:t>
                  </w:r>
                  <w:r>
                    <w:rPr>
                      <w:rFonts w:hint="eastAsia" w:ascii="Arial" w:hAnsi="Arial" w:eastAsia="Arial" w:cs="Arial"/>
                      <w:sz w:val="19"/>
                      <w:szCs w:val="22"/>
                      <w:lang w:val="en-US" w:eastAsia="zh-CN" w:bidi="ar-SA"/>
                    </w:rPr>
                    <w:t>4</w:t>
                  </w:r>
                  <w:r>
                    <w:rPr>
                      <w:rFonts w:hint="eastAsia" w:ascii="Arial" w:hAnsi="Arial" w:eastAsia="Arial" w:cs="Arial"/>
                      <w:sz w:val="19"/>
                      <w:szCs w:val="22"/>
                      <w:lang w:val="en-US" w:eastAsia="zh-CN" w:bidi="ar-SA"/>
                    </w:rPr>
                    <w:fldChar w:fldCharType="end"/>
                  </w:r>
                </w:p>
              </w:tc>
              <w:tc>
                <w:tcPr>
                  <w:tcW w:w="7796" w:type="dxa"/>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zh-CN" w:bidi="ar-SA"/>
                    </w:rPr>
                    <w:t xml:space="preserve">Search ((((randomized controlled trial [pt] OR controlled clinical trial[pt] OR randomized[tiab] OR placebo[tiab] OR clinical trials as topic[mesh: noexp] OR randomly[tiab] OR trial[ti]) NOT (animals[mh] NOT humans[mh]))) AND </w:t>
                  </w:r>
                  <w:r>
                    <w:rPr>
                      <w:rFonts w:hint="eastAsia" w:ascii="Arial" w:hAnsi="Arial" w:eastAsia="Arial" w:cs="Arial"/>
                      <w:sz w:val="19"/>
                      <w:szCs w:val="22"/>
                      <w:lang w:val="en-US" w:eastAsia="zh-CN" w:bidi="ar-SA"/>
                    </w:rPr>
                    <w:t>esmolol</w:t>
                  </w:r>
                  <w:r>
                    <w:rPr>
                      <w:rFonts w:ascii="Arial" w:hAnsi="Arial" w:eastAsia="Arial" w:cs="Arial"/>
                      <w:sz w:val="19"/>
                      <w:szCs w:val="22"/>
                      <w:lang w:val="en-US" w:eastAsia="zh-CN" w:bidi="ar-SA"/>
                    </w:rPr>
                    <w:t>*) AND (dexmedetomidine* OR Precedex* OR DEX)</w:t>
                  </w:r>
                </w:p>
              </w:tc>
              <w:tc>
                <w:tcPr>
                  <w:tcW w:w="2450" w:type="dxa"/>
                </w:tcPr>
                <w:p>
                  <w:pPr>
                    <w:widowControl/>
                    <w:autoSpaceDE/>
                    <w:autoSpaceDN/>
                    <w:rPr>
                      <w:rFonts w:ascii="Times New Roman" w:hAnsi="Times New Roman"/>
                      <w:sz w:val="20"/>
                      <w:szCs w:val="21"/>
                      <w:lang w:eastAsia="zh-CN"/>
                    </w:rPr>
                  </w:pPr>
                  <w:r>
                    <w:rPr>
                      <w:rFonts w:hint="eastAsia" w:ascii="Times New Roman" w:hAnsi="Times New Roman"/>
                      <w:sz w:val="20"/>
                      <w:szCs w:val="21"/>
                      <w:lang w:eastAsia="zh-CN"/>
                    </w:rPr>
                    <w:t>25</w:t>
                  </w:r>
                </w:p>
              </w:tc>
              <w:tc>
                <w:tcPr>
                  <w:tcW w:w="951" w:type="dxa"/>
                </w:tcPr>
                <w:p>
                  <w:pPr>
                    <w:widowControl/>
                    <w:autoSpaceDE/>
                    <w:autoSpaceDN/>
                    <w:rPr>
                      <w:rFonts w:ascii="Times New Roman" w:hAnsi="Times New Roman"/>
                      <w:sz w:val="2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en-US" w:bidi="ar-SA"/>
                    </w:rPr>
                    <w:fldChar w:fldCharType="begin"/>
                  </w:r>
                  <w:r>
                    <w:rPr>
                      <w:rFonts w:ascii="Arial" w:hAnsi="Arial" w:eastAsia="Arial" w:cs="Arial"/>
                      <w:sz w:val="19"/>
                      <w:szCs w:val="22"/>
                      <w:lang w:val="en-US" w:eastAsia="en-US" w:bidi="ar-SA"/>
                    </w:rPr>
                    <w:instrText xml:space="preserve"> HYPERLINK "https://www-ncbi-nlm-nih-gov.elibrary.einstein.yu.edu/pubmed/advanced" \o "Perform actions on search" </w:instrText>
                  </w:r>
                  <w:r>
                    <w:rPr>
                      <w:rFonts w:ascii="Arial" w:hAnsi="Arial" w:eastAsia="Arial" w:cs="Arial"/>
                      <w:sz w:val="19"/>
                      <w:szCs w:val="22"/>
                      <w:lang w:val="en-US" w:eastAsia="en-US" w:bidi="ar-SA"/>
                    </w:rPr>
                    <w:fldChar w:fldCharType="separate"/>
                  </w:r>
                  <w:r>
                    <w:rPr>
                      <w:rFonts w:ascii="Arial" w:hAnsi="Arial" w:eastAsia="Arial" w:cs="Arial"/>
                      <w:sz w:val="19"/>
                      <w:szCs w:val="22"/>
                      <w:lang w:val="en-US" w:eastAsia="zh-CN" w:bidi="ar-SA"/>
                    </w:rPr>
                    <w:t>#3</w:t>
                  </w:r>
                  <w:r>
                    <w:rPr>
                      <w:rFonts w:ascii="Arial" w:hAnsi="Arial" w:eastAsia="Arial" w:cs="Arial"/>
                      <w:sz w:val="19"/>
                      <w:szCs w:val="22"/>
                      <w:lang w:val="en-US" w:eastAsia="zh-CN" w:bidi="ar-SA"/>
                    </w:rPr>
                    <w:fldChar w:fldCharType="end"/>
                  </w:r>
                </w:p>
              </w:tc>
              <w:tc>
                <w:tcPr>
                  <w:tcW w:w="7796" w:type="dxa"/>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zh-CN" w:bidi="ar-SA"/>
                    </w:rPr>
                    <w:t>Search dexmedetomidine* OR Precedex* OR DEX</w:t>
                  </w:r>
                </w:p>
              </w:tc>
              <w:tc>
                <w:tcPr>
                  <w:tcW w:w="2450" w:type="dxa"/>
                </w:tcPr>
                <w:p>
                  <w:pPr>
                    <w:widowControl/>
                    <w:autoSpaceDE/>
                    <w:autoSpaceDN/>
                    <w:rPr>
                      <w:rFonts w:ascii="Times New Roman" w:hAnsi="Times New Roman"/>
                      <w:sz w:val="20"/>
                      <w:szCs w:val="21"/>
                      <w:lang w:eastAsia="zh-CN"/>
                    </w:rPr>
                  </w:pPr>
                  <w:r>
                    <w:fldChar w:fldCharType="begin"/>
                  </w:r>
                  <w:r>
                    <w:instrText xml:space="preserve"> HYPERLINK "https://www-ncbi-nlm-nih-gov.elibrary.einstein.yu.edu/pubmed/?cmd=HistorySearch&amp;querykey=3" \o "Show search results" </w:instrText>
                  </w:r>
                  <w:r>
                    <w:fldChar w:fldCharType="separate"/>
                  </w:r>
                  <w:r>
                    <w:rPr>
                      <w:rFonts w:ascii="Times New Roman" w:hAnsi="Times New Roman"/>
                      <w:sz w:val="20"/>
                      <w:szCs w:val="21"/>
                      <w:lang w:eastAsia="zh-CN"/>
                    </w:rPr>
                    <w:t>1</w:t>
                  </w:r>
                  <w:r>
                    <w:rPr>
                      <w:rFonts w:hint="eastAsia" w:ascii="Times New Roman" w:hAnsi="Times New Roman"/>
                      <w:sz w:val="20"/>
                      <w:szCs w:val="21"/>
                      <w:lang w:eastAsia="zh-CN"/>
                    </w:rPr>
                    <w:t>47</w:t>
                  </w:r>
                  <w:r>
                    <w:rPr>
                      <w:rFonts w:hint="eastAsia" w:ascii="Times New Roman" w:hAnsi="Times New Roman"/>
                      <w:sz w:val="20"/>
                      <w:szCs w:val="21"/>
                      <w:lang w:eastAsia="zh-CN"/>
                    </w:rPr>
                    <w:fldChar w:fldCharType="end"/>
                  </w:r>
                  <w:r>
                    <w:rPr>
                      <w:rFonts w:hint="eastAsia" w:ascii="Times New Roman" w:hAnsi="Times New Roman"/>
                      <w:sz w:val="20"/>
                      <w:szCs w:val="21"/>
                      <w:lang w:eastAsia="zh-CN"/>
                    </w:rPr>
                    <w:t>27</w:t>
                  </w:r>
                </w:p>
              </w:tc>
              <w:tc>
                <w:tcPr>
                  <w:tcW w:w="951" w:type="dxa"/>
                </w:tcPr>
                <w:p>
                  <w:pPr>
                    <w:widowControl/>
                    <w:autoSpaceDE/>
                    <w:autoSpaceDN/>
                    <w:rPr>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en-US" w:bidi="ar-SA"/>
                    </w:rPr>
                    <w:fldChar w:fldCharType="begin"/>
                  </w:r>
                  <w:r>
                    <w:rPr>
                      <w:rFonts w:ascii="Arial" w:hAnsi="Arial" w:eastAsia="Arial" w:cs="Arial"/>
                      <w:sz w:val="19"/>
                      <w:szCs w:val="22"/>
                      <w:lang w:val="en-US" w:eastAsia="en-US" w:bidi="ar-SA"/>
                    </w:rPr>
                    <w:instrText xml:space="preserve"> HYPERLINK "https://www-ncbi-nlm-nih-gov.elibrary.einstein.yu.edu/pubmed/advanced" \o "Perform actions on search" </w:instrText>
                  </w:r>
                  <w:r>
                    <w:rPr>
                      <w:rFonts w:ascii="Arial" w:hAnsi="Arial" w:eastAsia="Arial" w:cs="Arial"/>
                      <w:sz w:val="19"/>
                      <w:szCs w:val="22"/>
                      <w:lang w:val="en-US" w:eastAsia="en-US" w:bidi="ar-SA"/>
                    </w:rPr>
                    <w:fldChar w:fldCharType="separate"/>
                  </w:r>
                  <w:r>
                    <w:rPr>
                      <w:rFonts w:ascii="Arial" w:hAnsi="Arial" w:eastAsia="Arial" w:cs="Arial"/>
                      <w:sz w:val="19"/>
                      <w:szCs w:val="22"/>
                      <w:lang w:val="en-US" w:eastAsia="zh-CN" w:bidi="ar-SA"/>
                    </w:rPr>
                    <w:t>#2</w:t>
                  </w:r>
                  <w:r>
                    <w:rPr>
                      <w:rFonts w:ascii="Arial" w:hAnsi="Arial" w:eastAsia="Arial" w:cs="Arial"/>
                      <w:sz w:val="19"/>
                      <w:szCs w:val="22"/>
                      <w:lang w:val="en-US" w:eastAsia="zh-CN" w:bidi="ar-SA"/>
                    </w:rPr>
                    <w:fldChar w:fldCharType="end"/>
                  </w:r>
                </w:p>
              </w:tc>
              <w:tc>
                <w:tcPr>
                  <w:tcW w:w="7796" w:type="dxa"/>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zh-CN" w:bidi="ar-SA"/>
                    </w:rPr>
                    <w:t xml:space="preserve">Search </w:t>
                  </w:r>
                  <w:r>
                    <w:rPr>
                      <w:rFonts w:hint="eastAsia" w:ascii="Arial" w:hAnsi="Arial" w:eastAsia="Arial" w:cs="Arial"/>
                      <w:sz w:val="19"/>
                      <w:szCs w:val="22"/>
                      <w:lang w:val="en-US" w:eastAsia="zh-CN" w:bidi="ar-SA"/>
                    </w:rPr>
                    <w:t>esmolol</w:t>
                  </w:r>
                  <w:r>
                    <w:rPr>
                      <w:rFonts w:ascii="Arial" w:hAnsi="Arial" w:eastAsia="Arial" w:cs="Arial"/>
                      <w:sz w:val="19"/>
                      <w:szCs w:val="22"/>
                      <w:lang w:val="en-US" w:eastAsia="zh-CN" w:bidi="ar-SA"/>
                    </w:rPr>
                    <w:t>*</w:t>
                  </w:r>
                </w:p>
              </w:tc>
              <w:tc>
                <w:tcPr>
                  <w:tcW w:w="2450" w:type="dxa"/>
                </w:tcPr>
                <w:p>
                  <w:pPr>
                    <w:widowControl/>
                    <w:autoSpaceDE/>
                    <w:autoSpaceDN/>
                    <w:rPr>
                      <w:rFonts w:ascii="Times New Roman" w:hAnsi="Times New Roman"/>
                      <w:sz w:val="20"/>
                      <w:szCs w:val="21"/>
                      <w:lang w:eastAsia="zh-CN"/>
                    </w:rPr>
                  </w:pPr>
                  <w:r>
                    <w:rPr>
                      <w:rFonts w:ascii="Times New Roman" w:hAnsi="Times New Roman"/>
                      <w:sz w:val="20"/>
                      <w:szCs w:val="21"/>
                      <w:lang w:eastAsia="zh-CN"/>
                    </w:rPr>
                    <w:t>1</w:t>
                  </w:r>
                  <w:r>
                    <w:rPr>
                      <w:rFonts w:hint="eastAsia" w:ascii="Times New Roman" w:hAnsi="Times New Roman"/>
                      <w:sz w:val="20"/>
                      <w:szCs w:val="21"/>
                      <w:lang w:eastAsia="zh-CN"/>
                    </w:rPr>
                    <w:t>442</w:t>
                  </w:r>
                </w:p>
              </w:tc>
              <w:tc>
                <w:tcPr>
                  <w:tcW w:w="951" w:type="dxa"/>
                </w:tcPr>
                <w:p>
                  <w:pPr>
                    <w:widowControl/>
                    <w:autoSpaceDE/>
                    <w:autoSpaceDN/>
                    <w:rPr>
                      <w:rFonts w:ascii="Times New Roman" w:hAnsi="Times New Roman"/>
                      <w:sz w:val="2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en-US" w:bidi="ar-SA"/>
                    </w:rPr>
                    <w:fldChar w:fldCharType="begin"/>
                  </w:r>
                  <w:r>
                    <w:rPr>
                      <w:rFonts w:ascii="Arial" w:hAnsi="Arial" w:eastAsia="Arial" w:cs="Arial"/>
                      <w:sz w:val="19"/>
                      <w:szCs w:val="22"/>
                      <w:lang w:val="en-US" w:eastAsia="en-US" w:bidi="ar-SA"/>
                    </w:rPr>
                    <w:instrText xml:space="preserve"> HYPERLINK "https://www-ncbi-nlm-nih-gov.elibrary.einstein.yu.edu/pubmed/advanced" \o "Perform actions on search" </w:instrText>
                  </w:r>
                  <w:r>
                    <w:rPr>
                      <w:rFonts w:ascii="Arial" w:hAnsi="Arial" w:eastAsia="Arial" w:cs="Arial"/>
                      <w:sz w:val="19"/>
                      <w:szCs w:val="22"/>
                      <w:lang w:val="en-US" w:eastAsia="en-US" w:bidi="ar-SA"/>
                    </w:rPr>
                    <w:fldChar w:fldCharType="separate"/>
                  </w:r>
                  <w:r>
                    <w:rPr>
                      <w:rFonts w:ascii="Arial" w:hAnsi="Arial" w:eastAsia="Arial" w:cs="Arial"/>
                      <w:sz w:val="19"/>
                      <w:szCs w:val="22"/>
                      <w:lang w:val="en-US" w:eastAsia="zh-CN" w:bidi="ar-SA"/>
                    </w:rPr>
                    <w:t>#1</w:t>
                  </w:r>
                  <w:r>
                    <w:rPr>
                      <w:rFonts w:ascii="Arial" w:hAnsi="Arial" w:eastAsia="Arial" w:cs="Arial"/>
                      <w:sz w:val="19"/>
                      <w:szCs w:val="22"/>
                      <w:lang w:val="en-US" w:eastAsia="zh-CN" w:bidi="ar-SA"/>
                    </w:rPr>
                    <w:fldChar w:fldCharType="end"/>
                  </w:r>
                </w:p>
              </w:tc>
              <w:tc>
                <w:tcPr>
                  <w:tcW w:w="7796" w:type="dxa"/>
                </w:tcPr>
                <w:p>
                  <w:pPr>
                    <w:widowControl/>
                    <w:autoSpaceDE/>
                    <w:autoSpaceDN/>
                    <w:rPr>
                      <w:rFonts w:ascii="Arial" w:hAnsi="Arial" w:eastAsia="Arial" w:cs="Arial"/>
                      <w:sz w:val="19"/>
                      <w:szCs w:val="22"/>
                      <w:lang w:val="en-US" w:eastAsia="zh-CN" w:bidi="ar-SA"/>
                    </w:rPr>
                  </w:pPr>
                  <w:r>
                    <w:rPr>
                      <w:rFonts w:ascii="Arial" w:hAnsi="Arial" w:eastAsia="Arial" w:cs="Arial"/>
                      <w:sz w:val="19"/>
                      <w:szCs w:val="22"/>
                      <w:lang w:val="en-US" w:eastAsia="zh-CN" w:bidi="ar-SA"/>
                    </w:rPr>
                    <w:t>Search (randomized controlled trial [pt] OR controlled clinical trial[pt] OR randomized[tiab] OR placebo[tiab] OR clinical trials as topic[mesh: noexp] OR randomly[tiab] OR trial[ti]) NOT (animals[mh] NOT humans[mh])</w:t>
                  </w:r>
                </w:p>
              </w:tc>
              <w:tc>
                <w:tcPr>
                  <w:tcW w:w="2450" w:type="dxa"/>
                </w:tcPr>
                <w:p>
                  <w:pPr>
                    <w:widowControl/>
                    <w:autoSpaceDE/>
                    <w:autoSpaceDN/>
                    <w:rPr>
                      <w:rFonts w:ascii="Times New Roman" w:hAnsi="Times New Roman"/>
                      <w:sz w:val="20"/>
                      <w:szCs w:val="21"/>
                      <w:lang w:eastAsia="zh-CN"/>
                    </w:rPr>
                  </w:pPr>
                  <w:r>
                    <w:rPr>
                      <w:rFonts w:hint="eastAsia" w:ascii="Times New Roman" w:hAnsi="Times New Roman"/>
                      <w:sz w:val="20"/>
                      <w:szCs w:val="21"/>
                      <w:lang w:eastAsia="zh-CN"/>
                    </w:rPr>
                    <w:t>1248925</w:t>
                  </w:r>
                </w:p>
              </w:tc>
              <w:tc>
                <w:tcPr>
                  <w:tcW w:w="951" w:type="dxa"/>
                </w:tcPr>
                <w:p>
                  <w:pPr>
                    <w:widowControl/>
                    <w:autoSpaceDE/>
                    <w:autoSpaceDN/>
                    <w:rPr>
                      <w:rFonts w:ascii="Times New Roman" w:hAnsi="Times New Roman"/>
                      <w:sz w:val="20"/>
                      <w:szCs w:val="21"/>
                      <w:lang w:eastAsia="zh-CN"/>
                    </w:rPr>
                  </w:pPr>
                </w:p>
              </w:tc>
            </w:tr>
            <w:bookmarkEnd w:id="0"/>
          </w:tbl>
          <w:p>
            <w:pPr>
              <w:pStyle w:val="11"/>
              <w:spacing w:line="252" w:lineRule="auto"/>
              <w:ind w:left="110" w:firstLine="2660" w:firstLineChars="1400"/>
              <w:rPr>
                <w:sz w:val="19"/>
              </w:rPr>
            </w:pPr>
            <w:r>
              <w:rPr>
                <w:sz w:val="19"/>
              </w:rPr>
              <w:t>Result retrieved from pubmed</w:t>
            </w:r>
          </w:p>
        </w:tc>
        <w:tc>
          <w:tcPr>
            <w:tcW w:w="1257" w:type="dxa"/>
          </w:tcPr>
          <w:p>
            <w:pPr>
              <w:pStyle w:val="11"/>
              <w:spacing w:before="0"/>
              <w:jc w:val="center"/>
              <w:rPr>
                <w:rFonts w:ascii="Times New Roman"/>
                <w:sz w:val="18"/>
              </w:rPr>
            </w:pPr>
            <w:r>
              <w:rPr>
                <w:rFonts w:ascii="Times New Roman"/>
                <w:sz w:val="18"/>
              </w:rPr>
              <w:t>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ind w:left="110"/>
              <w:rPr>
                <w:sz w:val="19"/>
              </w:rPr>
            </w:pPr>
            <w:r>
              <w:rPr>
                <w:w w:val="105"/>
                <w:sz w:val="19"/>
              </w:rPr>
              <w:t>Study selection</w:t>
            </w:r>
          </w:p>
        </w:tc>
        <w:tc>
          <w:tcPr>
            <w:tcW w:w="537" w:type="dxa"/>
          </w:tcPr>
          <w:p>
            <w:pPr>
              <w:pStyle w:val="11"/>
              <w:ind w:right="97"/>
              <w:jc w:val="right"/>
              <w:rPr>
                <w:sz w:val="19"/>
              </w:rPr>
            </w:pPr>
            <w:r>
              <w:rPr>
                <w:w w:val="103"/>
                <w:sz w:val="19"/>
              </w:rPr>
              <w:t>9</w:t>
            </w:r>
          </w:p>
        </w:tc>
        <w:tc>
          <w:tcPr>
            <w:tcW w:w="10603" w:type="dxa"/>
          </w:tcPr>
          <w:p>
            <w:pPr>
              <w:pStyle w:val="11"/>
              <w:spacing w:line="254" w:lineRule="auto"/>
              <w:ind w:left="110"/>
              <w:rPr>
                <w:sz w:val="19"/>
              </w:rPr>
            </w:pPr>
            <w:r>
              <w:rPr>
                <w:sz w:val="19"/>
              </w:rPr>
              <w:t>J. Li and H. Deng separate review these studys for data that meet the inclusion and exclusion criteria.</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ind w:left="110"/>
              <w:rPr>
                <w:sz w:val="19"/>
              </w:rPr>
            </w:pPr>
            <w:r>
              <w:rPr>
                <w:w w:val="105"/>
                <w:sz w:val="19"/>
              </w:rPr>
              <w:t>Data collection process</w:t>
            </w:r>
          </w:p>
        </w:tc>
        <w:tc>
          <w:tcPr>
            <w:tcW w:w="537" w:type="dxa"/>
          </w:tcPr>
          <w:p>
            <w:pPr>
              <w:pStyle w:val="11"/>
              <w:ind w:right="95"/>
              <w:jc w:val="right"/>
              <w:rPr>
                <w:sz w:val="19"/>
              </w:rPr>
            </w:pPr>
            <w:r>
              <w:rPr>
                <w:sz w:val="19"/>
              </w:rPr>
              <w:t>10</w:t>
            </w:r>
          </w:p>
        </w:tc>
        <w:tc>
          <w:tcPr>
            <w:tcW w:w="10603" w:type="dxa"/>
          </w:tcPr>
          <w:p>
            <w:pPr>
              <w:pStyle w:val="11"/>
              <w:spacing w:line="252" w:lineRule="auto"/>
              <w:ind w:left="110" w:right="101"/>
              <w:rPr>
                <w:sz w:val="19"/>
              </w:rPr>
            </w:pPr>
            <w:r>
              <w:rPr>
                <w:w w:val="105"/>
                <w:sz w:val="19"/>
              </w:rPr>
              <w:t>Two reviewers cross-checked the extracted data and resolved disagreements through discussion or the third author.</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spacing w:before="28"/>
              <w:ind w:left="110"/>
              <w:rPr>
                <w:sz w:val="19"/>
              </w:rPr>
            </w:pPr>
            <w:r>
              <w:rPr>
                <w:w w:val="105"/>
                <w:sz w:val="19"/>
              </w:rPr>
              <w:t>Data items</w:t>
            </w:r>
          </w:p>
        </w:tc>
        <w:tc>
          <w:tcPr>
            <w:tcW w:w="537" w:type="dxa"/>
          </w:tcPr>
          <w:p>
            <w:pPr>
              <w:pStyle w:val="11"/>
              <w:spacing w:before="28"/>
              <w:ind w:right="95"/>
              <w:jc w:val="right"/>
              <w:rPr>
                <w:sz w:val="19"/>
              </w:rPr>
            </w:pPr>
            <w:r>
              <w:rPr>
                <w:sz w:val="19"/>
              </w:rPr>
              <w:t>11</w:t>
            </w:r>
          </w:p>
        </w:tc>
        <w:tc>
          <w:tcPr>
            <w:tcW w:w="10603" w:type="dxa"/>
          </w:tcPr>
          <w:p>
            <w:pPr>
              <w:pStyle w:val="11"/>
              <w:spacing w:before="28" w:line="259" w:lineRule="auto"/>
              <w:ind w:left="189" w:leftChars="86" w:firstLine="0" w:firstLineChars="0"/>
              <w:rPr>
                <w:w w:val="105"/>
                <w:sz w:val="19"/>
              </w:rPr>
            </w:pPr>
            <w:r>
              <w:rPr>
                <w:rFonts w:hint="eastAsia" w:eastAsia="宋体"/>
                <w:w w:val="105"/>
                <w:sz w:val="19"/>
                <w:lang w:val="en-US" w:eastAsia="zh-CN"/>
              </w:rPr>
              <w:t>I</w:t>
            </w:r>
            <w:r>
              <w:rPr>
                <w:w w:val="105"/>
                <w:sz w:val="19"/>
              </w:rPr>
              <w:t xml:space="preserve">nformation was extracted from each included trial on:(1)characteristics of trial participants (including ASA </w:t>
            </w:r>
            <w:r>
              <w:rPr>
                <w:rFonts w:hint="eastAsia" w:eastAsia="宋体"/>
                <w:w w:val="105"/>
                <w:sz w:val="19"/>
                <w:lang w:val="en-US" w:eastAsia="zh-CN"/>
              </w:rPr>
              <w:t>s</w:t>
            </w:r>
            <w:r>
              <w:rPr>
                <w:w w:val="105"/>
                <w:sz w:val="19"/>
              </w:rPr>
              <w:t>tage,surgery,gender,and age),and the trial’s inclusion and exclusion criteria; (2) type of interventions(including first dose,duration dose of the dexmedetomidine; versus the first dose and duration dose of esmolol);(3) type of outcome measure (including blood loss,Mean arterial pressure(MAP), Heart rate(HR), duration of surgery, requiring of fentanyl, the recovery period, emergence time)</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spacing w:before="28" w:line="259" w:lineRule="auto"/>
              <w:ind w:left="110" w:right="533"/>
              <w:rPr>
                <w:sz w:val="19"/>
              </w:rPr>
            </w:pPr>
            <w:r>
              <w:rPr>
                <w:w w:val="105"/>
                <w:sz w:val="19"/>
              </w:rPr>
              <w:t>Risk of bias in individual studies</w:t>
            </w:r>
          </w:p>
        </w:tc>
        <w:tc>
          <w:tcPr>
            <w:tcW w:w="537" w:type="dxa"/>
          </w:tcPr>
          <w:p>
            <w:pPr>
              <w:pStyle w:val="11"/>
              <w:spacing w:before="28"/>
              <w:ind w:right="95"/>
              <w:jc w:val="right"/>
              <w:rPr>
                <w:sz w:val="19"/>
              </w:rPr>
            </w:pPr>
            <w:r>
              <w:rPr>
                <w:sz w:val="19"/>
              </w:rPr>
              <w:t>12</w:t>
            </w:r>
          </w:p>
        </w:tc>
        <w:tc>
          <w:tcPr>
            <w:tcW w:w="10603" w:type="dxa"/>
          </w:tcPr>
          <w:p>
            <w:pPr>
              <w:pStyle w:val="11"/>
              <w:spacing w:before="28" w:line="259" w:lineRule="auto"/>
              <w:ind w:left="110" w:right="101"/>
              <w:rPr>
                <w:w w:val="105"/>
                <w:sz w:val="19"/>
              </w:rPr>
            </w:pPr>
            <w:r>
              <w:rPr>
                <w:w w:val="105"/>
                <w:sz w:val="19"/>
              </w:rPr>
              <w:t xml:space="preserve">Pairs of reviewers determined the adequacy of randomization and concealment of allocation, blinding of participants and personnel, blinding of outcome assessment, incomplete outcome data, selective reporting and other bias. </w:t>
            </w:r>
          </w:p>
          <w:p>
            <w:pPr>
              <w:pStyle w:val="11"/>
              <w:spacing w:before="28" w:line="259" w:lineRule="auto"/>
              <w:ind w:left="110" w:right="101"/>
              <w:rPr>
                <w:w w:val="105"/>
                <w:sz w:val="19"/>
              </w:rPr>
            </w:pPr>
            <w:r>
              <w:rPr>
                <w:w w:val="105"/>
                <w:sz w:val="19"/>
              </w:rPr>
              <w:t xml:space="preserve">To explore variability in the study results ( heterogeneity),we </w:t>
            </w:r>
            <w:r>
              <w:rPr>
                <w:rFonts w:hint="eastAsia" w:eastAsia="宋体"/>
                <w:w w:val="105"/>
                <w:sz w:val="19"/>
                <w:lang w:eastAsia="zh-CN"/>
              </w:rPr>
              <w:t>hypothesized</w:t>
            </w:r>
            <w:r>
              <w:rPr>
                <w:w w:val="105"/>
                <w:sz w:val="19"/>
              </w:rPr>
              <w:t xml:space="preserve"> that effect size may differ according to the</w:t>
            </w:r>
          </w:p>
          <w:p>
            <w:pPr>
              <w:pStyle w:val="11"/>
              <w:spacing w:before="28" w:line="259" w:lineRule="auto"/>
              <w:ind w:left="110" w:right="101"/>
              <w:rPr>
                <w:rFonts w:hint="eastAsia" w:eastAsia="宋体"/>
                <w:sz w:val="19"/>
                <w:lang w:val="en-US" w:eastAsia="zh-CN"/>
              </w:rPr>
            </w:pPr>
            <w:r>
              <w:rPr>
                <w:w w:val="105"/>
                <w:sz w:val="19"/>
              </w:rPr>
              <w:t>Methodological quality of the studies</w:t>
            </w:r>
            <w:r>
              <w:rPr>
                <w:rFonts w:hint="eastAsia" w:eastAsia="宋体"/>
                <w:w w:val="105"/>
                <w:sz w:val="19"/>
                <w:lang w:val="en-US" w:eastAsia="zh-CN"/>
              </w:rPr>
              <w:t>.</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2803" w:type="dxa"/>
          </w:tcPr>
          <w:p>
            <w:pPr>
              <w:pStyle w:val="11"/>
              <w:spacing w:before="28"/>
              <w:ind w:left="110"/>
              <w:rPr>
                <w:sz w:val="19"/>
              </w:rPr>
            </w:pPr>
            <w:r>
              <w:rPr>
                <w:w w:val="105"/>
                <w:sz w:val="19"/>
              </w:rPr>
              <w:t>Summary measures</w:t>
            </w:r>
          </w:p>
        </w:tc>
        <w:tc>
          <w:tcPr>
            <w:tcW w:w="537" w:type="dxa"/>
          </w:tcPr>
          <w:p>
            <w:pPr>
              <w:pStyle w:val="11"/>
              <w:spacing w:before="28"/>
              <w:ind w:right="95"/>
              <w:jc w:val="right"/>
              <w:rPr>
                <w:sz w:val="19"/>
              </w:rPr>
            </w:pPr>
            <w:r>
              <w:rPr>
                <w:sz w:val="19"/>
              </w:rPr>
              <w:t>13</w:t>
            </w:r>
          </w:p>
        </w:tc>
        <w:tc>
          <w:tcPr>
            <w:tcW w:w="10603" w:type="dxa"/>
          </w:tcPr>
          <w:p>
            <w:pPr>
              <w:pStyle w:val="11"/>
              <w:spacing w:before="28"/>
              <w:ind w:left="110"/>
              <w:rPr>
                <w:w w:val="105"/>
                <w:sz w:val="19"/>
              </w:rPr>
            </w:pPr>
            <w:r>
              <w:rPr>
                <w:w w:val="105"/>
                <w:sz w:val="19"/>
              </w:rPr>
              <w:t>Blood loss reduction, more stable HR and MAP was the primary measure of  controlled hypotension effects.</w:t>
            </w:r>
          </w:p>
          <w:p>
            <w:pPr>
              <w:pStyle w:val="11"/>
              <w:spacing w:before="28"/>
              <w:ind w:left="110"/>
              <w:rPr>
                <w:sz w:val="19"/>
              </w:rPr>
            </w:pPr>
            <w:r>
              <w:rPr>
                <w:w w:val="105"/>
                <w:sz w:val="19"/>
              </w:rPr>
              <w:t>The mean difference (MD) or standard error of the mean (SEM) and 95% confidence interval (CI) were described for the continuous data , and the risk ratio (RR) ,95% confidence interval (CI) for the numerical data.</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2803" w:type="dxa"/>
          </w:tcPr>
          <w:p>
            <w:pPr>
              <w:pStyle w:val="11"/>
              <w:ind w:left="110"/>
              <w:rPr>
                <w:sz w:val="19"/>
              </w:rPr>
            </w:pPr>
            <w:r>
              <w:rPr>
                <w:w w:val="105"/>
                <w:sz w:val="19"/>
              </w:rPr>
              <w:t>Synthesis of results</w:t>
            </w:r>
          </w:p>
        </w:tc>
        <w:tc>
          <w:tcPr>
            <w:tcW w:w="537" w:type="dxa"/>
          </w:tcPr>
          <w:p>
            <w:pPr>
              <w:pStyle w:val="11"/>
              <w:ind w:right="95"/>
              <w:jc w:val="right"/>
              <w:rPr>
                <w:sz w:val="19"/>
              </w:rPr>
            </w:pPr>
            <w:r>
              <w:rPr>
                <w:sz w:val="19"/>
              </w:rPr>
              <w:t>14</w:t>
            </w:r>
          </w:p>
        </w:tc>
        <w:tc>
          <w:tcPr>
            <w:tcW w:w="10603" w:type="dxa"/>
          </w:tcPr>
          <w:p>
            <w:pPr>
              <w:pStyle w:val="11"/>
              <w:spacing w:line="254" w:lineRule="auto"/>
              <w:ind w:left="110"/>
              <w:rPr>
                <w:sz w:val="19"/>
              </w:rPr>
            </w:pPr>
            <w:r>
              <w:rPr>
                <w:w w:val="105"/>
                <w:sz w:val="19"/>
              </w:rPr>
              <w:t>Follow the Cochrane guidelines, I</w:t>
            </w:r>
            <w:r>
              <w:rPr>
                <w:rFonts w:hint="eastAsia" w:eastAsia="宋体"/>
                <w:w w:val="105"/>
                <w:sz w:val="19"/>
                <w:vertAlign w:val="superscript"/>
                <w:lang w:val="en-US" w:eastAsia="zh-CN"/>
              </w:rPr>
              <w:t>2</w:t>
            </w:r>
            <w:r>
              <w:rPr>
                <w:rFonts w:hint="eastAsia" w:eastAsia="宋体"/>
                <w:w w:val="105"/>
                <w:sz w:val="19"/>
                <w:lang w:val="en-US" w:eastAsia="zh-CN"/>
              </w:rPr>
              <w:t xml:space="preserve"> </w:t>
            </w:r>
            <w:r>
              <w:rPr>
                <w:w w:val="105"/>
                <w:sz w:val="19"/>
              </w:rPr>
              <w:t>test was  used for quantitative heterogeneity, and I</w:t>
            </w:r>
            <w:r>
              <w:rPr>
                <w:w w:val="105"/>
                <w:sz w:val="19"/>
                <w:vertAlign w:val="superscript"/>
              </w:rPr>
              <w:t>2</w:t>
            </w:r>
            <w:r>
              <w:rPr>
                <w:rFonts w:hint="eastAsia"/>
                <w:w w:val="105"/>
                <w:sz w:val="19"/>
              </w:rPr>
              <w:t>≥</w:t>
            </w:r>
            <w:r>
              <w:rPr>
                <w:w w:val="105"/>
                <w:sz w:val="19"/>
              </w:rPr>
              <w:t>50% means significant heterogeneity.When the results had no significant heterogeneity , the fixed effect model was applied for this system review.Otherwise the random effect model was used.</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2</w:t>
            </w:r>
          </w:p>
        </w:tc>
      </w:tr>
    </w:tbl>
    <w:p>
      <w:pPr>
        <w:pStyle w:val="2"/>
        <w:spacing w:before="70"/>
        <w:ind w:left="5450" w:right="5450"/>
        <w:jc w:val="center"/>
      </w:pPr>
      <w:r>
        <w:t>Page 1 of 2</w:t>
      </w:r>
    </w:p>
    <w:p>
      <w:pPr>
        <w:jc w:val="center"/>
        <w:sectPr>
          <w:headerReference r:id="rId3" w:type="default"/>
          <w:type w:val="continuous"/>
          <w:pgSz w:w="15840" w:h="12240" w:orient="landscape"/>
          <w:pgMar w:top="1480" w:right="200" w:bottom="280" w:left="200" w:header="542" w:footer="720" w:gutter="0"/>
          <w:cols w:space="720" w:num="1"/>
        </w:sectPr>
      </w:pPr>
    </w:p>
    <w:tbl>
      <w:tblPr>
        <w:tblStyle w:val="9"/>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03"/>
        <w:gridCol w:w="537"/>
        <w:gridCol w:w="10603"/>
        <w:gridCol w:w="1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803" w:type="dxa"/>
            <w:tcBorders>
              <w:bottom w:val="double" w:color="000000" w:sz="0" w:space="0"/>
            </w:tcBorders>
            <w:shd w:val="clear" w:color="auto" w:fill="63639A"/>
          </w:tcPr>
          <w:p>
            <w:pPr>
              <w:pStyle w:val="11"/>
              <w:spacing w:before="196"/>
              <w:ind w:left="110"/>
              <w:rPr>
                <w:b/>
                <w:sz w:val="21"/>
              </w:rPr>
            </w:pPr>
            <w:r>
              <w:rPr>
                <w:b/>
                <w:color w:val="FFFFFF"/>
                <w:w w:val="105"/>
                <w:sz w:val="21"/>
              </w:rPr>
              <w:t>Section/topic</w:t>
            </w:r>
          </w:p>
        </w:tc>
        <w:tc>
          <w:tcPr>
            <w:tcW w:w="537" w:type="dxa"/>
            <w:tcBorders>
              <w:top w:val="double" w:color="000000" w:sz="0" w:space="0"/>
              <w:bottom w:val="double" w:color="000000" w:sz="0" w:space="0"/>
            </w:tcBorders>
            <w:shd w:val="clear" w:color="auto" w:fill="63639A"/>
          </w:tcPr>
          <w:p>
            <w:pPr>
              <w:pStyle w:val="11"/>
              <w:spacing w:before="196"/>
              <w:ind w:right="97"/>
              <w:jc w:val="right"/>
              <w:rPr>
                <w:b/>
                <w:sz w:val="21"/>
              </w:rPr>
            </w:pPr>
            <w:r>
              <w:rPr>
                <w:b/>
                <w:color w:val="FFFFFF"/>
                <w:w w:val="102"/>
                <w:sz w:val="21"/>
              </w:rPr>
              <w:t>#</w:t>
            </w:r>
          </w:p>
        </w:tc>
        <w:tc>
          <w:tcPr>
            <w:tcW w:w="10603" w:type="dxa"/>
            <w:tcBorders>
              <w:top w:val="double" w:color="000000" w:sz="0" w:space="0"/>
              <w:bottom w:val="double" w:color="000000" w:sz="0" w:space="0"/>
            </w:tcBorders>
            <w:shd w:val="clear" w:color="auto" w:fill="63639A"/>
          </w:tcPr>
          <w:p>
            <w:pPr>
              <w:pStyle w:val="11"/>
              <w:spacing w:before="196"/>
              <w:ind w:left="110"/>
              <w:rPr>
                <w:b/>
                <w:sz w:val="21"/>
              </w:rPr>
            </w:pPr>
            <w:r>
              <w:rPr>
                <w:b/>
                <w:color w:val="FFFFFF"/>
                <w:w w:val="105"/>
                <w:sz w:val="21"/>
              </w:rPr>
              <w:t>Checklist item</w:t>
            </w:r>
          </w:p>
        </w:tc>
        <w:tc>
          <w:tcPr>
            <w:tcW w:w="1257" w:type="dxa"/>
            <w:tcBorders>
              <w:top w:val="double" w:color="000000" w:sz="0" w:space="0"/>
              <w:bottom w:val="double" w:color="000000" w:sz="0" w:space="0"/>
            </w:tcBorders>
            <w:shd w:val="clear" w:color="auto" w:fill="63639A"/>
          </w:tcPr>
          <w:p>
            <w:pPr>
              <w:pStyle w:val="11"/>
              <w:spacing w:before="71" w:line="252" w:lineRule="auto"/>
              <w:ind w:left="106"/>
              <w:rPr>
                <w:b/>
                <w:sz w:val="21"/>
              </w:rPr>
            </w:pPr>
            <w:r>
              <w:rPr>
                <w:b/>
                <w:color w:val="FFFFFF"/>
                <w:w w:val="105"/>
                <w:sz w:val="21"/>
              </w:rPr>
              <w:t>Reported on page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803" w:type="dxa"/>
            <w:tcBorders>
              <w:top w:val="double" w:color="000000" w:sz="0" w:space="0"/>
            </w:tcBorders>
          </w:tcPr>
          <w:p>
            <w:pPr>
              <w:pStyle w:val="11"/>
              <w:ind w:left="110"/>
              <w:rPr>
                <w:sz w:val="19"/>
              </w:rPr>
            </w:pPr>
            <w:r>
              <w:rPr>
                <w:w w:val="105"/>
                <w:sz w:val="19"/>
              </w:rPr>
              <w:t>Risk of bias across studies</w:t>
            </w:r>
          </w:p>
        </w:tc>
        <w:tc>
          <w:tcPr>
            <w:tcW w:w="537" w:type="dxa"/>
            <w:tcBorders>
              <w:top w:val="double" w:color="000000" w:sz="0" w:space="0"/>
            </w:tcBorders>
          </w:tcPr>
          <w:p>
            <w:pPr>
              <w:pStyle w:val="11"/>
              <w:ind w:right="95"/>
              <w:jc w:val="right"/>
              <w:rPr>
                <w:sz w:val="19"/>
              </w:rPr>
            </w:pPr>
            <w:r>
              <w:rPr>
                <w:sz w:val="19"/>
              </w:rPr>
              <w:t>15</w:t>
            </w:r>
          </w:p>
        </w:tc>
        <w:tc>
          <w:tcPr>
            <w:tcW w:w="10603" w:type="dxa"/>
            <w:tcBorders>
              <w:top w:val="double" w:color="000000" w:sz="0" w:space="0"/>
            </w:tcBorders>
          </w:tcPr>
          <w:p>
            <w:pPr>
              <w:pStyle w:val="11"/>
              <w:spacing w:line="259" w:lineRule="auto"/>
              <w:ind w:firstLine="199" w:firstLineChars="100"/>
              <w:rPr>
                <w:sz w:val="19"/>
              </w:rPr>
            </w:pPr>
            <w:r>
              <w:rPr>
                <w:rFonts w:hint="eastAsia" w:eastAsia="宋体"/>
                <w:w w:val="105"/>
                <w:sz w:val="19"/>
                <w:lang w:val="en-US" w:eastAsia="zh-CN"/>
              </w:rPr>
              <w:t>T</w:t>
            </w:r>
            <w:r>
              <w:rPr>
                <w:w w:val="105"/>
                <w:sz w:val="19"/>
              </w:rPr>
              <w:t>his meta-analysis was not more than 10, the publication bias was not evaluated.</w:t>
            </w:r>
          </w:p>
        </w:tc>
        <w:tc>
          <w:tcPr>
            <w:tcW w:w="1257" w:type="dxa"/>
            <w:tcBorders>
              <w:top w:val="double" w:color="000000" w:sz="0" w:space="0"/>
            </w:tcBorders>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N</w:t>
            </w:r>
            <w:r>
              <w:rPr>
                <w:rFonts w:ascii="Times New Roman" w:eastAsiaTheme="minorEastAsia"/>
                <w:sz w:val="18"/>
                <w:lang w:eastAsia="zh-CN"/>
              </w:rPr>
              <w: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803" w:type="dxa"/>
            <w:tcBorders>
              <w:bottom w:val="double" w:color="000000" w:sz="0" w:space="0"/>
            </w:tcBorders>
          </w:tcPr>
          <w:p>
            <w:pPr>
              <w:pStyle w:val="11"/>
              <w:ind w:left="110"/>
              <w:rPr>
                <w:sz w:val="19"/>
              </w:rPr>
            </w:pPr>
            <w:r>
              <w:rPr>
                <w:w w:val="105"/>
                <w:sz w:val="19"/>
              </w:rPr>
              <w:t>Additional analyses</w:t>
            </w:r>
          </w:p>
        </w:tc>
        <w:tc>
          <w:tcPr>
            <w:tcW w:w="537" w:type="dxa"/>
            <w:tcBorders>
              <w:bottom w:val="double" w:color="000000" w:sz="0" w:space="0"/>
            </w:tcBorders>
          </w:tcPr>
          <w:p>
            <w:pPr>
              <w:pStyle w:val="11"/>
              <w:ind w:right="95"/>
              <w:jc w:val="right"/>
              <w:rPr>
                <w:sz w:val="19"/>
              </w:rPr>
            </w:pPr>
            <w:r>
              <w:rPr>
                <w:sz w:val="19"/>
              </w:rPr>
              <w:t>16</w:t>
            </w:r>
          </w:p>
        </w:tc>
        <w:tc>
          <w:tcPr>
            <w:tcW w:w="10603" w:type="dxa"/>
            <w:tcBorders>
              <w:bottom w:val="double" w:color="000000" w:sz="0" w:space="0"/>
            </w:tcBorders>
          </w:tcPr>
          <w:p>
            <w:pPr>
              <w:pStyle w:val="11"/>
              <w:spacing w:line="254" w:lineRule="auto"/>
              <w:ind w:firstLine="199" w:firstLineChars="100"/>
              <w:rPr>
                <w:sz w:val="19"/>
              </w:rPr>
            </w:pPr>
            <w:r>
              <w:rPr>
                <w:rFonts w:hint="eastAsia" w:eastAsia="宋体"/>
                <w:w w:val="105"/>
                <w:sz w:val="19"/>
                <w:lang w:val="en-US" w:eastAsia="zh-CN"/>
              </w:rPr>
              <w:t>S</w:t>
            </w:r>
            <w:r>
              <w:rPr>
                <w:w w:val="105"/>
                <w:sz w:val="19"/>
              </w:rPr>
              <w:t>ensitivity or subgroup analyses, meta-regression were not applied.</w:t>
            </w:r>
          </w:p>
        </w:tc>
        <w:tc>
          <w:tcPr>
            <w:tcW w:w="1257" w:type="dxa"/>
            <w:tcBorders>
              <w:bottom w:val="double" w:color="000000" w:sz="0" w:space="0"/>
            </w:tcBorders>
          </w:tcPr>
          <w:p>
            <w:pPr>
              <w:pStyle w:val="11"/>
              <w:spacing w:before="0"/>
              <w:jc w:val="center"/>
              <w:rPr>
                <w:rFonts w:ascii="Times New Roman"/>
                <w:sz w:val="18"/>
              </w:rPr>
            </w:pPr>
            <w:r>
              <w:rPr>
                <w:rFonts w:ascii="Times New Roman"/>
                <w:sz w:val="18"/>
              </w:rPr>
              <w:t>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943" w:type="dxa"/>
            <w:gridSpan w:val="3"/>
            <w:tcBorders>
              <w:top w:val="double" w:color="000000" w:sz="0" w:space="0"/>
            </w:tcBorders>
            <w:shd w:val="clear" w:color="auto" w:fill="FFFFCC"/>
          </w:tcPr>
          <w:p>
            <w:pPr>
              <w:pStyle w:val="11"/>
              <w:spacing w:before="33"/>
              <w:ind w:left="110"/>
              <w:rPr>
                <w:b/>
                <w:sz w:val="21"/>
              </w:rPr>
            </w:pPr>
            <w:r>
              <w:rPr>
                <w:b/>
                <w:w w:val="105"/>
                <w:sz w:val="21"/>
              </w:rPr>
              <w:t>RESULTS</w:t>
            </w:r>
          </w:p>
        </w:tc>
        <w:tc>
          <w:tcPr>
            <w:tcW w:w="1257" w:type="dxa"/>
            <w:tcBorders>
              <w:top w:val="double" w:color="000000" w:sz="0" w:space="0"/>
            </w:tcBorders>
            <w:shd w:val="clear" w:color="auto" w:fill="FFFFCC"/>
          </w:tcPr>
          <w:p>
            <w:pPr>
              <w:pStyle w:val="11"/>
              <w:spacing w:before="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ind w:left="110"/>
              <w:rPr>
                <w:sz w:val="19"/>
              </w:rPr>
            </w:pPr>
            <w:r>
              <w:rPr>
                <w:w w:val="105"/>
                <w:sz w:val="19"/>
              </w:rPr>
              <w:t>Study selection</w:t>
            </w:r>
          </w:p>
        </w:tc>
        <w:tc>
          <w:tcPr>
            <w:tcW w:w="537" w:type="dxa"/>
          </w:tcPr>
          <w:p>
            <w:pPr>
              <w:pStyle w:val="11"/>
              <w:ind w:right="95"/>
              <w:jc w:val="right"/>
              <w:rPr>
                <w:sz w:val="19"/>
              </w:rPr>
            </w:pPr>
            <w:r>
              <w:rPr>
                <w:sz w:val="19"/>
              </w:rPr>
              <w:t>17</w:t>
            </w:r>
          </w:p>
        </w:tc>
        <w:tc>
          <w:tcPr>
            <w:tcW w:w="10603" w:type="dxa"/>
          </w:tcPr>
          <w:p>
            <w:pPr>
              <w:pStyle w:val="11"/>
              <w:spacing w:line="252" w:lineRule="auto"/>
              <w:ind w:left="110"/>
              <w:rPr>
                <w:w w:val="105"/>
                <w:sz w:val="19"/>
              </w:rPr>
            </w:pPr>
            <w:r>
              <w:rPr>
                <w:w w:val="105"/>
                <w:sz w:val="19"/>
              </w:rPr>
              <w:t>Give numbers of studies screened, assessed for eligibility, and included in the review, with reasons for exclusions at</w:t>
            </w:r>
          </w:p>
          <w:p>
            <w:pPr>
              <w:pStyle w:val="11"/>
              <w:spacing w:line="252" w:lineRule="auto"/>
              <w:ind w:left="110"/>
              <w:rPr>
                <w:sz w:val="19"/>
              </w:rPr>
            </w:pPr>
            <w:r>
              <w:rPr>
                <w:w w:val="105"/>
                <w:sz w:val="19"/>
              </w:rPr>
              <w:t>each stage, ideally with a flow diagram.</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7</w:t>
            </w:r>
          </w:p>
          <w:p>
            <w:pPr>
              <w:pStyle w:val="11"/>
              <w:spacing w:before="0"/>
              <w:jc w:val="center"/>
              <w:rPr>
                <w:rFonts w:ascii="Times New Roman" w:eastAsiaTheme="minorEastAsia"/>
                <w:sz w:val="18"/>
                <w:lang w:eastAsia="zh-CN"/>
              </w:rPr>
            </w:pPr>
            <w:r>
              <w:t xml:space="preserve"> </w:t>
            </w:r>
            <w:r>
              <w:rPr>
                <w:rFonts w:ascii="Times New Roman" w:eastAsiaTheme="minorEastAsia"/>
                <w:sz w:val="18"/>
                <w:lang w:eastAsia="zh-CN"/>
              </w:rPr>
              <w:t>Figure 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ind w:left="110"/>
              <w:rPr>
                <w:sz w:val="19"/>
              </w:rPr>
            </w:pPr>
            <w:r>
              <w:rPr>
                <w:w w:val="105"/>
                <w:sz w:val="19"/>
              </w:rPr>
              <w:t>Study characteristics</w:t>
            </w:r>
          </w:p>
        </w:tc>
        <w:tc>
          <w:tcPr>
            <w:tcW w:w="537" w:type="dxa"/>
          </w:tcPr>
          <w:p>
            <w:pPr>
              <w:pStyle w:val="11"/>
              <w:ind w:right="95"/>
              <w:jc w:val="right"/>
              <w:rPr>
                <w:sz w:val="19"/>
              </w:rPr>
            </w:pPr>
            <w:r>
              <w:rPr>
                <w:sz w:val="19"/>
              </w:rPr>
              <w:t>18</w:t>
            </w:r>
          </w:p>
        </w:tc>
        <w:tc>
          <w:tcPr>
            <w:tcW w:w="10603" w:type="dxa"/>
          </w:tcPr>
          <w:p>
            <w:pPr>
              <w:pStyle w:val="11"/>
              <w:spacing w:line="252" w:lineRule="auto"/>
              <w:ind w:firstLine="190" w:firstLineChars="100"/>
              <w:rPr>
                <w:sz w:val="19"/>
              </w:rPr>
            </w:pPr>
            <w:r>
              <w:rPr>
                <w:sz w:val="19"/>
              </w:rPr>
              <w:t>For each study, present characteristics for which data were extracted (e.g., study size, PICOS, follow-up period) and</w:t>
            </w:r>
          </w:p>
          <w:p>
            <w:pPr>
              <w:pStyle w:val="11"/>
              <w:spacing w:line="252" w:lineRule="auto"/>
              <w:ind w:firstLine="190" w:firstLineChars="100"/>
              <w:rPr>
                <w:sz w:val="19"/>
              </w:rPr>
            </w:pPr>
            <w:r>
              <w:rPr>
                <w:sz w:val="19"/>
              </w:rPr>
              <w:t>provide the citations.</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8</w:t>
            </w:r>
          </w:p>
          <w:p>
            <w:pPr>
              <w:pStyle w:val="11"/>
              <w:spacing w:before="0"/>
              <w:jc w:val="center"/>
              <w:rPr>
                <w:rFonts w:ascii="Times New Roman" w:hAnsi="Times New Roman" w:cs="Times New Roman" w:eastAsiaTheme="minorEastAsia"/>
                <w:sz w:val="18"/>
                <w:szCs w:val="18"/>
                <w:lang w:eastAsia="zh-CN"/>
              </w:rPr>
            </w:pPr>
            <w:r>
              <w:rPr>
                <w:rFonts w:ascii="Times New Roman" w:hAnsi="Times New Roman" w:cs="Times New Roman"/>
                <w:sz w:val="18"/>
                <w:szCs w:val="18"/>
              </w:rPr>
              <w:t>Table 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803" w:type="dxa"/>
          </w:tcPr>
          <w:p>
            <w:pPr>
              <w:pStyle w:val="11"/>
              <w:ind w:left="110"/>
              <w:rPr>
                <w:sz w:val="19"/>
              </w:rPr>
            </w:pPr>
            <w:r>
              <w:rPr>
                <w:w w:val="105"/>
                <w:sz w:val="19"/>
              </w:rPr>
              <w:t>Risk of bias within studies</w:t>
            </w:r>
          </w:p>
        </w:tc>
        <w:tc>
          <w:tcPr>
            <w:tcW w:w="537" w:type="dxa"/>
          </w:tcPr>
          <w:p>
            <w:pPr>
              <w:pStyle w:val="11"/>
              <w:ind w:right="95"/>
              <w:jc w:val="right"/>
              <w:rPr>
                <w:sz w:val="19"/>
              </w:rPr>
            </w:pPr>
            <w:r>
              <w:rPr>
                <w:sz w:val="19"/>
              </w:rPr>
              <w:t>19</w:t>
            </w:r>
          </w:p>
        </w:tc>
        <w:tc>
          <w:tcPr>
            <w:tcW w:w="10603" w:type="dxa"/>
          </w:tcPr>
          <w:p>
            <w:pPr>
              <w:pStyle w:val="11"/>
              <w:ind w:firstLine="199" w:firstLineChars="100"/>
              <w:rPr>
                <w:rFonts w:hint="eastAsia" w:eastAsia="宋体"/>
                <w:w w:val="105"/>
                <w:sz w:val="19"/>
                <w:lang w:val="en-US" w:eastAsia="zh-CN"/>
              </w:rPr>
            </w:pPr>
            <w:r>
              <w:rPr>
                <w:w w:val="105"/>
                <w:sz w:val="19"/>
              </w:rPr>
              <w:t>Present data on risk of bias of each study and, if available, any outcome level assessment (see item 12)</w:t>
            </w:r>
            <w:r>
              <w:rPr>
                <w:rFonts w:hint="eastAsia" w:eastAsia="宋体"/>
                <w:w w:val="105"/>
                <w:sz w:val="19"/>
                <w:lang w:val="en-US" w:eastAsia="zh-CN"/>
              </w:rPr>
              <w:t>.</w:t>
            </w:r>
          </w:p>
          <w:p>
            <w:pPr>
              <w:pStyle w:val="11"/>
              <w:rPr>
                <w:w w:val="105"/>
                <w:sz w:val="19"/>
              </w:rPr>
            </w:pP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9</w:t>
            </w:r>
          </w:p>
          <w:p>
            <w:pPr>
              <w:pStyle w:val="11"/>
              <w:spacing w:before="0"/>
              <w:jc w:val="center"/>
              <w:rPr>
                <w:rFonts w:ascii="Times New Roman" w:eastAsiaTheme="minorEastAsia"/>
                <w:sz w:val="18"/>
                <w:lang w:eastAsia="zh-CN"/>
              </w:rPr>
            </w:pPr>
            <w:r>
              <w:rPr>
                <w:rFonts w:ascii="Times New Roman" w:eastAsiaTheme="minorEastAsia"/>
                <w:sz w:val="18"/>
                <w:lang w:eastAsia="zh-CN"/>
              </w:rPr>
              <w:t>Figure 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spacing w:before="28"/>
              <w:ind w:left="110"/>
              <w:rPr>
                <w:sz w:val="19"/>
              </w:rPr>
            </w:pPr>
            <w:r>
              <w:rPr>
                <w:w w:val="105"/>
                <w:sz w:val="19"/>
              </w:rPr>
              <w:t>Results of individual studies</w:t>
            </w:r>
          </w:p>
        </w:tc>
        <w:tc>
          <w:tcPr>
            <w:tcW w:w="537" w:type="dxa"/>
          </w:tcPr>
          <w:p>
            <w:pPr>
              <w:pStyle w:val="11"/>
              <w:spacing w:before="28"/>
              <w:ind w:right="95"/>
              <w:jc w:val="right"/>
              <w:rPr>
                <w:sz w:val="19"/>
              </w:rPr>
            </w:pPr>
            <w:r>
              <w:rPr>
                <w:sz w:val="19"/>
              </w:rPr>
              <w:t>20</w:t>
            </w:r>
          </w:p>
        </w:tc>
        <w:tc>
          <w:tcPr>
            <w:tcW w:w="10603" w:type="dxa"/>
          </w:tcPr>
          <w:p>
            <w:pPr>
              <w:pStyle w:val="11"/>
              <w:spacing w:before="28" w:line="259" w:lineRule="auto"/>
              <w:ind w:right="101" w:firstLine="190" w:firstLineChars="100"/>
              <w:rPr>
                <w:sz w:val="19"/>
              </w:rPr>
            </w:pPr>
            <w:r>
              <w:rPr>
                <w:sz w:val="19"/>
              </w:rPr>
              <w:t>For all outcomes considered (benefits or harms), present, for each study: (a) simple summary data for each</w:t>
            </w:r>
          </w:p>
          <w:p>
            <w:pPr>
              <w:pStyle w:val="11"/>
              <w:spacing w:before="28" w:line="259" w:lineRule="auto"/>
              <w:ind w:right="101" w:firstLine="190" w:firstLineChars="100"/>
              <w:rPr>
                <w:sz w:val="19"/>
              </w:rPr>
            </w:pPr>
            <w:r>
              <w:rPr>
                <w:rFonts w:hint="eastAsia" w:eastAsia="宋体"/>
                <w:sz w:val="19"/>
                <w:lang w:val="en-US" w:eastAsia="zh-CN"/>
              </w:rPr>
              <w:t>i</w:t>
            </w:r>
            <w:r>
              <w:rPr>
                <w:sz w:val="19"/>
              </w:rPr>
              <w:t>ntervention group (b) effect estimates and confidence intervals, ideally with a forest plot.</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9</w:t>
            </w:r>
            <w:r>
              <w:rPr>
                <w:rFonts w:ascii="Times New Roman" w:eastAsiaTheme="minorEastAsia"/>
                <w:sz w:val="18"/>
                <w:lang w:eastAsia="zh-CN"/>
              </w:rPr>
              <w:t>\10</w:t>
            </w:r>
          </w:p>
          <w:p>
            <w:pPr>
              <w:pStyle w:val="11"/>
              <w:spacing w:before="0"/>
              <w:jc w:val="center"/>
              <w:rPr>
                <w:rFonts w:ascii="Times New Roman" w:eastAsiaTheme="minorEastAsia"/>
                <w:sz w:val="18"/>
                <w:lang w:eastAsia="zh-CN"/>
              </w:rPr>
            </w:pPr>
            <w:r>
              <w:rPr>
                <w:rFonts w:ascii="Times New Roman" w:eastAsiaTheme="minorEastAsia"/>
                <w:sz w:val="18"/>
                <w:lang w:eastAsia="zh-CN"/>
              </w:rPr>
              <w:t>Figure 4-10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2803" w:type="dxa"/>
          </w:tcPr>
          <w:p>
            <w:pPr>
              <w:pStyle w:val="11"/>
              <w:spacing w:before="28"/>
              <w:ind w:left="110"/>
              <w:rPr>
                <w:sz w:val="19"/>
              </w:rPr>
            </w:pPr>
            <w:r>
              <w:rPr>
                <w:w w:val="105"/>
                <w:sz w:val="19"/>
              </w:rPr>
              <w:t>Synthesis of results</w:t>
            </w:r>
          </w:p>
        </w:tc>
        <w:tc>
          <w:tcPr>
            <w:tcW w:w="537" w:type="dxa"/>
          </w:tcPr>
          <w:p>
            <w:pPr>
              <w:pStyle w:val="11"/>
              <w:spacing w:before="28"/>
              <w:ind w:right="95"/>
              <w:jc w:val="right"/>
              <w:rPr>
                <w:sz w:val="19"/>
              </w:rPr>
            </w:pPr>
            <w:r>
              <w:rPr>
                <w:sz w:val="19"/>
              </w:rPr>
              <w:t>21</w:t>
            </w:r>
          </w:p>
        </w:tc>
        <w:tc>
          <w:tcPr>
            <w:tcW w:w="10603" w:type="dxa"/>
          </w:tcPr>
          <w:p>
            <w:pPr>
              <w:pStyle w:val="11"/>
              <w:spacing w:before="28"/>
              <w:rPr>
                <w:sz w:val="19"/>
              </w:rPr>
            </w:pPr>
            <w:r>
              <w:rPr>
                <w:sz w:val="19"/>
              </w:rPr>
              <w:t>intraoperative blood loss: (MD 49.48 with 95% CI [-5.44,104.40], P =0.08)</w:t>
            </w:r>
          </w:p>
          <w:p>
            <w:pPr>
              <w:pStyle w:val="11"/>
              <w:spacing w:before="28"/>
              <w:rPr>
                <w:sz w:val="19"/>
              </w:rPr>
            </w:pPr>
            <w:r>
              <w:rPr>
                <w:sz w:val="19"/>
              </w:rPr>
              <w:t>HR: (MD 3.30 with 95% CI [2.11,4.50],P &lt;0.00001,I</w:t>
            </w:r>
            <w:r>
              <w:rPr>
                <w:sz w:val="19"/>
                <w:vertAlign w:val="superscript"/>
              </w:rPr>
              <w:t>2</w:t>
            </w:r>
            <w:r>
              <w:rPr>
                <w:sz w:val="19"/>
              </w:rPr>
              <w:t xml:space="preserve"> =34%)</w:t>
            </w:r>
          </w:p>
          <w:p>
            <w:pPr>
              <w:pStyle w:val="11"/>
              <w:spacing w:before="28"/>
              <w:rPr>
                <w:sz w:val="19"/>
              </w:rPr>
            </w:pPr>
            <w:r>
              <w:rPr>
                <w:sz w:val="19"/>
              </w:rPr>
              <w:t>MAP:(MD 2.29 with 95% CI [-2.02,6.60], I2 =95%,P =0.30)</w:t>
            </w:r>
          </w:p>
          <w:p>
            <w:pPr>
              <w:pStyle w:val="11"/>
              <w:spacing w:before="28"/>
              <w:rPr>
                <w:sz w:val="19"/>
              </w:rPr>
            </w:pPr>
            <w:r>
              <w:rPr>
                <w:sz w:val="19"/>
              </w:rPr>
              <w:t>Duration of surgery: (MD -0.12 with 95% CI [-6.24,6.01], P = 0.97)</w:t>
            </w:r>
          </w:p>
          <w:p>
            <w:pPr>
              <w:pStyle w:val="11"/>
              <w:spacing w:before="28"/>
              <w:rPr>
                <w:sz w:val="19"/>
              </w:rPr>
            </w:pPr>
            <w:r>
              <w:rPr>
                <w:sz w:val="19"/>
              </w:rPr>
              <w:t>Requiring of fentanyl: (SMD 5.96  with 95% CI [3.43,8.48], P &lt;0.00001)</w:t>
            </w:r>
          </w:p>
          <w:p>
            <w:pPr>
              <w:pStyle w:val="11"/>
              <w:spacing w:before="28"/>
              <w:rPr>
                <w:sz w:val="19"/>
              </w:rPr>
            </w:pPr>
            <w:r>
              <w:rPr>
                <w:sz w:val="19"/>
              </w:rPr>
              <w:t>Recovery period: (MD -0.52 with 95% CI [-3.07,2.04], P = 0.69, I2= 87%)</w:t>
            </w:r>
          </w:p>
          <w:p>
            <w:pPr>
              <w:pStyle w:val="11"/>
              <w:spacing w:before="28"/>
              <w:rPr>
                <w:sz w:val="19"/>
              </w:rPr>
            </w:pPr>
            <w:r>
              <w:rPr>
                <w:sz w:val="19"/>
              </w:rPr>
              <w:t>Emergence time:</w:t>
            </w:r>
            <w:r>
              <w:t xml:space="preserve"> </w:t>
            </w:r>
            <w:r>
              <w:rPr>
                <w:sz w:val="19"/>
              </w:rPr>
              <w:t>(MD -6.69 with 95% CI [-9.61,-3.76], P &lt;0.0001), I2= 95%)</w:t>
            </w:r>
          </w:p>
          <w:p>
            <w:pPr>
              <w:pStyle w:val="11"/>
              <w:spacing w:before="28"/>
              <w:rPr>
                <w:sz w:val="19"/>
              </w:rPr>
            </w:pP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803" w:type="dxa"/>
          </w:tcPr>
          <w:p>
            <w:pPr>
              <w:pStyle w:val="11"/>
              <w:ind w:left="110"/>
              <w:rPr>
                <w:sz w:val="19"/>
              </w:rPr>
            </w:pPr>
            <w:r>
              <w:rPr>
                <w:w w:val="105"/>
                <w:sz w:val="19"/>
              </w:rPr>
              <w:t>Risk of bias across studies</w:t>
            </w:r>
          </w:p>
        </w:tc>
        <w:tc>
          <w:tcPr>
            <w:tcW w:w="537" w:type="dxa"/>
          </w:tcPr>
          <w:p>
            <w:pPr>
              <w:pStyle w:val="11"/>
              <w:ind w:right="95"/>
              <w:jc w:val="right"/>
              <w:rPr>
                <w:sz w:val="19"/>
              </w:rPr>
            </w:pPr>
            <w:r>
              <w:rPr>
                <w:sz w:val="19"/>
              </w:rPr>
              <w:t>22</w:t>
            </w:r>
          </w:p>
        </w:tc>
        <w:tc>
          <w:tcPr>
            <w:tcW w:w="10603" w:type="dxa"/>
          </w:tcPr>
          <w:p>
            <w:pPr>
              <w:pStyle w:val="11"/>
              <w:ind w:left="110"/>
              <w:rPr>
                <w:sz w:val="19"/>
              </w:rPr>
            </w:pPr>
            <w:r>
              <w:rPr>
                <w:rFonts w:hint="eastAsia" w:eastAsia="宋体"/>
                <w:w w:val="105"/>
                <w:sz w:val="19"/>
                <w:lang w:val="en-US" w:eastAsia="zh-CN"/>
              </w:rPr>
              <w:t>S</w:t>
            </w:r>
            <w:r>
              <w:rPr>
                <w:w w:val="105"/>
                <w:sz w:val="19"/>
              </w:rPr>
              <w:t xml:space="preserve">ee </w:t>
            </w:r>
            <w:r>
              <w:rPr>
                <w:rFonts w:hint="eastAsia" w:eastAsia="宋体"/>
                <w:w w:val="105"/>
                <w:sz w:val="19"/>
                <w:lang w:val="en-US" w:eastAsia="zh-CN"/>
              </w:rPr>
              <w:t>i</w:t>
            </w:r>
            <w:r>
              <w:rPr>
                <w:w w:val="105"/>
                <w:sz w:val="19"/>
              </w:rPr>
              <w:t>tem 15.</w:t>
            </w:r>
          </w:p>
        </w:tc>
        <w:tc>
          <w:tcPr>
            <w:tcW w:w="1257" w:type="dxa"/>
          </w:tcPr>
          <w:p>
            <w:pPr>
              <w:pStyle w:val="11"/>
              <w:spacing w:before="0"/>
              <w:jc w:val="center"/>
              <w:rPr>
                <w:rFonts w:ascii="Times New Roman"/>
                <w:sz w:val="18"/>
              </w:rPr>
            </w:pPr>
            <w:r>
              <w:rPr>
                <w:rFonts w:ascii="Times New Roman"/>
                <w:sz w:val="18"/>
              </w:rPr>
              <w:t>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2803" w:type="dxa"/>
            <w:tcBorders>
              <w:bottom w:val="double" w:color="000000" w:sz="0" w:space="0"/>
            </w:tcBorders>
          </w:tcPr>
          <w:p>
            <w:pPr>
              <w:pStyle w:val="11"/>
              <w:ind w:left="110"/>
              <w:rPr>
                <w:sz w:val="19"/>
              </w:rPr>
            </w:pPr>
            <w:r>
              <w:rPr>
                <w:w w:val="105"/>
                <w:sz w:val="19"/>
              </w:rPr>
              <w:t>Additional analysis</w:t>
            </w:r>
          </w:p>
        </w:tc>
        <w:tc>
          <w:tcPr>
            <w:tcW w:w="537" w:type="dxa"/>
            <w:tcBorders>
              <w:bottom w:val="double" w:color="000000" w:sz="0" w:space="0"/>
            </w:tcBorders>
          </w:tcPr>
          <w:p>
            <w:pPr>
              <w:pStyle w:val="11"/>
              <w:ind w:right="95"/>
              <w:jc w:val="right"/>
              <w:rPr>
                <w:sz w:val="19"/>
              </w:rPr>
            </w:pPr>
            <w:r>
              <w:rPr>
                <w:sz w:val="19"/>
              </w:rPr>
              <w:t>23</w:t>
            </w:r>
          </w:p>
        </w:tc>
        <w:tc>
          <w:tcPr>
            <w:tcW w:w="10603" w:type="dxa"/>
            <w:tcBorders>
              <w:bottom w:val="double" w:color="000000" w:sz="0" w:space="0"/>
            </w:tcBorders>
          </w:tcPr>
          <w:p>
            <w:pPr>
              <w:pStyle w:val="11"/>
              <w:ind w:left="110"/>
              <w:rPr>
                <w:sz w:val="19"/>
              </w:rPr>
            </w:pPr>
            <w:r>
              <w:rPr>
                <w:rFonts w:hint="eastAsia" w:eastAsia="宋体"/>
                <w:w w:val="105"/>
                <w:sz w:val="19"/>
                <w:lang w:val="en-US" w:eastAsia="zh-CN"/>
              </w:rPr>
              <w:t>S</w:t>
            </w:r>
            <w:r>
              <w:rPr>
                <w:w w:val="105"/>
                <w:sz w:val="19"/>
              </w:rPr>
              <w:t>ee Item 16.</w:t>
            </w:r>
          </w:p>
        </w:tc>
        <w:tc>
          <w:tcPr>
            <w:tcW w:w="1257" w:type="dxa"/>
            <w:tcBorders>
              <w:bottom w:val="double" w:color="000000" w:sz="0" w:space="0"/>
            </w:tcBorders>
          </w:tcPr>
          <w:p>
            <w:pPr>
              <w:pStyle w:val="11"/>
              <w:spacing w:before="0"/>
              <w:jc w:val="center"/>
              <w:rPr>
                <w:rFonts w:ascii="Times New Roman"/>
                <w:sz w:val="18"/>
              </w:rPr>
            </w:pPr>
            <w:r>
              <w:rPr>
                <w:rFonts w:ascii="Times New Roman"/>
                <w:sz w:val="18"/>
              </w:rPr>
              <w:t>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3943" w:type="dxa"/>
            <w:gridSpan w:val="3"/>
            <w:tcBorders>
              <w:top w:val="double" w:color="000000" w:sz="0" w:space="0"/>
            </w:tcBorders>
            <w:shd w:val="clear" w:color="auto" w:fill="FFFFCC"/>
          </w:tcPr>
          <w:p>
            <w:pPr>
              <w:pStyle w:val="11"/>
              <w:spacing w:before="33"/>
              <w:ind w:left="110"/>
              <w:rPr>
                <w:b/>
                <w:sz w:val="21"/>
              </w:rPr>
            </w:pPr>
            <w:r>
              <w:rPr>
                <w:b/>
                <w:w w:val="105"/>
                <w:sz w:val="21"/>
              </w:rPr>
              <w:t>DISCUSSION</w:t>
            </w:r>
          </w:p>
        </w:tc>
        <w:tc>
          <w:tcPr>
            <w:tcW w:w="1257" w:type="dxa"/>
            <w:tcBorders>
              <w:top w:val="double" w:color="000000" w:sz="0" w:space="0"/>
            </w:tcBorders>
            <w:shd w:val="clear" w:color="auto" w:fill="FFFFCC"/>
          </w:tcPr>
          <w:p>
            <w:pPr>
              <w:pStyle w:val="11"/>
              <w:spacing w:before="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spacing w:before="28"/>
              <w:ind w:left="110"/>
              <w:rPr>
                <w:sz w:val="19"/>
              </w:rPr>
            </w:pPr>
            <w:r>
              <w:rPr>
                <w:w w:val="105"/>
                <w:sz w:val="19"/>
              </w:rPr>
              <w:t>Summary of evidence</w:t>
            </w:r>
          </w:p>
        </w:tc>
        <w:tc>
          <w:tcPr>
            <w:tcW w:w="537" w:type="dxa"/>
          </w:tcPr>
          <w:p>
            <w:pPr>
              <w:pStyle w:val="11"/>
              <w:spacing w:before="28"/>
              <w:ind w:right="95"/>
              <w:jc w:val="right"/>
              <w:rPr>
                <w:sz w:val="19"/>
              </w:rPr>
            </w:pPr>
            <w:r>
              <w:rPr>
                <w:sz w:val="19"/>
              </w:rPr>
              <w:t>24</w:t>
            </w:r>
          </w:p>
        </w:tc>
        <w:tc>
          <w:tcPr>
            <w:tcW w:w="10603" w:type="dxa"/>
          </w:tcPr>
          <w:p>
            <w:pPr>
              <w:pStyle w:val="11"/>
              <w:spacing w:before="28" w:line="252" w:lineRule="auto"/>
              <w:ind w:left="110" w:right="101"/>
              <w:rPr>
                <w:sz w:val="19"/>
              </w:rPr>
            </w:pPr>
            <w:r>
              <w:rPr>
                <w:w w:val="105"/>
                <w:sz w:val="19"/>
              </w:rPr>
              <w:t>The result of dexmedetomidine and esmolol in reducing blood loss of surgical site indicated the difference between two groups in reducing blood loss was not significant, but the outcomes indicated that dexmedetomidine group showed better reduction of bleeding. dexmedetomidine can decrease the necessity of fentanyl administration during operation.</w:t>
            </w:r>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803" w:type="dxa"/>
          </w:tcPr>
          <w:p>
            <w:pPr>
              <w:pStyle w:val="11"/>
              <w:spacing w:before="28"/>
              <w:ind w:left="110"/>
              <w:rPr>
                <w:sz w:val="19"/>
              </w:rPr>
            </w:pPr>
            <w:r>
              <w:rPr>
                <w:w w:val="105"/>
                <w:sz w:val="19"/>
              </w:rPr>
              <w:t>Limitations</w:t>
            </w:r>
          </w:p>
        </w:tc>
        <w:tc>
          <w:tcPr>
            <w:tcW w:w="537" w:type="dxa"/>
          </w:tcPr>
          <w:p>
            <w:pPr>
              <w:pStyle w:val="11"/>
              <w:spacing w:before="28"/>
              <w:ind w:right="95"/>
              <w:jc w:val="right"/>
              <w:rPr>
                <w:sz w:val="19"/>
              </w:rPr>
            </w:pPr>
            <w:r>
              <w:rPr>
                <w:sz w:val="19"/>
              </w:rPr>
              <w:t>25</w:t>
            </w:r>
          </w:p>
        </w:tc>
        <w:tc>
          <w:tcPr>
            <w:tcW w:w="10603" w:type="dxa"/>
          </w:tcPr>
          <w:p>
            <w:pPr>
              <w:pStyle w:val="11"/>
              <w:spacing w:before="28" w:line="252" w:lineRule="auto"/>
              <w:ind w:left="110"/>
              <w:rPr>
                <w:rFonts w:hint="eastAsia" w:eastAsia="宋体"/>
                <w:sz w:val="19"/>
                <w:lang w:val="en-US" w:eastAsia="zh-CN"/>
              </w:rPr>
            </w:pPr>
            <w:r>
              <w:rPr>
                <w:sz w:val="19"/>
              </w:rPr>
              <w:t>The main limitation of this meta-analysis,is that the sample size of this study was still insufficient.In addition, we did not conduct further subgroup analysis of surgical types to avoid heterogeneity in our meta-analysis</w:t>
            </w:r>
            <w:r>
              <w:rPr>
                <w:rFonts w:hint="eastAsia" w:eastAsia="宋体"/>
                <w:sz w:val="19"/>
                <w:lang w:val="en-US" w:eastAsia="zh-CN"/>
              </w:rPr>
              <w:t>.</w:t>
            </w:r>
            <w:bookmarkStart w:id="1" w:name="_GoBack"/>
            <w:bookmarkEnd w:id="1"/>
          </w:p>
        </w:tc>
        <w:tc>
          <w:tcPr>
            <w:tcW w:w="1257" w:type="dxa"/>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2803" w:type="dxa"/>
            <w:tcBorders>
              <w:bottom w:val="double" w:color="000000" w:sz="0" w:space="0"/>
            </w:tcBorders>
          </w:tcPr>
          <w:p>
            <w:pPr>
              <w:pStyle w:val="11"/>
              <w:spacing w:before="28"/>
              <w:ind w:left="110"/>
              <w:rPr>
                <w:sz w:val="19"/>
              </w:rPr>
            </w:pPr>
            <w:r>
              <w:rPr>
                <w:w w:val="105"/>
                <w:sz w:val="19"/>
              </w:rPr>
              <w:t>Conclusions</w:t>
            </w:r>
          </w:p>
        </w:tc>
        <w:tc>
          <w:tcPr>
            <w:tcW w:w="537" w:type="dxa"/>
            <w:tcBorders>
              <w:bottom w:val="double" w:color="000000" w:sz="0" w:space="0"/>
            </w:tcBorders>
          </w:tcPr>
          <w:p>
            <w:pPr>
              <w:pStyle w:val="11"/>
              <w:spacing w:before="28"/>
              <w:ind w:right="95"/>
              <w:jc w:val="right"/>
              <w:rPr>
                <w:sz w:val="19"/>
              </w:rPr>
            </w:pPr>
            <w:r>
              <w:rPr>
                <w:sz w:val="19"/>
              </w:rPr>
              <w:t>26</w:t>
            </w:r>
          </w:p>
        </w:tc>
        <w:tc>
          <w:tcPr>
            <w:tcW w:w="10603" w:type="dxa"/>
            <w:tcBorders>
              <w:bottom w:val="double" w:color="000000" w:sz="0" w:space="0"/>
            </w:tcBorders>
          </w:tcPr>
          <w:p>
            <w:pPr>
              <w:pStyle w:val="11"/>
              <w:spacing w:before="28"/>
              <w:ind w:left="110"/>
              <w:rPr>
                <w:sz w:val="19"/>
              </w:rPr>
            </w:pPr>
            <w:r>
              <w:rPr>
                <w:w w:val="105"/>
                <w:sz w:val="19"/>
              </w:rPr>
              <w:t>Both esmolol and dexmedetomidine was effective for controlled hypotension, but compared with esmolol, dexmedetomidine is more better in reducing blood loss, and less requiring of fentanyl.But attention should be paid to the long emegence time and bradycardia.</w:t>
            </w:r>
            <w:r>
              <w:t xml:space="preserve"> </w:t>
            </w:r>
            <w:r>
              <w:rPr>
                <w:w w:val="105"/>
                <w:sz w:val="19"/>
              </w:rPr>
              <w:t>To sum up, in order to ensure the reliability of the research conclusion, large sample size and more high-quality evidence is needed in the following work.</w:t>
            </w:r>
          </w:p>
        </w:tc>
        <w:tc>
          <w:tcPr>
            <w:tcW w:w="1257" w:type="dxa"/>
            <w:tcBorders>
              <w:bottom w:val="double" w:color="000000" w:sz="0" w:space="0"/>
            </w:tcBorders>
          </w:tcPr>
          <w:p>
            <w:pPr>
              <w:pStyle w:val="11"/>
              <w:spacing w:before="0"/>
              <w:jc w:val="center"/>
              <w:rPr>
                <w:rFonts w:ascii="Times New Roman" w:eastAsiaTheme="minorEastAsia"/>
                <w:sz w:val="18"/>
                <w:lang w:eastAsia="zh-CN"/>
              </w:rPr>
            </w:pPr>
            <w:r>
              <w:rPr>
                <w:rFonts w:hint="eastAsia" w:ascii="Times New Roman" w:eastAsiaTheme="minorEastAsia"/>
                <w:sz w:val="18"/>
                <w:lang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3943" w:type="dxa"/>
            <w:gridSpan w:val="3"/>
            <w:tcBorders>
              <w:top w:val="double" w:color="000000" w:sz="0" w:space="0"/>
            </w:tcBorders>
            <w:shd w:val="clear" w:color="auto" w:fill="FFFFCC"/>
          </w:tcPr>
          <w:p>
            <w:pPr>
              <w:pStyle w:val="11"/>
              <w:spacing w:before="28"/>
              <w:ind w:left="110"/>
              <w:rPr>
                <w:b/>
                <w:sz w:val="21"/>
              </w:rPr>
            </w:pPr>
            <w:r>
              <w:rPr>
                <w:b/>
                <w:w w:val="105"/>
                <w:sz w:val="21"/>
              </w:rPr>
              <w:t>FUNDING</w:t>
            </w:r>
          </w:p>
        </w:tc>
        <w:tc>
          <w:tcPr>
            <w:tcW w:w="1257" w:type="dxa"/>
            <w:tcBorders>
              <w:top w:val="double" w:color="000000" w:sz="0" w:space="0"/>
            </w:tcBorders>
            <w:shd w:val="clear" w:color="auto" w:fill="FFFFCC"/>
          </w:tcPr>
          <w:p>
            <w:pPr>
              <w:pStyle w:val="11"/>
              <w:spacing w:before="0"/>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803" w:type="dxa"/>
            <w:tcBorders>
              <w:bottom w:val="double" w:color="000000" w:sz="0" w:space="0"/>
            </w:tcBorders>
          </w:tcPr>
          <w:p>
            <w:pPr>
              <w:pStyle w:val="11"/>
              <w:ind w:left="110"/>
              <w:rPr>
                <w:sz w:val="19"/>
              </w:rPr>
            </w:pPr>
            <w:r>
              <w:rPr>
                <w:w w:val="105"/>
                <w:sz w:val="19"/>
              </w:rPr>
              <w:t>Funding</w:t>
            </w:r>
          </w:p>
        </w:tc>
        <w:tc>
          <w:tcPr>
            <w:tcW w:w="537" w:type="dxa"/>
            <w:tcBorders>
              <w:bottom w:val="double" w:color="000000" w:sz="0" w:space="0"/>
            </w:tcBorders>
          </w:tcPr>
          <w:p>
            <w:pPr>
              <w:pStyle w:val="11"/>
              <w:ind w:right="95"/>
              <w:jc w:val="right"/>
              <w:rPr>
                <w:sz w:val="19"/>
              </w:rPr>
            </w:pPr>
            <w:r>
              <w:rPr>
                <w:sz w:val="19"/>
              </w:rPr>
              <w:t>27</w:t>
            </w:r>
          </w:p>
        </w:tc>
        <w:tc>
          <w:tcPr>
            <w:tcW w:w="10603" w:type="dxa"/>
            <w:tcBorders>
              <w:bottom w:val="double" w:color="000000" w:sz="0" w:space="0"/>
            </w:tcBorders>
          </w:tcPr>
          <w:p>
            <w:pPr>
              <w:pStyle w:val="5"/>
              <w:widowControl/>
              <w:rPr>
                <w:rFonts w:hint="default" w:ascii="Arial" w:hAnsi="Arial" w:eastAsia="Arial" w:cs="Arial"/>
                <w:w w:val="105"/>
                <w:sz w:val="19"/>
                <w:szCs w:val="22"/>
                <w:lang w:eastAsia="en-US"/>
              </w:rPr>
            </w:pPr>
            <w:r>
              <w:rPr>
                <w:rFonts w:ascii="Arial" w:hAnsi="Arial" w:eastAsia="Arial" w:cs="Arial"/>
                <w:w w:val="105"/>
                <w:sz w:val="19"/>
                <w:szCs w:val="22"/>
                <w:lang w:eastAsia="en-US"/>
              </w:rPr>
              <w:t>Not applicable</w:t>
            </w:r>
          </w:p>
          <w:p>
            <w:pPr>
              <w:pStyle w:val="11"/>
              <w:spacing w:line="252" w:lineRule="auto"/>
              <w:ind w:left="110"/>
              <w:rPr>
                <w:sz w:val="19"/>
              </w:rPr>
            </w:pPr>
          </w:p>
        </w:tc>
        <w:tc>
          <w:tcPr>
            <w:tcW w:w="1257" w:type="dxa"/>
          </w:tcPr>
          <w:p>
            <w:pPr>
              <w:pStyle w:val="11"/>
              <w:spacing w:before="0"/>
              <w:rPr>
                <w:sz w:val="20"/>
              </w:rPr>
            </w:pPr>
          </w:p>
          <w:p>
            <w:pPr>
              <w:pStyle w:val="11"/>
              <w:spacing w:before="0"/>
              <w:jc w:val="center"/>
              <w:rPr>
                <w:rFonts w:eastAsia="宋体"/>
                <w:sz w:val="20"/>
                <w:lang w:eastAsia="zh-CN"/>
              </w:rPr>
            </w:pPr>
            <w:r>
              <w:rPr>
                <w:rFonts w:hint="eastAsia" w:eastAsia="宋体"/>
                <w:sz w:val="20"/>
                <w:lang w:eastAsia="zh-CN"/>
              </w:rPr>
              <w:t>Acknowledgments</w:t>
            </w:r>
          </w:p>
          <w:p>
            <w:pPr>
              <w:pStyle w:val="11"/>
              <w:spacing w:before="5"/>
              <w:rPr>
                <w:sz w:val="10"/>
              </w:rPr>
            </w:pPr>
          </w:p>
          <w:p>
            <w:pPr>
              <w:pStyle w:val="11"/>
              <w:spacing w:before="0" w:line="20" w:lineRule="exact"/>
              <w:ind w:left="19" w:right="-72"/>
              <w:rPr>
                <w:sz w:val="2"/>
              </w:rPr>
            </w:pPr>
            <w:r>
              <w:rPr>
                <w:sz w:val="2"/>
              </w:rPr>
              <mc:AlternateContent>
                <mc:Choice Requires="wpg">
                  <w:drawing>
                    <wp:inline distT="0" distB="0" distL="0" distR="0">
                      <wp:extent cx="786765" cy="6350"/>
                      <wp:effectExtent l="12065" t="8255" r="1270" b="4445"/>
                      <wp:docPr id="6" name="Group 2"/>
                      <wp:cNvGraphicFramePr/>
                      <a:graphic xmlns:a="http://schemas.openxmlformats.org/drawingml/2006/main">
                        <a:graphicData uri="http://schemas.microsoft.com/office/word/2010/wordprocessingGroup">
                          <wpg:wgp>
                            <wpg:cNvGrpSpPr/>
                            <wpg:grpSpPr>
                              <a:xfrm>
                                <a:off x="0" y="0"/>
                                <a:ext cx="786765" cy="6350"/>
                                <a:chOff x="0" y="0"/>
                                <a:chExt cx="1239" cy="10"/>
                              </a:xfrm>
                            </wpg:grpSpPr>
                            <wps:wsp>
                              <wps:cNvPr id="7" name="Line 4"/>
                              <wps:cNvCnPr>
                                <a:cxnSpLocks noChangeShapeType="1"/>
                              </wps:cNvCnPr>
                              <wps:spPr bwMode="auto">
                                <a:xfrm>
                                  <a:off x="0" y="5"/>
                                  <a:ext cx="1229" cy="0"/>
                                </a:xfrm>
                                <a:prstGeom prst="line">
                                  <a:avLst/>
                                </a:prstGeom>
                                <a:noFill/>
                                <a:ln w="6096">
                                  <a:solidFill>
                                    <a:srgbClr val="000000"/>
                                  </a:solidFill>
                                  <a:prstDash val="solid"/>
                                  <a:round/>
                                </a:ln>
                              </wps:spPr>
                              <wps:bodyPr/>
                            </wps:wsp>
                            <wps:wsp>
                              <wps:cNvPr id="8" name="Rectangle 3"/>
                              <wps:cNvSpPr>
                                <a:spLocks noChangeArrowheads="1"/>
                              </wps:cNvSpPr>
                              <wps:spPr bwMode="auto">
                                <a:xfrm>
                                  <a:off x="1228" y="0"/>
                                  <a:ext cx="10" cy="10"/>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2" o:spid="_x0000_s1026" o:spt="203" style="height:0.5pt;width:61.95pt;" coordsize="1239,10" o:gfxdata="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IOhGOLUAAAAAwEAAA8AAAAAAAAAAQAgAAAA&#10;IgAAAGRycy9kb3ducmV2LnhtbFBLAQIUABQAAAAIAIdO4kDGajwWugIAANAGAAAOAAAAAAAAAAEA&#10;IAAAACMBAABkcnMvZTJvRG9jLnhtbFBLBQYAAAAABgAGAFkBAABPBgAAAAA=&#10;">
                      <o:lock v:ext="edit" aspectratio="f"/>
                      <v:line id="Line 4" o:spid="_x0000_s1026" o:spt="20" style="position:absolute;left:0;top:5;height:0;width:1229;" filled="f" stroked="t"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Rectangle 3" o:spid="_x0000_s1026" o:spt="1" style="position:absolute;left:1228;top:0;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fill on="t" focussize="0,0"/>
                        <v:stroke on="f"/>
                        <v:imagedata o:title=""/>
                        <o:lock v:ext="edit" aspectratio="f"/>
                      </v:rect>
                      <w10:wrap type="none"/>
                      <w10:anchorlock/>
                    </v:group>
                  </w:pict>
                </mc:Fallback>
              </mc:AlternateContent>
            </w:r>
          </w:p>
        </w:tc>
      </w:tr>
    </w:tbl>
    <w:p>
      <w:pPr>
        <w:pStyle w:val="2"/>
        <w:spacing w:before="1"/>
        <w:rPr>
          <w:sz w:val="15"/>
        </w:rPr>
      </w:pPr>
    </w:p>
    <w:p>
      <w:pPr>
        <w:pStyle w:val="2"/>
        <w:spacing w:before="94"/>
        <w:ind w:left="232"/>
      </w:pPr>
      <w:r>
        <w:rPr>
          <w:i/>
        </w:rPr>
        <w:t xml:space="preserve">From: </w:t>
      </w:r>
      <w:r>
        <w:t>Moher D, Liberati A, Tetzlaff J, Altman DG, The PRISMA Group . Preferred Reporting Items for Systematic Reviews and Meta-Analyses: The PRISMA Statement. PLoS Med 6(7): e1000097. doi:10.1371/journal.pmed1000097</w:t>
      </w:r>
    </w:p>
    <w:p>
      <w:pPr>
        <w:spacing w:before="4"/>
        <w:ind w:left="5450" w:right="5450"/>
        <w:jc w:val="center"/>
        <w:rPr>
          <w:sz w:val="17"/>
        </w:rPr>
      </w:pPr>
      <w:r>
        <w:rPr>
          <w:color w:val="333399"/>
          <w:w w:val="105"/>
          <w:sz w:val="17"/>
        </w:rPr>
        <w:t xml:space="preserve">For more information, visit: </w:t>
      </w:r>
      <w:r>
        <w:fldChar w:fldCharType="begin"/>
      </w:r>
      <w:r>
        <w:instrText xml:space="preserve"> HYPERLINK "http://www.prisma-statement.org/" \h </w:instrText>
      </w:r>
      <w:r>
        <w:fldChar w:fldCharType="separate"/>
      </w:r>
      <w:r>
        <w:rPr>
          <w:b/>
          <w:color w:val="0063FF"/>
          <w:w w:val="105"/>
          <w:sz w:val="17"/>
          <w:u w:val="single" w:color="0063FF"/>
        </w:rPr>
        <w:t>www.prisma</w:t>
      </w:r>
      <w:r>
        <w:rPr>
          <w:rFonts w:ascii="Calibri"/>
          <w:b/>
          <w:color w:val="0063FF"/>
          <w:w w:val="105"/>
          <w:sz w:val="17"/>
          <w:u w:val="single" w:color="0063FF"/>
        </w:rPr>
        <w:t>-</w:t>
      </w:r>
      <w:r>
        <w:rPr>
          <w:b/>
          <w:color w:val="0063FF"/>
          <w:w w:val="105"/>
          <w:sz w:val="17"/>
          <w:u w:val="single" w:color="0063FF"/>
        </w:rPr>
        <w:t>statement.org</w:t>
      </w:r>
      <w:r>
        <w:rPr>
          <w:w w:val="105"/>
          <w:sz w:val="17"/>
        </w:rPr>
        <w:t>.</w:t>
      </w:r>
      <w:r>
        <w:rPr>
          <w:w w:val="105"/>
          <w:sz w:val="17"/>
        </w:rPr>
        <w:fldChar w:fldCharType="end"/>
      </w:r>
    </w:p>
    <w:p>
      <w:pPr>
        <w:pStyle w:val="2"/>
        <w:spacing w:before="135"/>
        <w:ind w:left="5450" w:right="5450"/>
        <w:jc w:val="center"/>
      </w:pPr>
      <w:r>
        <w:t>Page 2 of 2</w:t>
      </w:r>
    </w:p>
    <w:sectPr>
      <w:pgSz w:w="15840" w:h="12240" w:orient="landscape"/>
      <w:pgMar w:top="1480" w:right="200" w:bottom="280" w:left="200" w:header="542"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Helvetica-Bold">
    <w:altName w:val="Segoe Print"/>
    <w:panose1 w:val="00000000000000000000"/>
    <w:charset w:val="00"/>
    <w:family w:val="auto"/>
    <w:pitch w:val="default"/>
    <w:sig w:usb0="00000000" w:usb1="00000000" w:usb2="00000000" w:usb3="00000000" w:csb0="00000000" w:csb1="00000000"/>
  </w:font>
  <w:font w:name="MinionPro-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drawing>
        <wp:anchor distT="0" distB="0" distL="0" distR="0" simplePos="0" relativeHeight="251657216" behindDoc="1" locked="0" layoutInCell="1" allowOverlap="1">
          <wp:simplePos x="0" y="0"/>
          <wp:positionH relativeFrom="page">
            <wp:posOffset>240665</wp:posOffset>
          </wp:positionH>
          <wp:positionV relativeFrom="page">
            <wp:posOffset>344170</wp:posOffset>
          </wp:positionV>
          <wp:extent cx="457200" cy="42037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 cstate="print"/>
                  <a:stretch>
                    <a:fillRect/>
                  </a:stretch>
                </pic:blipFill>
                <pic:spPr>
                  <a:xfrm>
                    <a:off x="0" y="0"/>
                    <a:ext cx="457200" cy="420624"/>
                  </a:xfrm>
                  <a:prstGeom prst="rect">
                    <a:avLst/>
                  </a:prstGeom>
                </pic:spPr>
              </pic:pic>
            </a:graphicData>
          </a:graphic>
        </wp:anchor>
      </w:drawing>
    </w:r>
    <w:r>
      <mc:AlternateContent>
        <mc:Choice Requires="wpg">
          <w:drawing>
            <wp:anchor distT="0" distB="0" distL="114300" distR="114300" simplePos="0" relativeHeight="251658240" behindDoc="1" locked="0" layoutInCell="1" allowOverlap="1">
              <wp:simplePos x="0" y="0"/>
              <wp:positionH relativeFrom="page">
                <wp:posOffset>201295</wp:posOffset>
              </wp:positionH>
              <wp:positionV relativeFrom="page">
                <wp:posOffset>932815</wp:posOffset>
              </wp:positionV>
              <wp:extent cx="1780540" cy="6350"/>
              <wp:effectExtent l="1270" t="8890" r="8890" b="3810"/>
              <wp:wrapNone/>
              <wp:docPr id="3" name="Group 2"/>
              <wp:cNvGraphicFramePr/>
              <a:graphic xmlns:a="http://schemas.openxmlformats.org/drawingml/2006/main">
                <a:graphicData uri="http://schemas.microsoft.com/office/word/2010/wordprocessingGroup">
                  <wpg:wgp>
                    <wpg:cNvGrpSpPr/>
                    <wpg:grpSpPr>
                      <a:xfrm>
                        <a:off x="0" y="0"/>
                        <a:ext cx="1780540" cy="6350"/>
                        <a:chOff x="317" y="1469"/>
                        <a:chExt cx="2804" cy="10"/>
                      </a:xfrm>
                    </wpg:grpSpPr>
                    <wps:wsp>
                      <wps:cNvPr id="4" name="Rectangle 4"/>
                      <wps:cNvSpPr>
                        <a:spLocks noChangeArrowheads="1"/>
                      </wps:cNvSpPr>
                      <wps:spPr bwMode="auto">
                        <a:xfrm>
                          <a:off x="316" y="1468"/>
                          <a:ext cx="10" cy="10"/>
                        </a:xfrm>
                        <a:prstGeom prst="rect">
                          <a:avLst/>
                        </a:prstGeom>
                        <a:solidFill>
                          <a:srgbClr val="000000"/>
                        </a:solidFill>
                        <a:ln>
                          <a:noFill/>
                        </a:ln>
                      </wps:spPr>
                      <wps:bodyPr rot="0" vert="horz" wrap="square" lIns="91440" tIns="45720" rIns="91440" bIns="45720" anchor="t" anchorCtr="0" upright="1">
                        <a:noAutofit/>
                      </wps:bodyPr>
                    </wps:wsp>
                    <wps:wsp>
                      <wps:cNvPr id="5" name="Line 3"/>
                      <wps:cNvCnPr>
                        <a:cxnSpLocks noChangeShapeType="1"/>
                      </wps:cNvCnPr>
                      <wps:spPr bwMode="auto">
                        <a:xfrm>
                          <a:off x="326" y="1474"/>
                          <a:ext cx="2794" cy="0"/>
                        </a:xfrm>
                        <a:prstGeom prst="line">
                          <a:avLst/>
                        </a:prstGeom>
                        <a:noFill/>
                        <a:ln w="6096">
                          <a:solidFill>
                            <a:srgbClr val="000000"/>
                          </a:solidFill>
                          <a:prstDash val="solid"/>
                          <a:round/>
                        </a:ln>
                      </wps:spPr>
                      <wps:bodyPr/>
                    </wps:wsp>
                  </wpg:wgp>
                </a:graphicData>
              </a:graphic>
            </wp:anchor>
          </w:drawing>
        </mc:Choice>
        <mc:Fallback>
          <w:pict>
            <v:group id="Group 2" o:spid="_x0000_s1026" o:spt="203" style="position:absolute;left:0pt;margin-left:15.85pt;margin-top:73.45pt;height:0.5pt;width:140.2pt;mso-position-horizontal-relative:page;mso-position-vertical-relative:page;z-index:-251658240;mso-width-relative:page;mso-height-relative:page;" coordorigin="317,1469" coordsize="2804,10" o:gfxdata="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FuAbrDZAAAACgEA&#10;AA8AAAAAAAAAAQAgAAAAIgAAAGRycy9kb3ducmV2LnhtbFBLAQIUABQAAAAIAIdO4kB6mN3uxAIA&#10;AN0GAAAOAAAAAAAAAAEAIAAAACgBAABkcnMvZTJvRG9jLnhtbFBLBQYAAAAABgAGAFkBAABeBgAA&#10;AAA=&#10;">
              <o:lock v:ext="edit" aspectratio="f"/>
              <v:rect id="Rectangle 4" o:spid="_x0000_s1026" o:spt="1" style="position:absolute;left:316;top:1468;height:10;width:10;" fillcolor="#000000" filled="t" stroked="f" coordsize="21600,21600" o:gfxdata="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WLcLvQAA&#10;ANoAAAAPAAAAAAAAAAEAIAAAACIAAABkcnMvZG93bnJldi54bWxQSwECFAAUAAAACACHTuJAMy8F&#10;njsAAAA5AAAAEAAAAAAAAAABACAAAAAMAQAAZHJzL3NoYXBleG1sLnhtbFBLBQYAAAAABgAGAFsB&#10;AAC2AwAAAAA=&#10;">
                <v:fill on="t" focussize="0,0"/>
                <v:stroke on="f"/>
                <v:imagedata o:title=""/>
                <o:lock v:ext="edit" aspectratio="f"/>
              </v:rect>
              <v:line id="Line 3" o:spid="_x0000_s1026" o:spt="20" style="position:absolute;left:326;top:1474;height:0;width:2794;" filled="f" stroked="t" coordsize="21600,21600" o:gfxdata="UEsDBAoAAAAAAIdO4kAAAAAAAAAAAAAAAAAEAAAAZHJzL1BLAwQUAAAACACHTuJAt1VsCrwAAADa&#10;AAAADwAAAGRycy9kb3ducmV2LnhtbEWPQYvCMBSE74L/ITzBm6YKur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VbAq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group>
          </w:pict>
        </mc:Fallback>
      </mc:AlternateContent>
    </w:r>
    <w:r>
      <mc:AlternateContent>
        <mc:Choice Requires="wps">
          <w:drawing>
            <wp:anchor distT="0" distB="0" distL="114300" distR="114300" simplePos="0" relativeHeight="251658240" behindDoc="1" locked="0" layoutInCell="1" allowOverlap="1">
              <wp:simplePos x="0" y="0"/>
              <wp:positionH relativeFrom="page">
                <wp:posOffset>947420</wp:posOffset>
              </wp:positionH>
              <wp:positionV relativeFrom="page">
                <wp:posOffset>445135</wp:posOffset>
              </wp:positionV>
              <wp:extent cx="2418715" cy="262890"/>
              <wp:effectExtent l="4445"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2418715" cy="262890"/>
                      </a:xfrm>
                      <a:prstGeom prst="rect">
                        <a:avLst/>
                      </a:prstGeom>
                      <a:noFill/>
                      <a:ln>
                        <a:noFill/>
                      </a:ln>
                    </wps:spPr>
                    <wps:txbx>
                      <w:txbxContent>
                        <w:p>
                          <w:pPr>
                            <w:spacing w:before="35"/>
                            <w:ind w:left="20"/>
                            <w:rPr>
                              <w:b/>
                              <w:sz w:val="31"/>
                            </w:rPr>
                          </w:pPr>
                          <w:r>
                            <w:rPr>
                              <w:b/>
                              <w:w w:val="110"/>
                              <w:sz w:val="31"/>
                            </w:rPr>
                            <w:t>PRISMA Checklist</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74.6pt;margin-top:35.05pt;height:20.7pt;width:190.45pt;mso-position-horizontal-relative:page;mso-position-vertical-relative:page;z-index:-251658240;mso-width-relative:page;mso-height-relative:page;" filled="f" stroked="f" coordsize="21600,21600" o:gfxdata="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NuIss2AAAAAoB&#10;AAAPAAAAAAAAAAEAIAAAACIAAABkcnMvZG93bnJldi54bWxQSwECFAAUAAAACACHTuJA9tK+UeIB&#10;AAC2AwAADgAAAAAAAAABACAAAAAnAQAAZHJzL2Uyb0RvYy54bWxQSwUGAAAAAAYABgBZAQAAewUA&#10;AAAA&#10;">
              <v:fill on="f" focussize="0,0"/>
              <v:stroke on="f"/>
              <v:imagedata o:title=""/>
              <o:lock v:ext="edit" aspectratio="f"/>
              <v:textbox inset="0mm,0mm,0mm,0mm">
                <w:txbxContent>
                  <w:p>
                    <w:pPr>
                      <w:spacing w:before="35"/>
                      <w:ind w:left="20"/>
                      <w:rPr>
                        <w:b/>
                        <w:sz w:val="31"/>
                      </w:rPr>
                    </w:pPr>
                    <w:r>
                      <w:rPr>
                        <w:b/>
                        <w:w w:val="110"/>
                        <w:sz w:val="31"/>
                      </w:rPr>
                      <w:t>PRISMA Checklist</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E95"/>
    <w:rsid w:val="000A4587"/>
    <w:rsid w:val="000D6DCD"/>
    <w:rsid w:val="0013595A"/>
    <w:rsid w:val="001C0E59"/>
    <w:rsid w:val="00210B25"/>
    <w:rsid w:val="0024571B"/>
    <w:rsid w:val="00246A52"/>
    <w:rsid w:val="002D4603"/>
    <w:rsid w:val="003502FF"/>
    <w:rsid w:val="00372B3A"/>
    <w:rsid w:val="0038017A"/>
    <w:rsid w:val="00443CE8"/>
    <w:rsid w:val="0048633B"/>
    <w:rsid w:val="004E6692"/>
    <w:rsid w:val="00510B73"/>
    <w:rsid w:val="00567E95"/>
    <w:rsid w:val="00777D04"/>
    <w:rsid w:val="007A3C56"/>
    <w:rsid w:val="008163F3"/>
    <w:rsid w:val="0087678F"/>
    <w:rsid w:val="008F0759"/>
    <w:rsid w:val="008F73CE"/>
    <w:rsid w:val="009027E6"/>
    <w:rsid w:val="009E6E07"/>
    <w:rsid w:val="00A01D20"/>
    <w:rsid w:val="00A53AEA"/>
    <w:rsid w:val="00AC19F9"/>
    <w:rsid w:val="00B67094"/>
    <w:rsid w:val="00BC73C7"/>
    <w:rsid w:val="00BD115C"/>
    <w:rsid w:val="00BF2A6B"/>
    <w:rsid w:val="00C56DE2"/>
    <w:rsid w:val="00C8549C"/>
    <w:rsid w:val="00C86F91"/>
    <w:rsid w:val="00CA1A35"/>
    <w:rsid w:val="00D13308"/>
    <w:rsid w:val="00D37F91"/>
    <w:rsid w:val="00D66CED"/>
    <w:rsid w:val="00DB726C"/>
    <w:rsid w:val="00DF2D69"/>
    <w:rsid w:val="00E27B30"/>
    <w:rsid w:val="00E52E93"/>
    <w:rsid w:val="00F25DD0"/>
    <w:rsid w:val="00F66A1A"/>
    <w:rsid w:val="00FA5B49"/>
    <w:rsid w:val="00FF6921"/>
    <w:rsid w:val="05184A0E"/>
    <w:rsid w:val="0F695D9C"/>
    <w:rsid w:val="0FB840CD"/>
    <w:rsid w:val="15163080"/>
    <w:rsid w:val="1E824DB2"/>
    <w:rsid w:val="24A16BC4"/>
    <w:rsid w:val="2F803CAD"/>
    <w:rsid w:val="359B736F"/>
    <w:rsid w:val="360E5032"/>
    <w:rsid w:val="494A0749"/>
    <w:rsid w:val="4EC93066"/>
    <w:rsid w:val="4F185B7B"/>
    <w:rsid w:val="4F8C30F4"/>
    <w:rsid w:val="5EF66189"/>
    <w:rsid w:val="6217529C"/>
    <w:rsid w:val="77E9555F"/>
    <w:rsid w:val="7EF70F61"/>
    <w:rsid w:val="7FEC5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w:hAnsi="Arial" w:eastAsia="Arial" w:cs="Arial"/>
      <w:sz w:val="22"/>
      <w:szCs w:val="22"/>
      <w:lang w:val="en-US" w:eastAsia="en-US"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sz w:val="16"/>
      <w:szCs w:val="16"/>
    </w:rPr>
  </w:style>
  <w:style w:type="paragraph" w:styleId="3">
    <w:name w:val="footer"/>
    <w:basedOn w:val="1"/>
    <w:link w:val="13"/>
    <w:unhideWhenUsed/>
    <w:qFormat/>
    <w:uiPriority w:val="99"/>
    <w:pPr>
      <w:tabs>
        <w:tab w:val="center" w:pos="4153"/>
        <w:tab w:val="right" w:pos="8306"/>
      </w:tabs>
      <w:snapToGrid w:val="0"/>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pPr>
      <w:spacing w:before="32"/>
    </w:pPr>
  </w:style>
  <w:style w:type="character" w:customStyle="1" w:styleId="12">
    <w:name w:val="页眉 字符"/>
    <w:basedOn w:val="8"/>
    <w:link w:val="4"/>
    <w:uiPriority w:val="99"/>
    <w:rPr>
      <w:rFonts w:ascii="Arial" w:hAnsi="Arial" w:eastAsia="Arial" w:cs="Arial"/>
      <w:sz w:val="18"/>
      <w:szCs w:val="18"/>
    </w:rPr>
  </w:style>
  <w:style w:type="character" w:customStyle="1" w:styleId="13">
    <w:name w:val="页脚 字符"/>
    <w:basedOn w:val="8"/>
    <w:link w:val="3"/>
    <w:uiPriority w:val="99"/>
    <w:rPr>
      <w:rFonts w:ascii="Arial" w:hAnsi="Arial" w:eastAsia="Arial" w:cs="Arial"/>
      <w:sz w:val="18"/>
      <w:szCs w:val="18"/>
    </w:rPr>
  </w:style>
  <w:style w:type="character" w:customStyle="1" w:styleId="14">
    <w:name w:val="fontstyle01"/>
    <w:basedOn w:val="8"/>
    <w:qFormat/>
    <w:uiPriority w:val="0"/>
    <w:rPr>
      <w:rFonts w:ascii="Helvetica-Bold" w:hAnsi="Helvetica-Bold" w:eastAsia="Helvetica-Bold" w:cs="Helvetica-Bold"/>
      <w:b/>
      <w:color w:val="000000"/>
      <w:sz w:val="24"/>
      <w:szCs w:val="24"/>
    </w:rPr>
  </w:style>
  <w:style w:type="character" w:customStyle="1" w:styleId="15">
    <w:name w:val="fontstyle21"/>
    <w:basedOn w:val="8"/>
    <w:qFormat/>
    <w:uiPriority w:val="0"/>
    <w:rPr>
      <w:rFonts w:ascii="MinionPro-Regular" w:hAnsi="MinionPro-Regular" w:eastAsia="MinionPro-Regular" w:cs="MinionPro-Regular"/>
      <w:color w:val="00000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1059</Words>
  <Characters>6040</Characters>
  <Lines>50</Lines>
  <Paragraphs>14</Paragraphs>
  <TotalTime>51</TotalTime>
  <ScaleCrop>false</ScaleCrop>
  <LinksUpToDate>false</LinksUpToDate>
  <CharactersWithSpaces>7085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2020-06-10T03:56:00Z</dcterms:created>
  <dc:creator>86134</dc:creator>
  <cp:lastModifiedBy>夜空下的仰望1426679715</cp:lastModifiedBy>
  <dcterms:modified xsi:type="dcterms:W3CDTF">2020-06-10T07:58:46Z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