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3475A" w14:textId="77777777" w:rsidR="00077361" w:rsidRPr="008933BC" w:rsidRDefault="00077361" w:rsidP="00077361">
      <w:pPr>
        <w:spacing w:line="360" w:lineRule="auto"/>
        <w:rPr>
          <w:rFonts w:cs="Times New Roman"/>
          <w:b/>
          <w:bCs/>
          <w:sz w:val="20"/>
          <w:szCs w:val="20"/>
          <w:lang w:bidi="fa-IR"/>
        </w:rPr>
      </w:pPr>
      <w:r w:rsidRPr="008933BC">
        <w:rPr>
          <w:rFonts w:cs="Times New Roman"/>
          <w:b/>
          <w:bCs/>
          <w:sz w:val="20"/>
          <w:szCs w:val="20"/>
          <w:lang w:bidi="fa-IR"/>
        </w:rPr>
        <w:t>Supporting information</w:t>
      </w:r>
    </w:p>
    <w:p w14:paraId="0D35146D"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Table S1</w:t>
      </w:r>
      <w:r w:rsidRPr="008933BC">
        <w:rPr>
          <w:rFonts w:cs="Times New Roman"/>
          <w:sz w:val="20"/>
          <w:szCs w:val="20"/>
        </w:rPr>
        <w:t xml:space="preserve"> Gene-specific primers used in qRT-PCR analysis</w:t>
      </w:r>
    </w:p>
    <w:p w14:paraId="485D4D13"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Table S2</w:t>
      </w:r>
      <w:r w:rsidRPr="008933BC">
        <w:rPr>
          <w:rFonts w:cs="Times New Roman"/>
          <w:sz w:val="20"/>
          <w:szCs w:val="20"/>
        </w:rPr>
        <w:t xml:space="preserve"> ANOVA results for Na</w:t>
      </w:r>
      <w:r w:rsidRPr="008933BC">
        <w:rPr>
          <w:rFonts w:cs="Times New Roman"/>
          <w:sz w:val="20"/>
          <w:szCs w:val="20"/>
          <w:vertAlign w:val="superscript"/>
        </w:rPr>
        <w:t>+</w:t>
      </w:r>
      <w:r w:rsidRPr="008933BC">
        <w:rPr>
          <w:rFonts w:cs="Times New Roman"/>
          <w:sz w:val="20"/>
          <w:szCs w:val="20"/>
        </w:rPr>
        <w:t>, K</w:t>
      </w:r>
      <w:r w:rsidRPr="008933BC">
        <w:rPr>
          <w:rFonts w:cs="Times New Roman"/>
          <w:sz w:val="20"/>
          <w:szCs w:val="20"/>
          <w:vertAlign w:val="superscript"/>
        </w:rPr>
        <w:t>+</w:t>
      </w:r>
      <w:r w:rsidRPr="008933BC">
        <w:rPr>
          <w:rFonts w:cs="Times New Roman"/>
          <w:sz w:val="20"/>
          <w:szCs w:val="20"/>
        </w:rPr>
        <w:t xml:space="preserve"> and Na</w:t>
      </w:r>
      <w:r w:rsidRPr="008933BC">
        <w:rPr>
          <w:rFonts w:cs="Times New Roman"/>
          <w:sz w:val="20"/>
          <w:szCs w:val="20"/>
          <w:vertAlign w:val="superscript"/>
        </w:rPr>
        <w:t>+</w:t>
      </w:r>
      <w:r w:rsidRPr="008933BC">
        <w:rPr>
          <w:rFonts w:cs="Times New Roman"/>
          <w:sz w:val="20"/>
          <w:szCs w:val="20"/>
        </w:rPr>
        <w:t>/ K</w:t>
      </w:r>
      <w:r w:rsidRPr="008933BC">
        <w:rPr>
          <w:rFonts w:cs="Times New Roman"/>
          <w:sz w:val="20"/>
          <w:szCs w:val="20"/>
          <w:vertAlign w:val="superscript"/>
        </w:rPr>
        <w:t>+</w:t>
      </w:r>
      <w:r w:rsidRPr="008933BC">
        <w:rPr>
          <w:rFonts w:cs="Times New Roman"/>
          <w:sz w:val="20"/>
          <w:szCs w:val="20"/>
        </w:rPr>
        <w:t xml:space="preserve"> ratio in roots and shoots</w:t>
      </w:r>
    </w:p>
    <w:p w14:paraId="3E62A393" w14:textId="77777777" w:rsidR="00077361" w:rsidRPr="008933BC" w:rsidRDefault="00077361" w:rsidP="00077361">
      <w:pPr>
        <w:spacing w:after="0" w:line="360" w:lineRule="auto"/>
        <w:jc w:val="both"/>
        <w:rPr>
          <w:rFonts w:eastAsia="Times New Roman" w:cs="Times New Roman"/>
          <w:sz w:val="20"/>
          <w:szCs w:val="20"/>
        </w:rPr>
      </w:pPr>
      <w:r w:rsidRPr="008933BC">
        <w:rPr>
          <w:rFonts w:eastAsia="Times New Roman" w:cs="Times New Roman"/>
          <w:b/>
          <w:bCs/>
          <w:sz w:val="20"/>
          <w:szCs w:val="20"/>
        </w:rPr>
        <w:t>Table S3</w:t>
      </w:r>
      <w:r w:rsidRPr="008933BC">
        <w:rPr>
          <w:rFonts w:eastAsia="Times New Roman" w:cs="Times New Roman"/>
          <w:sz w:val="20"/>
          <w:szCs w:val="20"/>
        </w:rPr>
        <w:t xml:space="preserve"> RNA-Seq statistics</w:t>
      </w:r>
    </w:p>
    <w:p w14:paraId="692A17CA" w14:textId="77777777" w:rsidR="00077361" w:rsidRPr="008933BC" w:rsidRDefault="00077361" w:rsidP="00077361">
      <w:pPr>
        <w:spacing w:after="0" w:line="360" w:lineRule="auto"/>
        <w:jc w:val="both"/>
        <w:rPr>
          <w:rFonts w:eastAsia="Times New Roman" w:cs="Times New Roman"/>
          <w:b/>
          <w:bCs/>
          <w:sz w:val="20"/>
          <w:szCs w:val="20"/>
        </w:rPr>
      </w:pPr>
      <w:r w:rsidRPr="008933BC">
        <w:rPr>
          <w:rFonts w:eastAsia="Times New Roman" w:cs="Times New Roman"/>
          <w:b/>
          <w:bCs/>
          <w:sz w:val="20"/>
          <w:szCs w:val="20"/>
        </w:rPr>
        <w:t xml:space="preserve">Table S4 </w:t>
      </w:r>
      <w:r w:rsidRPr="008933BC">
        <w:rPr>
          <w:rFonts w:eastAsia="Times New Roman" w:cs="Times New Roman"/>
          <w:sz w:val="20"/>
          <w:szCs w:val="20"/>
        </w:rPr>
        <w:t>Significant (P value cutoff ≤0.05) enriched terms of GO biological process (BP) for salt-responsive genes from the comparison between the genotypes under salt-specific condition in different organs and time points. ns: non-significant</w:t>
      </w:r>
    </w:p>
    <w:p w14:paraId="0EDF94F9" w14:textId="77777777" w:rsidR="00077361" w:rsidRPr="008933BC" w:rsidRDefault="00077361" w:rsidP="00077361">
      <w:pPr>
        <w:spacing w:after="0" w:line="360" w:lineRule="auto"/>
        <w:jc w:val="both"/>
        <w:rPr>
          <w:rFonts w:eastAsia="Times New Roman" w:cs="Times New Roman"/>
          <w:sz w:val="20"/>
          <w:szCs w:val="20"/>
        </w:rPr>
      </w:pPr>
      <w:r w:rsidRPr="008933BC">
        <w:rPr>
          <w:rFonts w:eastAsia="Times New Roman" w:cs="Times New Roman"/>
          <w:b/>
          <w:bCs/>
          <w:sz w:val="20"/>
          <w:szCs w:val="20"/>
        </w:rPr>
        <w:t>Table S5</w:t>
      </w:r>
      <w:r w:rsidRPr="008933BC">
        <w:rPr>
          <w:rFonts w:eastAsia="Times New Roman" w:cs="Times New Roman"/>
          <w:sz w:val="20"/>
          <w:szCs w:val="20"/>
        </w:rPr>
        <w:t xml:space="preserve"> GO enrichment analysis of the hub genes in CSR28</w:t>
      </w:r>
    </w:p>
    <w:p w14:paraId="3262E036" w14:textId="77777777" w:rsidR="00077361" w:rsidRPr="008933BC" w:rsidRDefault="00077361" w:rsidP="00077361">
      <w:pPr>
        <w:spacing w:after="0" w:line="360" w:lineRule="auto"/>
        <w:jc w:val="both"/>
        <w:rPr>
          <w:rFonts w:eastAsia="Times New Roman" w:cs="Times New Roman"/>
          <w:sz w:val="20"/>
          <w:szCs w:val="20"/>
        </w:rPr>
      </w:pPr>
      <w:r w:rsidRPr="008933BC">
        <w:rPr>
          <w:rFonts w:eastAsia="Times New Roman" w:cs="Times New Roman"/>
          <w:b/>
          <w:bCs/>
          <w:sz w:val="20"/>
          <w:szCs w:val="20"/>
        </w:rPr>
        <w:t>Table S6</w:t>
      </w:r>
      <w:r w:rsidRPr="008933BC">
        <w:rPr>
          <w:rFonts w:eastAsia="Times New Roman" w:cs="Times New Roman"/>
          <w:sz w:val="20"/>
          <w:szCs w:val="20"/>
        </w:rPr>
        <w:t xml:space="preserve"> GO enrichment analysis of the hub genes in IR28</w:t>
      </w:r>
    </w:p>
    <w:p w14:paraId="16404399"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Table S7</w:t>
      </w:r>
      <w:r w:rsidRPr="008933BC">
        <w:rPr>
          <w:rFonts w:cs="Times New Roman"/>
          <w:sz w:val="20"/>
          <w:szCs w:val="20"/>
        </w:rPr>
        <w:t xml:space="preserve"> KEGG enrichment analysis of the hub genes in CSR28</w:t>
      </w:r>
    </w:p>
    <w:p w14:paraId="3A6DFF1A"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Fig. S1</w:t>
      </w:r>
      <w:r w:rsidRPr="008933BC">
        <w:rPr>
          <w:rFonts w:cs="Times New Roman"/>
          <w:sz w:val="20"/>
          <w:szCs w:val="20"/>
        </w:rPr>
        <w:t xml:space="preserve"> The content of Na</w:t>
      </w:r>
      <w:r w:rsidRPr="008933BC">
        <w:rPr>
          <w:rFonts w:cs="Times New Roman"/>
          <w:sz w:val="20"/>
          <w:szCs w:val="20"/>
          <w:vertAlign w:val="superscript"/>
        </w:rPr>
        <w:t>+</w:t>
      </w:r>
      <w:r w:rsidRPr="008933BC">
        <w:rPr>
          <w:rFonts w:cs="Times New Roman"/>
          <w:sz w:val="20"/>
          <w:szCs w:val="20"/>
        </w:rPr>
        <w:t>, K</w:t>
      </w:r>
      <w:r w:rsidRPr="008933BC">
        <w:rPr>
          <w:rFonts w:cs="Times New Roman"/>
          <w:sz w:val="20"/>
          <w:szCs w:val="20"/>
          <w:vertAlign w:val="superscript"/>
        </w:rPr>
        <w:t>+</w:t>
      </w:r>
      <w:r w:rsidRPr="008933BC">
        <w:rPr>
          <w:rFonts w:cs="Times New Roman"/>
          <w:sz w:val="20"/>
          <w:szCs w:val="20"/>
        </w:rPr>
        <w:t xml:space="preserve"> and Na</w:t>
      </w:r>
      <w:r w:rsidRPr="008933BC">
        <w:rPr>
          <w:rFonts w:cs="Times New Roman"/>
          <w:sz w:val="20"/>
          <w:szCs w:val="20"/>
          <w:vertAlign w:val="superscript"/>
        </w:rPr>
        <w:t>+</w:t>
      </w:r>
      <w:r w:rsidRPr="008933BC">
        <w:rPr>
          <w:rFonts w:cs="Times New Roman"/>
          <w:sz w:val="20"/>
          <w:szCs w:val="20"/>
        </w:rPr>
        <w:t>/K</w:t>
      </w:r>
      <w:r w:rsidRPr="008933BC">
        <w:rPr>
          <w:rFonts w:cs="Times New Roman"/>
          <w:sz w:val="20"/>
          <w:szCs w:val="20"/>
          <w:vertAlign w:val="superscript"/>
        </w:rPr>
        <w:t>+</w:t>
      </w:r>
      <w:r w:rsidRPr="008933BC">
        <w:rPr>
          <w:rFonts w:cs="Times New Roman"/>
          <w:sz w:val="20"/>
          <w:szCs w:val="20"/>
        </w:rPr>
        <w:t xml:space="preserve"> ratio in the roots (a, b, c) and shoots (d, e, f) in different treatments and sampling times. For each combination of genotypes, treatments and sampling times, different letters indicate a significant difference based on Duncan's multiple range test (P ≤ 0.05)</w:t>
      </w:r>
    </w:p>
    <w:p w14:paraId="28E05CF7"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Fig. S2</w:t>
      </w:r>
      <w:r w:rsidRPr="008933BC">
        <w:rPr>
          <w:rFonts w:cs="Times New Roman"/>
          <w:sz w:val="20"/>
          <w:szCs w:val="20"/>
        </w:rPr>
        <w:t xml:space="preserve"> The number of DEGs in 32 comparative combinations using 16 transcriptome samples. R: root, S: shoot, CT: control, SS: salt stress, 6h: 6-hour timepoint, 54h: 54-hour timepoint, CSR28: salt-tolerant genotype, IR28: salt-sensitive genotype</w:t>
      </w:r>
    </w:p>
    <w:p w14:paraId="425B4560"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Fig. S3</w:t>
      </w:r>
      <w:r w:rsidRPr="008933BC">
        <w:rPr>
          <w:rFonts w:cs="Times New Roman"/>
          <w:sz w:val="20"/>
          <w:szCs w:val="20"/>
        </w:rPr>
        <w:t xml:space="preserve"> a) Identification and grouping of TF families for differential genes in response to salinity stress (comparison of control and salinity samples), b) Heatmap for 60 differential genes belonging to the MYB transcription family. Values are based on log2 fold change. Red and green colors indicate increase and decrease of expression in response to salinity, respectively</w:t>
      </w:r>
    </w:p>
    <w:p w14:paraId="42813EF4"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Fig. S4</w:t>
      </w:r>
      <w:r w:rsidRPr="008933BC">
        <w:rPr>
          <w:rFonts w:cs="Times New Roman"/>
          <w:sz w:val="20"/>
          <w:szCs w:val="20"/>
        </w:rPr>
        <w:t xml:space="preserve"> Part of GO functional subterm network at biological process level for salt-specific genes in the roots at 54-hour timepoint</w:t>
      </w:r>
    </w:p>
    <w:p w14:paraId="7358F0A0" w14:textId="77777777" w:rsidR="00077361" w:rsidRPr="008933BC" w:rsidRDefault="00077361" w:rsidP="00077361">
      <w:pPr>
        <w:tabs>
          <w:tab w:val="left" w:pos="6314"/>
        </w:tabs>
        <w:spacing w:line="360" w:lineRule="auto"/>
        <w:jc w:val="both"/>
        <w:rPr>
          <w:rFonts w:cs="Times New Roman"/>
          <w:sz w:val="20"/>
          <w:szCs w:val="20"/>
        </w:rPr>
      </w:pPr>
      <w:r w:rsidRPr="008933BC">
        <w:rPr>
          <w:rFonts w:cs="Times New Roman"/>
          <w:b/>
          <w:bCs/>
          <w:sz w:val="20"/>
          <w:szCs w:val="20"/>
        </w:rPr>
        <w:t>Fig. S5</w:t>
      </w:r>
      <w:r w:rsidRPr="008933BC">
        <w:rPr>
          <w:rFonts w:cs="Times New Roman"/>
          <w:sz w:val="20"/>
          <w:szCs w:val="20"/>
        </w:rPr>
        <w:t xml:space="preserve"> GO enrichment analysis of 50 salt-responsive related hub genes in the roots at 54-hour timepoint. BP: Biological process, MF: Molecular function, CC: Cellular component, CSR28: salt-tolerant genotype, IR28: salt-sensitive genotype</w:t>
      </w:r>
    </w:p>
    <w:p w14:paraId="36143019" w14:textId="77777777" w:rsidR="00077361" w:rsidRPr="008933BC" w:rsidRDefault="00077361" w:rsidP="00077361">
      <w:pPr>
        <w:spacing w:line="360" w:lineRule="auto"/>
        <w:jc w:val="both"/>
        <w:rPr>
          <w:rFonts w:cs="Times New Roman"/>
          <w:sz w:val="20"/>
          <w:szCs w:val="20"/>
        </w:rPr>
      </w:pPr>
      <w:r w:rsidRPr="008933BC">
        <w:rPr>
          <w:rFonts w:cs="Times New Roman"/>
          <w:b/>
          <w:bCs/>
          <w:sz w:val="20"/>
          <w:szCs w:val="20"/>
        </w:rPr>
        <w:t>Fig. S6</w:t>
      </w:r>
      <w:r w:rsidRPr="008933BC">
        <w:rPr>
          <w:rFonts w:cs="Times New Roman"/>
          <w:sz w:val="20"/>
          <w:szCs w:val="20"/>
        </w:rPr>
        <w:t xml:space="preserve"> a) Comparison of the expression of salinity-responsive genes in two approaches, RNA-Seq and qRT-PCR, b) Correlation between RNA-Seq and qRT-PCR expression data</w:t>
      </w:r>
    </w:p>
    <w:p w14:paraId="3F86003B" w14:textId="77777777" w:rsidR="00077361" w:rsidRPr="008933BC" w:rsidRDefault="00077361" w:rsidP="00077361">
      <w:pPr>
        <w:tabs>
          <w:tab w:val="left" w:pos="6314"/>
        </w:tabs>
        <w:spacing w:line="360" w:lineRule="auto"/>
        <w:jc w:val="both"/>
        <w:rPr>
          <w:rFonts w:cs="Times New Roman"/>
          <w:sz w:val="20"/>
          <w:szCs w:val="20"/>
          <w:rtl/>
          <w:lang w:bidi="fa-IR"/>
        </w:rPr>
      </w:pPr>
      <w:r w:rsidRPr="008933BC">
        <w:rPr>
          <w:rFonts w:cs="Times New Roman"/>
          <w:b/>
          <w:bCs/>
          <w:sz w:val="20"/>
          <w:szCs w:val="20"/>
        </w:rPr>
        <w:t>Fig. S7</w:t>
      </w:r>
      <w:r w:rsidRPr="008933BC">
        <w:rPr>
          <w:rFonts w:cs="Times New Roman"/>
          <w:sz w:val="20"/>
          <w:szCs w:val="20"/>
        </w:rPr>
        <w:t xml:space="preserve"> Carotenoid biosynthesis pathway for salt-specific genes in the roots at 54-hour timepoint. The genes encoding enzymes are shown as red stars</w:t>
      </w:r>
    </w:p>
    <w:p w14:paraId="227AF518" w14:textId="77777777" w:rsidR="00755780" w:rsidRDefault="00755780"/>
    <w:sectPr w:rsidR="00755780" w:rsidSect="00AF1DD0">
      <w:footerReference w:type="defaul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C3A669" w14:textId="77777777" w:rsidR="00506F38" w:rsidRDefault="00077361">
    <w:pPr>
      <w:pStyle w:val="Footer"/>
      <w:jc w:val="center"/>
    </w:pPr>
    <w:r>
      <w:fldChar w:fldCharType="begin"/>
    </w:r>
    <w:r>
      <w:instrText xml:space="preserve"> PAGE   \* MERGEFORMAT </w:instrText>
    </w:r>
    <w:r>
      <w:fldChar w:fldCharType="separate"/>
    </w:r>
    <w:r>
      <w:rPr>
        <w:noProof/>
      </w:rPr>
      <w:t>2</w:t>
    </w:r>
    <w:r>
      <w:rPr>
        <w:noProof/>
      </w:rPr>
      <w:fldChar w:fldCharType="end"/>
    </w:r>
  </w:p>
  <w:p w14:paraId="76D3CEDA" w14:textId="77777777" w:rsidR="00506F38" w:rsidRDefault="0007736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361"/>
    <w:rsid w:val="00077361"/>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F3E4"/>
  <w15:chartTrackingRefBased/>
  <w15:docId w15:val="{1B21AE54-1A74-4554-AD3A-32E569CEC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361"/>
    <w:rPr>
      <w:rFonts w:ascii="Times New Roman" w:eastAsia="Calibri" w:hAnsi="Times New Roman" w:cs="B Nazanin"/>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77361"/>
    <w:pPr>
      <w:tabs>
        <w:tab w:val="center" w:pos="4680"/>
        <w:tab w:val="right" w:pos="9360"/>
      </w:tabs>
    </w:pPr>
  </w:style>
  <w:style w:type="character" w:customStyle="1" w:styleId="FooterChar">
    <w:name w:val="Footer Char"/>
    <w:basedOn w:val="DefaultParagraphFont"/>
    <w:link w:val="Footer"/>
    <w:uiPriority w:val="99"/>
    <w:rsid w:val="00077361"/>
    <w:rPr>
      <w:rFonts w:ascii="Times New Roman" w:eastAsia="Calibri" w:hAnsi="Times New Roman" w:cs="B Nazanin"/>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330</Words>
  <Characters>1883</Characters>
  <Application>Microsoft Office Word</Application>
  <DocSecurity>0</DocSecurity>
  <Lines>15</Lines>
  <Paragraphs>4</Paragraphs>
  <ScaleCrop>false</ScaleCrop>
  <Company>Springer Nature</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2023-06-06T05:08:00Z</dcterms:created>
  <dcterms:modified xsi:type="dcterms:W3CDTF">2023-06-06T05:08:00Z</dcterms:modified>
</cp:coreProperties>
</file>