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sz w:val="30"/>
          <w:szCs w:val="30"/>
        </w:rPr>
        <w:t xml:space="preserve">Inflammatory Macrophages Lysate-based Macroporous Hydrogel for 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t xml:space="preserve">ffective 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30"/>
          <w:szCs w:val="30"/>
        </w:rPr>
        <w:t>mmunomodulation to Inhibit Tumor Progression, Recurrence and Metastasis</w:t>
      </w:r>
    </w:p>
    <w:p>
      <w:pPr>
        <w:pStyle w:val="16"/>
        <w:spacing w:before="156" w:beforeLines="50" w:after="156" w:afterLines="50" w:line="360" w:lineRule="auto"/>
        <w:jc w:val="center"/>
        <w:rPr>
          <w:rFonts w:hint="default" w:ascii="Times New Roman" w:hAnsi="Times New Roman" w:cs="Times New Roman"/>
          <w:b w:val="0"/>
          <w:bCs/>
          <w:vertAlign w:val="superscript"/>
        </w:rPr>
      </w:pPr>
      <w:bookmarkStart w:id="1" w:name="_GoBack"/>
      <w:bookmarkEnd w:id="1"/>
      <w:r>
        <w:rPr>
          <w:rFonts w:hint="default" w:ascii="Times New Roman" w:hAnsi="Times New Roman" w:cs="Times New Roman"/>
          <w:b w:val="0"/>
          <w:bCs/>
        </w:rPr>
        <w:t>Wanyu Li,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</w:rPr>
        <w:t xml:space="preserve"> Dan Wang,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</w:rPr>
        <w:t xml:space="preserve"> Tianshou Cao,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</w:rPr>
        <w:t xml:space="preserve"> Yanan Chen,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>1</w:t>
      </w:r>
      <w:r>
        <w:rPr>
          <w:rFonts w:hint="default" w:ascii="Times New Roman" w:hAnsi="Times New Roman" w:cs="Times New Roman"/>
          <w:b w:val="0"/>
          <w:bCs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</w:rPr>
        <w:t>Jilong Wang,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>2,3</w:t>
      </w:r>
      <w:r>
        <w:rPr>
          <w:rFonts w:hint="eastAsia" w:ascii="Times New Roman" w:hAnsi="Times New Roman" w:cs="Times New Roman"/>
          <w:b w:val="0"/>
          <w:bCs/>
          <w:vertAlign w:val="superscript"/>
          <w:lang w:val="en-US" w:eastAsia="zh-CN"/>
        </w:rPr>
        <w:t>,4</w:t>
      </w:r>
      <w:r>
        <w:rPr>
          <w:rFonts w:hint="default" w:ascii="Times New Roman" w:hAnsi="Times New Roman" w:cs="Times New Roman"/>
          <w:b w:val="0"/>
          <w:bCs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</w:rPr>
        <w:t>Chihao Lin,</w:t>
      </w:r>
      <w:r>
        <w:rPr>
          <w:rFonts w:hint="eastAsia" w:ascii="Times New Roman" w:hAnsi="Times New Roman" w:cs="Times New Roman"/>
          <w:b w:val="0"/>
          <w:bCs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/>
        </w:rPr>
        <w:t xml:space="preserve">  Huiling Yang,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 xml:space="preserve">1,* </w:t>
      </w:r>
      <w:r>
        <w:rPr>
          <w:rFonts w:hint="default" w:ascii="Times New Roman" w:hAnsi="Times New Roman" w:cs="Times New Roman"/>
          <w:b w:val="0"/>
          <w:bCs/>
        </w:rPr>
        <w:t>Jiantao Lin,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 xml:space="preserve">1,* </w:t>
      </w:r>
      <w:r>
        <w:rPr>
          <w:rFonts w:hint="default" w:ascii="Times New Roman" w:hAnsi="Times New Roman" w:cs="Times New Roman"/>
          <w:b w:val="0"/>
          <w:bCs/>
        </w:rPr>
        <w:t>Junjie Deng,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>2,3,</w:t>
      </w:r>
      <w:r>
        <w:rPr>
          <w:rFonts w:hint="eastAsia" w:ascii="Times New Roman" w:hAnsi="Times New Roman" w:cs="Times New Roman"/>
          <w:b w:val="0"/>
          <w:bCs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/>
          <w:vertAlign w:val="superscript"/>
        </w:rPr>
        <w:t>*</w:t>
      </w:r>
    </w:p>
    <w:p>
      <w:pPr>
        <w:pStyle w:val="16"/>
        <w:numPr>
          <w:ilvl w:val="0"/>
          <w:numId w:val="1"/>
        </w:numPr>
        <w:spacing w:before="0" w:after="0" w:line="360" w:lineRule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</w:rPr>
        <w:t xml:space="preserve">Guangdong Provincial Key Laboratory of Research and Development of Natural Drugs, School of Pharmacy, </w:t>
      </w:r>
      <w:bookmarkStart w:id="0" w:name="OLE_LINK13"/>
      <w:r>
        <w:rPr>
          <w:rFonts w:hint="default" w:ascii="Times New Roman" w:hAnsi="Times New Roman" w:cs="Times New Roman"/>
          <w:b w:val="0"/>
          <w:bCs/>
        </w:rPr>
        <w:t>Guangdong Medical University</w:t>
      </w:r>
      <w:bookmarkEnd w:id="0"/>
      <w:r>
        <w:rPr>
          <w:rFonts w:hint="default" w:ascii="Times New Roman" w:hAnsi="Times New Roman" w:cs="Times New Roman"/>
          <w:b w:val="0"/>
          <w:bCs/>
        </w:rPr>
        <w:t>, Dongguan 523000, China.</w:t>
      </w:r>
    </w:p>
    <w:p>
      <w:pPr>
        <w:pStyle w:val="16"/>
        <w:numPr>
          <w:ilvl w:val="0"/>
          <w:numId w:val="1"/>
        </w:numPr>
        <w:spacing w:before="0" w:after="0" w:line="360" w:lineRule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</w:rPr>
        <w:t>Joint Centre of Translational Medicine, The First Affiliated Hospital of Wenzhou Medical University, Wenzhou, Zhejiang 325000, China.</w:t>
      </w:r>
    </w:p>
    <w:p>
      <w:pPr>
        <w:pStyle w:val="16"/>
        <w:numPr>
          <w:ilvl w:val="0"/>
          <w:numId w:val="1"/>
        </w:numPr>
        <w:spacing w:before="0" w:after="0" w:line="360" w:lineRule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</w:rPr>
        <w:t>Joint Centre of Translational Medicine, Wenzhou Institute, University of Chinese Academy of Sciences, Wenzhou, Zhejiang 325000, China.</w:t>
      </w:r>
    </w:p>
    <w:p>
      <w:pPr>
        <w:pStyle w:val="16"/>
        <w:numPr>
          <w:ilvl w:val="0"/>
          <w:numId w:val="1"/>
        </w:numPr>
        <w:spacing w:before="0" w:after="0" w:line="360" w:lineRule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</w:rPr>
        <w:t>Zhejiang Engineering Research Center for Tissue Repair Materials, Wenzhou Institute, University of Chinese Academy of Sciences, Wenzhou, Zhejiang 325000, China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.</w:t>
      </w:r>
    </w:p>
    <w:p>
      <w:pPr>
        <w:pStyle w:val="16"/>
        <w:numPr>
          <w:ilvl w:val="0"/>
          <w:numId w:val="1"/>
        </w:numPr>
        <w:spacing w:before="0" w:after="0" w:line="360" w:lineRule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 w:val="0"/>
          <w:bCs/>
        </w:rPr>
        <w:t>The Second School of Medicine, Wenzhou Medical University, Wenzhou, Zhejiang 325000, China.</w:t>
      </w:r>
    </w:p>
    <w:p>
      <w:pPr>
        <w:spacing w:after="156" w:afterLines="50" w:line="360" w:lineRule="auto"/>
        <w:rPr>
          <w:rFonts w:hint="default" w:ascii="Times New Roman" w:hAnsi="Times New Roman" w:cs="Times New Roman"/>
          <w:b/>
          <w:bCs/>
          <w:sz w:val="24"/>
        </w:rPr>
      </w:pPr>
    </w:p>
    <w:p>
      <w:pPr>
        <w:spacing w:after="156" w:afterLines="50" w:line="360" w:lineRule="auto"/>
        <w:rPr>
          <w:rFonts w:hint="default"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ascii="Times New Roman" w:hAnsi="Times New Roman" w:eastAsia="MS Gothic" w:cs="Times New Roman"/>
          <w:kern w:val="0"/>
          <w:sz w:val="24"/>
          <w:lang w:eastAsia="ja-JP"/>
        </w:r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b/>
          <w:sz w:val="24"/>
          <w:lang w:eastAsia="ja-JP"/>
        </w:rPr>
      </w:pPr>
      <w:r>
        <w:rPr>
          <w:rFonts w:hint="eastAsia" w:ascii="Times New Roman" w:hAnsi="Times New Roman" w:cs="Times New Roman" w:eastAsiaTheme="minorEastAsia"/>
          <w:b/>
          <w:sz w:val="24"/>
          <w:lang w:eastAsia="ja-JP"/>
        </w:rPr>
        <w:t>Supporting Table</w:t>
      </w:r>
    </w:p>
    <w:p>
      <w:pPr>
        <w:spacing w:line="360" w:lineRule="auto"/>
        <w:jc w:val="both"/>
        <w:rPr>
          <w:rFonts w:hint="eastAsia" w:ascii="Times New Roman" w:hAnsi="Times New Roman" w:eastAsia="MS Gothic" w:cs="Times New Roman"/>
          <w:kern w:val="0"/>
          <w:sz w:val="24"/>
          <w:lang w:eastAsia="ja-JP"/>
        </w:rPr>
      </w:pPr>
      <w:r>
        <w:rPr>
          <w:rFonts w:hint="eastAsia" w:ascii="Times New Roman" w:hAnsi="Times New Roman" w:eastAsia="MS Gothic" w:cs="Times New Roman"/>
          <w:kern w:val="0"/>
          <w:sz w:val="24"/>
          <w:lang w:eastAsia="ja-JP"/>
        </w:rPr>
        <w:t>Supporting Table 1. Primer sequences of all genes used in PCR.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/>
          <w:sz w:val="24"/>
          <w:lang w:val="en-US" w:eastAsia="zh-CN"/>
        </w:rPr>
      </w:pPr>
      <w:r>
        <w:rPr>
          <w:rFonts w:ascii="Times New Roman" w:hAnsi="Times New Roman" w:cs="Times New Roman"/>
          <w:b/>
          <w:sz w:val="24"/>
        </w:rPr>
        <w:t>Supporting Figure</w:t>
      </w:r>
      <w:r>
        <w:rPr>
          <w:rFonts w:hint="eastAsia" w:cs="Times New Roman"/>
          <w:b/>
          <w:sz w:val="24"/>
          <w:lang w:val="en-US" w:eastAsia="zh-CN"/>
        </w:rPr>
        <w:t>s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Supporting Figure 1. The relative mRNA expression (INOS, TNF-α, ARG, and TGF-β) of M0, M1</w:t>
      </w:r>
      <w:r>
        <w:rPr>
          <w:rFonts w:hint="default" w:cs="Times New Roman"/>
          <w:sz w:val="24"/>
        </w:rPr>
        <w:t>,</w:t>
      </w:r>
      <w:r>
        <w:rPr>
          <w:rFonts w:hint="default" w:ascii="Times New Roman" w:hAnsi="Times New Roman" w:cs="Times New Roman"/>
          <w:sz w:val="24"/>
        </w:rPr>
        <w:t xml:space="preserve"> and M2 macrophages. Data were expressed as mean ± SD (n=3</w:t>
      </w:r>
      <w:r>
        <w:rPr>
          <w:rFonts w:hint="eastAsia" w:cs="Times New Roman"/>
          <w:sz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</w:rPr>
        <w:t xml:space="preserve"> **</w:t>
      </w:r>
      <w:r>
        <w:rPr>
          <w:rFonts w:hint="default" w:ascii="Times New Roman" w:hAnsi="Times New Roman" w:cs="Times New Roman"/>
          <w:i/>
          <w:iCs/>
          <w:sz w:val="24"/>
        </w:rPr>
        <w:t xml:space="preserve">p </w:t>
      </w:r>
      <w:r>
        <w:rPr>
          <w:rFonts w:hint="default" w:ascii="Times New Roman" w:hAnsi="Times New Roman" w:cs="Times New Roman"/>
          <w:sz w:val="24"/>
        </w:rPr>
        <w:t>&lt; 0.01, ***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 xml:space="preserve"> &lt; 0.001, ****</w:t>
      </w:r>
      <w:r>
        <w:rPr>
          <w:rFonts w:hint="default" w:ascii="Times New Roman" w:hAnsi="Times New Roman" w:cs="Times New Roman"/>
          <w:i/>
          <w:iCs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 xml:space="preserve"> &lt; 0.0001).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Supporting Figure 2. Representative transwell invasion assays of M0, M1</w:t>
      </w:r>
      <w:r>
        <w:rPr>
          <w:rFonts w:hint="default" w:cs="Times New Roman"/>
          <w:sz w:val="24"/>
        </w:rPr>
        <w:t>,</w:t>
      </w:r>
      <w:r>
        <w:rPr>
          <w:rFonts w:hint="default" w:ascii="Times New Roman" w:hAnsi="Times New Roman" w:cs="Times New Roman"/>
          <w:sz w:val="24"/>
        </w:rPr>
        <w:t xml:space="preserve"> and M2 macrophages after Alg-MA or M1LMH-100 treatments. Scale bar = 100 µm.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Supporting Figure 3. (</w:t>
      </w:r>
      <w:r>
        <w:rPr>
          <w:rFonts w:hint="default" w:ascii="Times New Roman" w:hAnsi="Times New Roman" w:cs="Times New Roman"/>
          <w:sz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</w:rPr>
        <w:t>)</w:t>
      </w:r>
      <w:r>
        <w:rPr>
          <w:rFonts w:hint="eastAsia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Fluorescence microscope pictures of B16F10-mCherry after different treatments. Scale bar = 100 µm. (</w:t>
      </w:r>
      <w:r>
        <w:rPr>
          <w:rFonts w:hint="default" w:ascii="Times New Roman" w:hAnsi="Times New Roman" w:cs="Times New Roman"/>
          <w:sz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</w:rPr>
        <w:t xml:space="preserve">) The corresponding fluorescence intensities of B16F10-mCherry after different treatments </w:t>
      </w:r>
      <w:r>
        <w:rPr>
          <w:rFonts w:hint="default" w:ascii="Times New Roman" w:hAnsi="Times New Roman" w:cs="Times New Roman"/>
          <w:i/>
          <w:iCs/>
          <w:sz w:val="24"/>
        </w:rPr>
        <w:t>via</w:t>
      </w:r>
      <w:r>
        <w:rPr>
          <w:rFonts w:hint="default" w:ascii="Times New Roman" w:hAnsi="Times New Roman" w:cs="Times New Roman"/>
          <w:sz w:val="24"/>
        </w:rPr>
        <w:t xml:space="preserve"> Image J soft. (</w:t>
      </w:r>
      <w:r>
        <w:rPr>
          <w:rFonts w:hint="default" w:ascii="Times New Roman" w:hAnsi="Times New Roman" w:cs="Times New Roman"/>
          <w:sz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</w:rPr>
        <w:t xml:space="preserve">) The fluorescence intensities of B16F10-mCherry after different treatments </w:t>
      </w:r>
      <w:r>
        <w:rPr>
          <w:rFonts w:hint="default" w:ascii="Times New Roman" w:hAnsi="Times New Roman" w:cs="Times New Roman"/>
          <w:i/>
          <w:iCs/>
          <w:sz w:val="24"/>
        </w:rPr>
        <w:t>via</w:t>
      </w:r>
      <w:r>
        <w:rPr>
          <w:rFonts w:hint="default" w:ascii="Times New Roman" w:hAnsi="Times New Roman" w:cs="Times New Roman"/>
          <w:sz w:val="24"/>
        </w:rPr>
        <w:t xml:space="preserve"> using a full wavelength microplate reader at a wavelength of 587 nm. Data are expressed as mean ± SD (n = 3, 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&lt; 0.05, </w:t>
      </w:r>
      <w:r>
        <w:rPr>
          <w:rFonts w:hint="default" w:ascii="Times New Roman" w:hAnsi="Times New Roman" w:cs="Times New Roman"/>
          <w:sz w:val="24"/>
        </w:rPr>
        <w:t>**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 xml:space="preserve"> &lt; 0.01).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t>Supporting Figure 4. (</w:t>
      </w:r>
      <w:r>
        <w:rPr>
          <w:rFonts w:hint="default" w:ascii="Times New Roman" w:hAnsi="Times New Roman" w:cs="Times New Roman"/>
          <w:sz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</w:rPr>
        <w:t>) Flow cytometry analysis and geometric median fluorescence intensity of Rho signals in M0 macrophages after incubation with Rho-labeled M1LMH-100 for 1, 2, and 3 d</w:t>
      </w:r>
      <w:r>
        <w:rPr>
          <w:rFonts w:hint="default" w:cs="Times New Roman"/>
          <w:sz w:val="24"/>
        </w:rPr>
        <w:t>ays</w:t>
      </w:r>
      <w:r>
        <w:rPr>
          <w:rFonts w:hint="default" w:ascii="Times New Roman" w:hAnsi="Times New Roman" w:cs="Times New Roman"/>
          <w:sz w:val="24"/>
        </w:rPr>
        <w:t>, respectively. (</w:t>
      </w:r>
      <w:r>
        <w:rPr>
          <w:rFonts w:hint="default" w:ascii="Times New Roman" w:hAnsi="Times New Roman" w:cs="Times New Roman"/>
          <w:sz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</w:rPr>
        <w:t>) Representative confocal microscopy images of M0 macrophages after incubation with fluorescence-labeled M1LMH-100. Scale bar = 20 µm.</w:t>
      </w:r>
      <w:r>
        <w:rPr>
          <w:rFonts w:hint="eastAsia" w:cs="Times New Roman"/>
          <w:sz w:val="24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</w:rPr>
        <w:t>Data are expressed as mean ± SD (n = 3).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Supporting Figure 5.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Optical image of BMDC</w:t>
      </w:r>
      <w:r>
        <w:rPr>
          <w:rFonts w:hint="eastAsia" w:cs="Times New Roman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</w:rPr>
        <w:t xml:space="preserve"> after incubation with Alg-MA or M1LMH-100. Scale bar = 100 µm.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Supporting Figure 6. Viability of B16F10 cells after different concentrations of OXA treatments.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Supporting Figure 7.</w:t>
      </w:r>
      <w:r>
        <w:rPr>
          <w:rFonts w:hint="default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</w:rPr>
        <w:t>(</w:t>
      </w:r>
      <w:r>
        <w:rPr>
          <w:rFonts w:hint="default" w:ascii="Times New Roman" w:hAnsi="Times New Roman" w:cs="Times New Roman"/>
          <w:sz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</w:rPr>
        <w:t>)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Representative pictures of the fluorescence degradation of subcutaneously injected Rho-labeled M1LMH-100. </w:t>
      </w:r>
      <w:r>
        <w:rPr>
          <w:rFonts w:hint="default" w:ascii="Times New Roman" w:hAnsi="Times New Roman" w:cs="Times New Roman"/>
          <w:sz w:val="24"/>
        </w:rPr>
        <w:t>(</w:t>
      </w:r>
      <w:r>
        <w:rPr>
          <w:rFonts w:hint="default" w:ascii="Times New Roman" w:hAnsi="Times New Roman" w:cs="Times New Roman"/>
          <w:sz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</w:rPr>
        <w:t>)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The statistics of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fluorescence intensity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Data are expressed as mean ± SD (n = 3).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Supporting Figure 8. Contents of TNF-α, IL-6</w:t>
      </w:r>
      <w:r>
        <w:rPr>
          <w:rFonts w:hint="default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and IL-10 in mouse serum. Data are expressed as mean ± SD (n = 6, </w:t>
      </w:r>
      <w:r>
        <w:rPr>
          <w:rFonts w:hint="default" w:ascii="Times New Roman" w:hAnsi="Times New Roman" w:cs="Times New Roman"/>
          <w:sz w:val="24"/>
        </w:rPr>
        <w:t>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&lt; 0.05, </w:t>
      </w:r>
      <w:r>
        <w:rPr>
          <w:rFonts w:hint="default" w:ascii="Times New Roman" w:hAnsi="Times New Roman" w:cs="Times New Roman"/>
          <w:sz w:val="24"/>
        </w:rPr>
        <w:t>**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 xml:space="preserve"> &lt; 0.0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1).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Supporting Figure 9. </w:t>
      </w:r>
      <w:r>
        <w:rPr>
          <w:rFonts w:hint="default" w:ascii="Times New Roman" w:hAnsi="Times New Roman" w:cs="Times New Roman"/>
          <w:sz w:val="24"/>
        </w:rPr>
        <w:t>(</w:t>
      </w:r>
      <w:r>
        <w:rPr>
          <w:rFonts w:hint="default" w:ascii="Times New Roman" w:hAnsi="Times New Roman" w:cs="Times New Roman"/>
          <w:sz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</w:rPr>
        <w:t>)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Representative flow cytometry plots of CD3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CD4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 cells and CD3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CD8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 cells in TDLNs. </w:t>
      </w:r>
      <w:r>
        <w:rPr>
          <w:rFonts w:hint="default" w:ascii="Times New Roman" w:hAnsi="Times New Roman" w:cs="Times New Roman"/>
          <w:sz w:val="24"/>
        </w:rPr>
        <w:t>(</w:t>
      </w:r>
      <w:r>
        <w:rPr>
          <w:rFonts w:hint="default" w:ascii="Times New Roman" w:hAnsi="Times New Roman" w:cs="Times New Roman"/>
          <w:sz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</w:rPr>
        <w:t>)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The statistics of CD8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 and CD4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 cells. Data are expressed as mean ± SD (n = 6, </w:t>
      </w:r>
      <w:r>
        <w:rPr>
          <w:rFonts w:hint="default" w:ascii="Times New Roman" w:hAnsi="Times New Roman" w:cs="Times New Roman"/>
          <w:sz w:val="24"/>
        </w:rPr>
        <w:t>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>&lt; 0.05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).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Supporting Figure </w:t>
      </w:r>
      <w:r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H&amp;E staining images of heart,</w:t>
      </w:r>
      <w:r>
        <w:rPr>
          <w:rFonts w:hint="eastAsia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liver,</w:t>
      </w:r>
      <w:r>
        <w:rPr>
          <w:rFonts w:hint="eastAsia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spleen,</w:t>
      </w:r>
      <w:r>
        <w:rPr>
          <w:rFonts w:hint="eastAsia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lung</w:t>
      </w:r>
      <w:r>
        <w:rPr>
          <w:rFonts w:hint="default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and kidney in the mice lungs after different treatments. Scale bar = 100 µm.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Supporting Figure </w:t>
      </w:r>
      <w:r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Representative flow cytometry plots of CD3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CD4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T cells in TDLNs and the statistics of CD3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>CD4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hint="default" w:ascii="Times New Roman" w:hAnsi="Times New Roman" w:cs="Times New Roman"/>
          <w:sz w:val="24"/>
          <w:szCs w:val="24"/>
        </w:rPr>
        <w:t xml:space="preserve"> T cells. Data are expressed as mean ± SD (n =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</w:rPr>
        <w:t>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 xml:space="preserve">&lt; 0.05, </w:t>
      </w:r>
      <w:r>
        <w:rPr>
          <w:rFonts w:hint="default" w:ascii="Times New Roman" w:hAnsi="Times New Roman" w:cs="Times New Roman"/>
          <w:sz w:val="24"/>
        </w:rPr>
        <w:t>**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</w:rPr>
        <w:t xml:space="preserve"> &lt; 0.01</w:t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>
      <w:pPr>
        <w:widowControl/>
        <w:tabs>
          <w:tab w:val="left" w:pos="3411"/>
        </w:tabs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Supporting Figure </w:t>
      </w:r>
      <w:r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. Representative flow cytometry plots of CD3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CD4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 cells in tumor and the statistics of CD3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CD4</w:t>
      </w:r>
      <w:r>
        <w:rPr>
          <w:rFonts w:hint="default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 cells. Data are expressed as mean ± SD (n = 6, </w:t>
      </w:r>
      <w:r>
        <w:rPr>
          <w:rFonts w:hint="default" w:ascii="Times New Roman" w:hAnsi="Times New Roman" w:cs="Times New Roman"/>
          <w:sz w:val="24"/>
        </w:rPr>
        <w:t>*</w:t>
      </w:r>
      <w:r>
        <w:rPr>
          <w:rFonts w:hint="default" w:ascii="Times New Roman" w:hAnsi="Times New Roman" w:cs="Times New Roman"/>
          <w:i/>
          <w:sz w:val="24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>&lt; 0.05</w:t>
      </w:r>
      <w:r>
        <w:rPr>
          <w:rFonts w:hint="default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).</w:t>
      </w: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b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b/>
          <w:szCs w:val="21"/>
        </w:rPr>
        <w:t>Table S1</w:t>
      </w:r>
      <w:r>
        <w:rPr>
          <w:szCs w:val="21"/>
        </w:rPr>
        <w:t>. Primer sequences of all genes used in PCR.</w:t>
      </w:r>
    </w:p>
    <w:tbl>
      <w:tblPr>
        <w:tblStyle w:val="5"/>
        <w:tblW w:w="870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3809"/>
        <w:gridCol w:w="38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87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38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934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TNF-α</w:t>
            </w:r>
          </w:p>
        </w:tc>
        <w:tc>
          <w:tcPr>
            <w:tcW w:w="3873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AGGGTCTGGGCCATAGAAC</w:t>
            </w:r>
          </w:p>
        </w:tc>
        <w:tc>
          <w:tcPr>
            <w:tcW w:w="3895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CCACCACGCTCTTCTGTCTAC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934" w:type="dxa"/>
            <w:tcBorders>
              <w:top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INOS</w:t>
            </w:r>
          </w:p>
        </w:tc>
        <w:tc>
          <w:tcPr>
            <w:tcW w:w="3873" w:type="dxa"/>
            <w:tcBorders>
              <w:top w:val="nil"/>
            </w:tcBorders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GAGACGCACAGGCAGAGG</w:t>
            </w:r>
          </w:p>
        </w:tc>
        <w:tc>
          <w:tcPr>
            <w:tcW w:w="3895" w:type="dxa"/>
            <w:tcBorders>
              <w:top w:val="nil"/>
            </w:tcBorders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CAGGCACACGCAATGATGG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4" w:type="dxa"/>
          </w:tcPr>
          <w:p>
            <w:pP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INF-γ</w:t>
            </w:r>
          </w:p>
        </w:tc>
        <w:tc>
          <w:tcPr>
            <w:tcW w:w="3873" w:type="dxa"/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GAGACGCACAGGCAGAGG</w:t>
            </w:r>
          </w:p>
        </w:tc>
        <w:tc>
          <w:tcPr>
            <w:tcW w:w="3895" w:type="dxa"/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CAGGCACACGCAATGATGG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934" w:type="dxa"/>
          </w:tcPr>
          <w:p>
            <w:pP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IL-1</w:t>
            </w:r>
            <w:r>
              <w:rPr>
                <w:rFonts w:hint="eastAsia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3873" w:type="dxa"/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GCTTCTCCCACAGGAGGTTT</w:t>
            </w:r>
          </w:p>
        </w:tc>
        <w:tc>
          <w:tcPr>
            <w:tcW w:w="3895" w:type="dxa"/>
          </w:tcPr>
          <w:p>
            <w:pP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CTAGACAAGGGCATGCTGGT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934" w:type="dxa"/>
          </w:tcPr>
          <w:p>
            <w:pP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hint="eastAsia" w:cs="Times New Roman"/>
                <w:szCs w:val="21"/>
                <w:lang w:val="en-US" w:eastAsia="zh-CN"/>
              </w:rPr>
              <w:t>RG</w:t>
            </w:r>
          </w:p>
        </w:tc>
        <w:tc>
          <w:tcPr>
            <w:tcW w:w="3873" w:type="dxa"/>
          </w:tcPr>
          <w:p>
            <w:pP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  <w:t>TTGGGTGGATGCTCACACTG</w:t>
            </w:r>
          </w:p>
        </w:tc>
        <w:tc>
          <w:tcPr>
            <w:tcW w:w="3895" w:type="dxa"/>
          </w:tcPr>
          <w:p>
            <w:pP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MS Mincho"/>
                <w:sz w:val="21"/>
                <w:szCs w:val="21"/>
                <w:lang w:val="en-US" w:eastAsia="zh-CN"/>
              </w:rPr>
              <w:t>GTACACGATGTC TTTGGCAGA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34" w:type="dxa"/>
          </w:tcPr>
          <w:p>
            <w:pP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TGF-β</w:t>
            </w:r>
          </w:p>
        </w:tc>
        <w:tc>
          <w:tcPr>
            <w:tcW w:w="3873" w:type="dxa"/>
          </w:tcPr>
          <w:p>
            <w:pPr>
              <w:rPr>
                <w:rFonts w:ascii="Times New Roman" w:hAnsi="Times New Roman" w:eastAsia="MS Mincho"/>
                <w:sz w:val="21"/>
                <w:szCs w:val="21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CAACCCAGGTCCTTCCTAAA</w:t>
            </w:r>
          </w:p>
        </w:tc>
        <w:tc>
          <w:tcPr>
            <w:tcW w:w="3895" w:type="dxa"/>
          </w:tcPr>
          <w:p>
            <w:pPr>
              <w:rPr>
                <w:rFonts w:ascii="Times New Roman" w:hAnsi="Times New Roman" w:eastAsia="MS Mincho"/>
                <w:sz w:val="21"/>
                <w:szCs w:val="21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GGAGAGCCCTGGATACCAAC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4" w:type="dxa"/>
          </w:tcPr>
          <w:p>
            <w:pP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NF-κB</w:t>
            </w:r>
          </w:p>
        </w:tc>
        <w:tc>
          <w:tcPr>
            <w:tcW w:w="3873" w:type="dxa"/>
          </w:tcPr>
          <w:p>
            <w:pPr>
              <w:rPr>
                <w:rFonts w:ascii="Times New Roman" w:hAnsi="Times New Roman" w:eastAsia="MS Mincho"/>
                <w:sz w:val="21"/>
                <w:szCs w:val="21"/>
              </w:rPr>
            </w:pPr>
            <w:r>
              <w:rPr>
                <w:rFonts w:ascii="Times New Roman" w:hAnsi="Times New Roman" w:eastAsia="MS Mincho"/>
                <w:sz w:val="21"/>
                <w:szCs w:val="21"/>
              </w:rPr>
              <w:t>TGGTGAAGACGCCAGTGGA</w:t>
            </w:r>
          </w:p>
        </w:tc>
        <w:tc>
          <w:tcPr>
            <w:tcW w:w="3895" w:type="dxa"/>
          </w:tcPr>
          <w:p>
            <w:pPr>
              <w:rPr>
                <w:rFonts w:ascii="Times New Roman" w:hAnsi="Times New Roman" w:eastAsia="MS Mincho"/>
                <w:sz w:val="21"/>
                <w:szCs w:val="21"/>
              </w:rPr>
            </w:pPr>
            <w:r>
              <w:rPr>
                <w:rFonts w:hint="default" w:ascii="Times New Roman" w:hAnsi="Times New Roman" w:eastAsia="MS Mincho"/>
                <w:sz w:val="21"/>
                <w:szCs w:val="21"/>
                <w:lang w:val="en-US" w:eastAsia="zh-CN"/>
              </w:rPr>
              <w:t>TCAACTCCCCTGAAAGGGTCCG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4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3873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MS Mincho"/>
                <w:sz w:val="21"/>
                <w:szCs w:val="21"/>
              </w:rPr>
              <w:t>GCACCGTCAAGGCTGAGAAC</w:t>
            </w:r>
          </w:p>
        </w:tc>
        <w:tc>
          <w:tcPr>
            <w:tcW w:w="389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MS Mincho"/>
                <w:sz w:val="21"/>
                <w:szCs w:val="21"/>
              </w:rPr>
              <w:t>TGGTGAAGACGCCAGTGGA</w:t>
            </w:r>
          </w:p>
        </w:tc>
      </w:tr>
    </w:tbl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both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3980815" cy="3943985"/>
            <wp:effectExtent l="0" t="0" r="0" b="0"/>
            <wp:docPr id="14" name="图片 14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eastAsia="宋体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S1.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The relative mRNA expression (INOS, TNF-α, ARG, and TGF-β) of M0, M1, and M2 macrophages. Data were expressed as mean ± SD (n=3, **p &lt; 0.01, ***p &lt; 0.001, ****p &lt; 0.0001).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191760" cy="3466465"/>
            <wp:effectExtent l="0" t="0" r="2540" b="635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rcRect l="1470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S2.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Representative transwell invasion assays of M0, M1, and M2 macrophages after Alg-MA or M1LMH-100 treatments. Scale bar = 100 µm.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drawing>
          <wp:inline distT="0" distB="0" distL="114300" distR="114300">
            <wp:extent cx="5143500" cy="3446145"/>
            <wp:effectExtent l="0" t="0" r="0" b="0"/>
            <wp:docPr id="6" name="图片 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3"/>
                    <pic:cNvPicPr>
                      <a:picLocks noChangeAspect="1"/>
                    </pic:cNvPicPr>
                  </pic:nvPicPr>
                  <pic:blipFill>
                    <a:blip r:embed="rId6"/>
                    <a:srcRect l="1336" r="334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S3.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cs="Times New Roman"/>
          <w:sz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Fluorescence microscope pictures of B16F10-mCherry after different treatments. Scale bar = 100 µm. (b) The corresponding fluorescence intensities of B16F10-mCherry after different treatments via Image J soft. (c) The fluorescence intensities of B16F10-mCherry after different treatments via using a full wavelength microplate reader at a wavelength of 587 nm. Data are expressed as mean ± SD (n = 3, *p &lt; 0.05, **p &lt; 0.01).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175250" cy="5132705"/>
            <wp:effectExtent l="0" t="0" r="2540" b="508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 xml:space="preserve">Figure S4.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cs="Times New Roman"/>
          <w:sz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Flow cytometry analysis and geometric median fluorescence intensity of Rho signals in M0 macrophages after incubation with Rho-labeled M1LMH-100 for 1, 2, and 3 d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Hans"/>
        </w:rPr>
        <w:t>ays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, respectively.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cs="Times New Roman"/>
          <w:sz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Representative confocal microscopy images of M0 macrophages after incubation with fluorescence-labeled M1LMH-100. Scale bar = 20 µm.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ascii="Times New Roman Regular" w:hAnsi="Times New Roman Regular" w:cs="Times New Roman Regular"/>
        </w:rPr>
        <w:t>Data are expressed as mean ± SD (n = 3).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4779010" cy="774065"/>
            <wp:effectExtent l="0" t="0" r="635" b="1905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S5.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Optical image of BMDC after incubation with Alg-MA or M1LMH-100. Scale bar = 100 µm.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drawing>
          <wp:inline distT="0" distB="0" distL="114300" distR="114300">
            <wp:extent cx="3608705" cy="2694305"/>
            <wp:effectExtent l="0" t="0" r="0" b="0"/>
            <wp:docPr id="7" name="图片 7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8705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S6.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Viability of B16F10 cells after different concentrations of OXA treatments.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393055" cy="1312545"/>
            <wp:effectExtent l="0" t="0" r="4445" b="0"/>
            <wp:docPr id="8" name="图片 8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5"/>
                    <pic:cNvPicPr>
                      <a:picLocks noChangeAspect="1"/>
                    </pic:cNvPicPr>
                  </pic:nvPicPr>
                  <pic:blipFill>
                    <a:blip r:embed="rId10"/>
                    <a:srcRect l="675" r="2411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S7.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cs="Times New Roman"/>
          <w:sz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default" w:cs="Times New Roman"/>
          <w:sz w:val="24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Representative pictures of the fluorescence degradation of subcutaneously injected Rho-labeled M1LMH-100.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cs="Times New Roman"/>
          <w:sz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The statistics of </w:t>
      </w:r>
      <w:r>
        <w:rPr>
          <w:rFonts w:ascii="Times New Roman Regular" w:hAnsi="Times New Roman Regular" w:cs="Times New Roman Regular"/>
        </w:rPr>
        <w:t xml:space="preserve">fluorescence </w:t>
      </w:r>
      <w:r>
        <w:rPr>
          <w:rFonts w:hint="eastAsia" w:ascii="Times New Roman Regular" w:hAnsi="Times New Roman Regular" w:cs="Times New Roman Regular"/>
        </w:rPr>
        <w:t>intensity</w:t>
      </w:r>
      <w:r>
        <w:rPr>
          <w:rFonts w:hint="default" w:ascii="Times New Roman Regular" w:hAnsi="Times New Roman Regular" w:cs="Times New Roman Regular"/>
          <w:sz w:val="24"/>
          <w:szCs w:val="24"/>
        </w:rPr>
        <w:t>. Data are expressed as mean ± SD (n = 3).</w:t>
      </w:r>
      <w:r>
        <w:rPr>
          <w:rFonts w:hint="default" w:ascii="Times New Roman Regular" w:hAnsi="Times New Roman Regular" w:cs="Times New Roman Regular"/>
          <w:sz w:val="24"/>
          <w:szCs w:val="24"/>
        </w:rPr>
        <w:cr/>
      </w: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4867910" cy="2899410"/>
            <wp:effectExtent l="0" t="0" r="0" b="8890"/>
            <wp:docPr id="9" name="图片 9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2"/>
                    <pic:cNvPicPr>
                      <a:picLocks noChangeAspect="1"/>
                    </pic:cNvPicPr>
                  </pic:nvPicPr>
                  <pic:blipFill>
                    <a:blip r:embed="rId11"/>
                    <a:srcRect r="7627" b="12057"/>
                    <a:stretch>
                      <a:fillRect/>
                    </a:stretch>
                  </pic:blipFill>
                  <pic:spPr>
                    <a:xfrm>
                      <a:off x="0" y="0"/>
                      <a:ext cx="486791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S8.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Contents of TNF-α, IL-6, and IL-10 in mouse serum. Data are expressed as mean ± SD (n =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6</w:t>
      </w:r>
      <w:r>
        <w:rPr>
          <w:rFonts w:hint="default" w:ascii="Times New Roman Regular" w:hAnsi="Times New Roman Regular" w:cs="Times New Roman Regular"/>
          <w:sz w:val="24"/>
          <w:szCs w:val="24"/>
        </w:rPr>
        <w:t>, *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&lt; 0.05, **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&lt; 0.01).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268595" cy="2981960"/>
            <wp:effectExtent l="0" t="0" r="0" b="0"/>
            <wp:docPr id="10" name="图片 10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S9.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cs="Times New Roman"/>
          <w:sz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Representative flow cytometry plots of CD3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>CD4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cells and CD3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>CD8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cells in TDLNs.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cs="Times New Roman"/>
          <w:sz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The statistics of CD8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and CD4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cells. Data are expressed as mean ± SD (n =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6</w:t>
      </w:r>
      <w:r>
        <w:rPr>
          <w:rFonts w:hint="default" w:ascii="Times New Roman Regular" w:hAnsi="Times New Roman Regular" w:cs="Times New Roman Regular"/>
          <w:sz w:val="24"/>
          <w:szCs w:val="24"/>
        </w:rPr>
        <w:t>, *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&lt; 0.05).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4925695" cy="3042285"/>
            <wp:effectExtent l="0" t="0" r="1905" b="5715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S10.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</w:rPr>
        <w:t>H&amp;E staining images of heart, liver, spleen, lung and kidney in the mice lungs after different treatments. Scale bar = 100 µm.</w:t>
      </w:r>
      <w:r>
        <w:rPr>
          <w:rFonts w:hint="default" w:ascii="Times New Roman Regular" w:hAnsi="Times New Roman Regular" w:cs="Times New Roman Regular"/>
          <w:sz w:val="24"/>
          <w:szCs w:val="24"/>
        </w:rPr>
        <w:cr/>
      </w: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320030" cy="1734820"/>
            <wp:effectExtent l="0" t="0" r="0" b="0"/>
            <wp:docPr id="12" name="图片 12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5"/>
                    <pic:cNvPicPr>
                      <a:picLocks noChangeAspect="1"/>
                    </pic:cNvPicPr>
                  </pic:nvPicPr>
                  <pic:blipFill>
                    <a:blip r:embed="rId14"/>
                    <a:srcRect r="4181"/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 xml:space="preserve">Figure S11. </w:t>
      </w:r>
      <w:r>
        <w:rPr>
          <w:rFonts w:hint="default" w:ascii="Times New Roman Regular" w:hAnsi="Times New Roman Regular" w:cs="Times New Roman Regular"/>
          <w:sz w:val="24"/>
          <w:szCs w:val="24"/>
        </w:rPr>
        <w:t>Representative flow cytometry plots of CD3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>CD4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cells in TDLNs and the statistics of CD3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>CD4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cells. Data are expressed as mean ± SD (n =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6</w:t>
      </w:r>
      <w:r>
        <w:rPr>
          <w:rFonts w:hint="default" w:ascii="Times New Roman Regular" w:hAnsi="Times New Roman Regular" w:cs="Times New Roman Regular"/>
          <w:sz w:val="24"/>
          <w:szCs w:val="24"/>
        </w:rPr>
        <w:t>, *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&lt; 0.05, **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&lt; 0.01).</w:t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line="360" w:lineRule="auto"/>
        <w:jc w:val="center"/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</w:pPr>
      <w:r>
        <w:rPr>
          <w:rFonts w:hint="eastAsia" w:ascii="Times New Roman Regular" w:hAnsi="Times New Roman Regular" w:eastAsia="宋体" w:cs="Times New Roman Regular"/>
          <w:sz w:val="24"/>
          <w:szCs w:val="24"/>
          <w:lang w:eastAsia="zh-CN"/>
        </w:rPr>
        <w:drawing>
          <wp:inline distT="0" distB="0" distL="114300" distR="114300">
            <wp:extent cx="5281930" cy="1812290"/>
            <wp:effectExtent l="0" t="0" r="0" b="0"/>
            <wp:docPr id="15" name="图片 15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6"/>
                    <pic:cNvPicPr>
                      <a:picLocks noChangeAspect="1"/>
                    </pic:cNvPicPr>
                  </pic:nvPicPr>
                  <pic:blipFill>
                    <a:blip r:embed="rId15"/>
                    <a:srcRect r="4251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>Figure S12.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Representative flow cytometry plots of CD3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>CD4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cells in tumor and the statistics of CD3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>CD4</w:t>
      </w:r>
      <w:r>
        <w:rPr>
          <w:rFonts w:hint="default" w:ascii="Times New Roman Regular" w:hAnsi="Times New Roman Regular" w:cs="Times New Roman Regular"/>
          <w:sz w:val="24"/>
          <w:szCs w:val="24"/>
          <w:vertAlign w:val="superscript"/>
        </w:rPr>
        <w:t>+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T cells. Data are expressed as mean ± SD (n =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6</w:t>
      </w:r>
      <w:r>
        <w:rPr>
          <w:rFonts w:hint="default" w:ascii="Times New Roman Regular" w:hAnsi="Times New Roman Regular" w:cs="Times New Roman Regular"/>
          <w:sz w:val="24"/>
          <w:szCs w:val="24"/>
        </w:rPr>
        <w:t>, *</w:t>
      </w:r>
      <w:r>
        <w:rPr>
          <w:rFonts w:hint="default" w:ascii="Times New Roman Regular" w:hAnsi="Times New Roman Regular" w:cs="Times New Roman Regular"/>
          <w:i/>
          <w:iCs/>
          <w:sz w:val="24"/>
          <w:szCs w:val="24"/>
        </w:rPr>
        <w:t>p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&lt; 0.05).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26B8B"/>
    <w:multiLevelType w:val="singleLevel"/>
    <w:tmpl w:val="63726B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jYTM2ODg1NTU2NTVhNWFkMDU4NmZmNmYyNmU2MmQifQ=="/>
  </w:docVars>
  <w:rsids>
    <w:rsidRoot w:val="002E6ED0"/>
    <w:rsid w:val="000149E2"/>
    <w:rsid w:val="002E6ED0"/>
    <w:rsid w:val="00504953"/>
    <w:rsid w:val="006639CC"/>
    <w:rsid w:val="009724C7"/>
    <w:rsid w:val="009B7427"/>
    <w:rsid w:val="00B71F7E"/>
    <w:rsid w:val="00B93F63"/>
    <w:rsid w:val="00D46A32"/>
    <w:rsid w:val="00E3223A"/>
    <w:rsid w:val="00E56118"/>
    <w:rsid w:val="05852631"/>
    <w:rsid w:val="07541C4C"/>
    <w:rsid w:val="07DC364A"/>
    <w:rsid w:val="155C0B73"/>
    <w:rsid w:val="1C6F0927"/>
    <w:rsid w:val="1EB71866"/>
    <w:rsid w:val="1F244029"/>
    <w:rsid w:val="20BA2594"/>
    <w:rsid w:val="22017682"/>
    <w:rsid w:val="26ED00AB"/>
    <w:rsid w:val="27010711"/>
    <w:rsid w:val="29D413BC"/>
    <w:rsid w:val="2C1F420D"/>
    <w:rsid w:val="2C58178C"/>
    <w:rsid w:val="31A6555A"/>
    <w:rsid w:val="359209D1"/>
    <w:rsid w:val="37700A98"/>
    <w:rsid w:val="38FF4A67"/>
    <w:rsid w:val="3A881CA1"/>
    <w:rsid w:val="3EFD0BDA"/>
    <w:rsid w:val="404B34A5"/>
    <w:rsid w:val="41AC1480"/>
    <w:rsid w:val="41F3575D"/>
    <w:rsid w:val="45FF1A69"/>
    <w:rsid w:val="485B27A2"/>
    <w:rsid w:val="49BD76FA"/>
    <w:rsid w:val="4A176B9D"/>
    <w:rsid w:val="4C6C113E"/>
    <w:rsid w:val="52E77591"/>
    <w:rsid w:val="54C03FAD"/>
    <w:rsid w:val="57013FEF"/>
    <w:rsid w:val="5CEF41B0"/>
    <w:rsid w:val="653C55F0"/>
    <w:rsid w:val="678E02C1"/>
    <w:rsid w:val="67E32D6F"/>
    <w:rsid w:val="703E2017"/>
    <w:rsid w:val="764A782F"/>
    <w:rsid w:val="7B1972A1"/>
    <w:rsid w:val="7D020D80"/>
    <w:rsid w:val="AEE7469C"/>
    <w:rsid w:val="FF97D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spacing w:after="200"/>
      <w:jc w:val="center"/>
    </w:pPr>
    <w:rPr>
      <w:rFonts w:ascii="Times" w:hAnsi="Times" w:eastAsia="宋体" w:cs="Times New Roman"/>
      <w:b/>
      <w:kern w:val="0"/>
      <w:sz w:val="40"/>
      <w:szCs w:val="20"/>
      <w:lang w:eastAsia="en-US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1级"/>
    <w:basedOn w:val="2"/>
    <w:qFormat/>
    <w:uiPriority w:val="0"/>
    <w:pPr>
      <w:widowControl/>
      <w:spacing w:before="100" w:beforeLines="100" w:after="100" w:afterLines="100" w:line="240" w:lineRule="auto"/>
      <w:jc w:val="center"/>
    </w:pPr>
    <w:rPr>
      <w:rFonts w:eastAsia="黑体" w:cs="宋体"/>
      <w:sz w:val="32"/>
    </w:rPr>
  </w:style>
  <w:style w:type="character" w:customStyle="1" w:styleId="9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0">
    <w:name w:val="2级标题"/>
    <w:next w:val="1"/>
    <w:link w:val="11"/>
    <w:qFormat/>
    <w:uiPriority w:val="0"/>
    <w:pPr>
      <w:spacing w:before="240" w:after="240" w:line="276" w:lineRule="auto"/>
    </w:pPr>
    <w:rPr>
      <w:rFonts w:ascii="Times New Roman" w:hAnsi="Times New Roman" w:eastAsia="黑体" w:cs="Times New Roman"/>
      <w:b/>
      <w:color w:val="000000"/>
      <w:kern w:val="0"/>
      <w:sz w:val="30"/>
      <w:szCs w:val="30"/>
      <w:lang w:val="en-US" w:eastAsia="zh-CN" w:bidi="ar-SA"/>
    </w:rPr>
  </w:style>
  <w:style w:type="character" w:customStyle="1" w:styleId="11">
    <w:name w:val="2级标题 字符"/>
    <w:basedOn w:val="6"/>
    <w:link w:val="10"/>
    <w:qFormat/>
    <w:uiPriority w:val="0"/>
    <w:rPr>
      <w:rFonts w:ascii="Times New Roman" w:hAnsi="Times New Roman" w:eastAsia="黑体" w:cs="Times New Roman"/>
      <w:b/>
      <w:color w:val="000000"/>
      <w:kern w:val="0"/>
      <w:sz w:val="30"/>
      <w:szCs w:val="30"/>
    </w:rPr>
  </w:style>
  <w:style w:type="paragraph" w:customStyle="1" w:styleId="12">
    <w:name w:val="3级标题"/>
    <w:next w:val="1"/>
    <w:link w:val="13"/>
    <w:qFormat/>
    <w:uiPriority w:val="0"/>
    <w:pPr>
      <w:spacing w:before="120" w:after="120"/>
    </w:pPr>
    <w:rPr>
      <w:rFonts w:ascii="Times New Roman" w:hAnsi="Times New Roman" w:eastAsia="黑体" w:cs="Times New Roman"/>
      <w:b/>
      <w:bCs/>
      <w:color w:val="000000"/>
      <w:kern w:val="0"/>
      <w:sz w:val="28"/>
      <w:szCs w:val="28"/>
      <w:lang w:val="en-US" w:eastAsia="zh-CN" w:bidi="ar-SA"/>
    </w:rPr>
  </w:style>
  <w:style w:type="character" w:customStyle="1" w:styleId="13">
    <w:name w:val="3级标题 字符"/>
    <w:basedOn w:val="6"/>
    <w:link w:val="12"/>
    <w:qFormat/>
    <w:uiPriority w:val="0"/>
    <w:rPr>
      <w:rFonts w:ascii="Times New Roman" w:hAnsi="Times New Roman" w:eastAsia="黑体" w:cs="Times New Roman"/>
      <w:b/>
      <w:bCs/>
      <w:color w:val="000000"/>
      <w:kern w:val="0"/>
      <w:sz w:val="28"/>
      <w:szCs w:val="28"/>
    </w:rPr>
  </w:style>
  <w:style w:type="paragraph" w:customStyle="1" w:styleId="14">
    <w:name w:val="4级标题"/>
    <w:basedOn w:val="12"/>
    <w:link w:val="15"/>
    <w:qFormat/>
    <w:uiPriority w:val="0"/>
    <w:rPr>
      <w:sz w:val="24"/>
      <w:szCs w:val="24"/>
    </w:rPr>
  </w:style>
  <w:style w:type="character" w:customStyle="1" w:styleId="15">
    <w:name w:val="4级标题 字符"/>
    <w:basedOn w:val="13"/>
    <w:link w:val="14"/>
    <w:qFormat/>
    <w:uiPriority w:val="0"/>
    <w:rPr>
      <w:rFonts w:ascii="Times New Roman" w:hAnsi="Times New Roman" w:eastAsia="黑体" w:cs="Times New Roman"/>
      <w:color w:val="000000"/>
      <w:kern w:val="0"/>
      <w:sz w:val="24"/>
      <w:szCs w:val="24"/>
    </w:rPr>
  </w:style>
  <w:style w:type="paragraph" w:customStyle="1" w:styleId="16">
    <w:name w:val="RSC B04 A Heading (Section)"/>
    <w:basedOn w:val="1"/>
    <w:qFormat/>
    <w:uiPriority w:val="0"/>
    <w:pPr>
      <w:spacing w:before="400" w:after="80" w:line="240" w:lineRule="auto"/>
    </w:pPr>
    <w:rPr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976</Words>
  <Characters>5340</Characters>
  <Lines>17</Lines>
  <Paragraphs>4</Paragraphs>
  <TotalTime>0</TotalTime>
  <ScaleCrop>false</ScaleCrop>
  <LinksUpToDate>false</LinksUpToDate>
  <CharactersWithSpaces>6255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2022-11-12T06:48:00Z</dcterms:created>
  <dc:creator>车楠</dc:creator>
  <cp:lastModifiedBy>李呀李呀李</cp:lastModifiedBy>
  <dcterms:modified xsi:type="dcterms:W3CDTF">2023-04-03T13:02:05Z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D39FE5CAC4B54B3381261E40455028DA</vt:lpwstr>
  </property>
</Properties>
</file>