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B6D79" w14:textId="77777777" w:rsidR="008C2158" w:rsidRDefault="008C2158" w:rsidP="008C2158">
      <w:pPr>
        <w:widowControl/>
        <w:spacing w:line="480" w:lineRule="auto"/>
        <w:jc w:val="left"/>
        <w:rPr>
          <w:rFonts w:ascii="Times New Roman" w:hAnsi="Times New Roman" w:cs="Times New Roman"/>
          <w:b/>
        </w:rPr>
      </w:pPr>
      <w:r w:rsidRPr="006E027A">
        <w:rPr>
          <w:rFonts w:ascii="Times New Roman" w:hAnsi="Times New Roman" w:cs="Times New Roman"/>
          <w:b/>
        </w:rPr>
        <w:t xml:space="preserve">Appendix </w:t>
      </w:r>
    </w:p>
    <w:p w14:paraId="4D83679D" w14:textId="77777777" w:rsidR="008C2158" w:rsidRPr="006E027A" w:rsidRDefault="008C2158" w:rsidP="008C2158">
      <w:pPr>
        <w:widowControl/>
        <w:spacing w:line="480" w:lineRule="auto"/>
        <w:jc w:val="left"/>
        <w:rPr>
          <w:rFonts w:ascii="Times New Roman" w:hAnsi="Times New Roman" w:cs="Times New Roman"/>
          <w:bCs/>
        </w:rPr>
      </w:pPr>
      <w:r w:rsidRPr="006E027A">
        <w:rPr>
          <w:rFonts w:ascii="Times New Roman" w:hAnsi="Times New Roman" w:cs="Times New Roman"/>
          <w:bCs/>
        </w:rPr>
        <w:t xml:space="preserve">Methods of statistical analysis in the effects of tasks and time scales on the hemodynamic response </w:t>
      </w:r>
    </w:p>
    <w:p w14:paraId="452AD5C4" w14:textId="77777777" w:rsidR="008C2158" w:rsidRPr="00960EC3" w:rsidRDefault="008C2158" w:rsidP="008C2158">
      <w:pPr>
        <w:spacing w:line="480" w:lineRule="auto"/>
        <w:ind w:firstLineChars="400" w:firstLine="840"/>
        <w:jc w:val="left"/>
        <w:rPr>
          <w:rFonts w:ascii="Times New Roman" w:hAnsi="Times New Roman" w:cs="Times New Roman"/>
          <w:bCs/>
        </w:rPr>
      </w:pPr>
      <w:r w:rsidRPr="006E027A">
        <w:rPr>
          <w:rFonts w:ascii="Times New Roman" w:hAnsi="Times New Roman" w:cs="Times New Roman"/>
          <w:bCs/>
        </w:rPr>
        <w:t xml:space="preserve">To assess the effects of </w:t>
      </w:r>
      <w:r w:rsidRPr="006E027A">
        <w:rPr>
          <w:rFonts w:ascii="Times New Roman" w:eastAsia="Yu Mincho" w:hAnsi="Times New Roman" w:cs="Times New Roman"/>
          <w:bCs/>
        </w:rPr>
        <w:t xml:space="preserve">the two tasks and time scales on </w:t>
      </w:r>
      <w:r w:rsidRPr="006E027A">
        <w:rPr>
          <w:rFonts w:ascii="Times New Roman" w:hAnsi="Times New Roman" w:cs="Times New Roman"/>
          <w:bCs/>
        </w:rPr>
        <w:t xml:space="preserve">hemodynamic responses, we performed </w:t>
      </w:r>
      <w:r w:rsidRPr="006E027A">
        <w:rPr>
          <w:rFonts w:ascii="Times New Roman" w:eastAsia="Yu Mincho" w:hAnsi="Times New Roman" w:cs="Times New Roman"/>
          <w:bCs/>
        </w:rPr>
        <w:t xml:space="preserve">a repeated-measures ANOVA </w:t>
      </w:r>
      <w:r w:rsidRPr="006E027A">
        <w:rPr>
          <w:rFonts w:ascii="Times New Roman" w:hAnsi="Times New Roman" w:cs="Times New Roman"/>
          <w:bCs/>
        </w:rPr>
        <w:t>between the factors and the interaction. The dependent variables were hemodynamic responses (oxyHb or deoxyHb). The independent variables were set to the time scale (baseline and #1-3 analysis windows) and task (Improvise vs</w:t>
      </w:r>
      <w:r w:rsidRPr="006E027A">
        <w:rPr>
          <w:rFonts w:ascii="Times New Roman" w:eastAsia="Yu Mincho" w:hAnsi="Times New Roman" w:cs="Times New Roman"/>
          <w:bCs/>
        </w:rPr>
        <w:t>. Formulaic). When the interactions reached a level of significan</w:t>
      </w:r>
      <w:r w:rsidRPr="006E027A">
        <w:rPr>
          <w:rFonts w:ascii="Times New Roman" w:hAnsi="Times New Roman" w:cs="Times New Roman"/>
          <w:bCs/>
        </w:rPr>
        <w:t>ce (α = 0.05), post hoc comparisons were performed</w:t>
      </w:r>
      <w:r w:rsidRPr="006E027A">
        <w:rPr>
          <w:rFonts w:ascii="Times New Roman" w:eastAsia="Yu Mincho" w:hAnsi="Times New Roman" w:cs="Times New Roman"/>
          <w:bCs/>
        </w:rPr>
        <w:t xml:space="preserve"> for each factor. For comparison across time scales, we used the </w:t>
      </w:r>
      <w:r w:rsidRPr="006E027A">
        <w:rPr>
          <w:rFonts w:ascii="Times New Roman" w:hAnsi="Times New Roman" w:cs="Times New Roman"/>
          <w:bCs/>
        </w:rPr>
        <w:t>Dunnet</w:t>
      </w:r>
      <w:r w:rsidRPr="006E027A">
        <w:rPr>
          <w:rFonts w:ascii="Times New Roman" w:eastAsia="Yu Mincho" w:hAnsi="Times New Roman" w:cs="Times New Roman"/>
          <w:bCs/>
        </w:rPr>
        <w:t>t’s</w:t>
      </w:r>
      <w:r w:rsidRPr="006E027A">
        <w:rPr>
          <w:rFonts w:ascii="Times New Roman" w:hAnsi="Times New Roman" w:cs="Times New Roman"/>
          <w:bCs/>
        </w:rPr>
        <w:t xml:space="preserve"> test to assess the differences in the mean responses in </w:t>
      </w:r>
      <w:r w:rsidRPr="006E027A">
        <w:rPr>
          <w:rFonts w:ascii="Times New Roman" w:eastAsia="Yu Mincho" w:hAnsi="Times New Roman" w:cs="Times New Roman"/>
          <w:bCs/>
        </w:rPr>
        <w:t xml:space="preserve">the four analysis windows </w:t>
      </w:r>
      <w:r w:rsidRPr="006E027A">
        <w:rPr>
          <w:rFonts w:ascii="Times New Roman" w:hAnsi="Times New Roman" w:cs="Times New Roman"/>
          <w:bCs/>
        </w:rPr>
        <w:t xml:space="preserve">compared to baseline. To compare the tasks, we performed paired </w:t>
      </w:r>
      <w:r w:rsidRPr="006E027A">
        <w:rPr>
          <w:rFonts w:ascii="Times New Roman" w:hAnsi="Times New Roman" w:cs="Times New Roman"/>
          <w:bCs/>
          <w:i/>
          <w:iCs/>
        </w:rPr>
        <w:t>t</w:t>
      </w:r>
      <w:r w:rsidRPr="006E027A">
        <w:rPr>
          <w:rFonts w:ascii="Times New Roman" w:hAnsi="Times New Roman" w:cs="Times New Roman"/>
          <w:bCs/>
        </w:rPr>
        <w:t>-tests with Holm’s correction. Group data are expressed as mean ± SE unless otherwise noted. All statistical analyses were performed using R version 4.1.0 (R Foundation for Statistical Computing, Vienna, Austria).</w:t>
      </w:r>
    </w:p>
    <w:p w14:paraId="6C8D5104" w14:textId="77777777" w:rsidR="00E1715D" w:rsidRDefault="008C2158"/>
    <w:sectPr w:rsidR="00E1715D" w:rsidSect="00433818">
      <w:headerReference w:type="default" r:id="rId4"/>
      <w:footerReference w:type="even" r:id="rId5"/>
      <w:footerReference w:type="default" r:id="rId6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1410240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4391BD" w14:textId="77777777" w:rsidR="002F00C0" w:rsidRDefault="008C2158" w:rsidP="002B78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3AED48" w14:textId="77777777" w:rsidR="002F00C0" w:rsidRDefault="008C2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360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BA0583" w14:textId="77777777" w:rsidR="00A4105A" w:rsidRDefault="008C21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7230A1" w14:textId="77777777" w:rsidR="002F00C0" w:rsidRDefault="008C215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790FB" w14:textId="77777777" w:rsidR="001B5777" w:rsidRDefault="008C21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58"/>
    <w:rsid w:val="001942F0"/>
    <w:rsid w:val="002C0857"/>
    <w:rsid w:val="003F01F8"/>
    <w:rsid w:val="00884728"/>
    <w:rsid w:val="008C215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F2BE"/>
  <w15:chartTrackingRefBased/>
  <w15:docId w15:val="{B4A08D27-DFEB-4F60-9986-D3BBD5B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5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215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2158"/>
    <w:rPr>
      <w:rFonts w:eastAsiaTheme="minorEastAsia"/>
      <w:kern w:val="2"/>
      <w:sz w:val="21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8C2158"/>
  </w:style>
  <w:style w:type="paragraph" w:styleId="Header">
    <w:name w:val="header"/>
    <w:basedOn w:val="Normal"/>
    <w:link w:val="HeaderChar"/>
    <w:uiPriority w:val="99"/>
    <w:unhideWhenUsed/>
    <w:rsid w:val="008C2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158"/>
    <w:rPr>
      <w:rFonts w:eastAsiaTheme="minorEastAsia"/>
      <w:kern w:val="2"/>
      <w:sz w:val="21"/>
      <w:szCs w:val="24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8C2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>Springer Nature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2023-06-13T10:23:00Z</dcterms:created>
  <dcterms:modified xsi:type="dcterms:W3CDTF">2023-06-13T10:24:00Z</dcterms:modified>
</cp:coreProperties>
</file>