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B0B72" w14:textId="19AFC783" w:rsidR="009B132C" w:rsidRPr="00C61784" w:rsidRDefault="004B372F">
      <w:pPr>
        <w:spacing w:after="0" w:line="240" w:lineRule="auto"/>
        <w:rPr>
          <w:rFonts w:ascii="Calibri" w:eastAsia="Times New Roman" w:hAnsi="Calibri" w:cs="Times New Roman"/>
          <w:b/>
          <w:bCs/>
          <w:szCs w:val="24"/>
          <w:lang w:val="en-GB" w:eastAsia="en-AU"/>
        </w:rPr>
      </w:pPr>
      <w:bookmarkStart w:id="0" w:name="_Ref95908229"/>
      <w:bookmarkStart w:id="1" w:name="_Ref117669457"/>
      <w:bookmarkStart w:id="2" w:name="_Toc121820099"/>
      <w:r>
        <w:rPr>
          <w:rFonts w:ascii="Calibri" w:eastAsia="Times New Roman" w:hAnsi="Calibri" w:cs="Times New Roman"/>
          <w:b/>
          <w:bCs/>
          <w:szCs w:val="24"/>
          <w:lang w:val="en-GB" w:eastAsia="en-AU"/>
        </w:rPr>
        <w:t>Additional File</w:t>
      </w:r>
      <w:r w:rsidR="00C27550">
        <w:rPr>
          <w:rFonts w:ascii="Calibri" w:eastAsia="Times New Roman" w:hAnsi="Calibri" w:cs="Times New Roman"/>
          <w:b/>
          <w:bCs/>
          <w:szCs w:val="24"/>
          <w:lang w:val="en-GB" w:eastAsia="en-AU"/>
        </w:rPr>
        <w:t xml:space="preserve"> 1</w:t>
      </w:r>
      <w:r>
        <w:rPr>
          <w:rFonts w:ascii="Calibri" w:eastAsia="Times New Roman" w:hAnsi="Calibri" w:cs="Times New Roman"/>
          <w:b/>
          <w:bCs/>
          <w:szCs w:val="24"/>
          <w:lang w:val="en-GB" w:eastAsia="en-AU"/>
        </w:rPr>
        <w:t xml:space="preserve">: </w:t>
      </w:r>
      <w:r w:rsidR="00C27550">
        <w:rPr>
          <w:rFonts w:ascii="Calibri" w:eastAsia="Times New Roman" w:hAnsi="Calibri" w:cs="Times New Roman"/>
          <w:b/>
          <w:bCs/>
          <w:szCs w:val="24"/>
          <w:lang w:val="en-GB" w:eastAsia="en-AU"/>
        </w:rPr>
        <w:t>Hosp</w:t>
      </w:r>
      <w:r w:rsidR="009B132C" w:rsidRPr="00C61784">
        <w:rPr>
          <w:rFonts w:ascii="Calibri" w:eastAsia="Times New Roman" w:hAnsi="Calibri" w:cs="Times New Roman"/>
          <w:b/>
          <w:bCs/>
          <w:szCs w:val="24"/>
          <w:lang w:val="en-GB" w:eastAsia="en-AU"/>
        </w:rPr>
        <w:t>ital service use</w:t>
      </w:r>
      <w:r w:rsidR="00C27550">
        <w:rPr>
          <w:rFonts w:ascii="Calibri" w:eastAsia="Times New Roman" w:hAnsi="Calibri" w:cs="Times New Roman"/>
          <w:b/>
          <w:bCs/>
          <w:szCs w:val="24"/>
          <w:lang w:val="en-GB" w:eastAsia="en-AU"/>
        </w:rPr>
        <w:t>, s</w:t>
      </w:r>
      <w:r w:rsidR="00C27550" w:rsidRPr="00C61784">
        <w:rPr>
          <w:rFonts w:ascii="Calibri" w:eastAsia="Times New Roman" w:hAnsi="Calibri" w:cs="Times New Roman"/>
          <w:b/>
          <w:bCs/>
          <w:szCs w:val="24"/>
          <w:lang w:val="en-GB" w:eastAsia="en-AU"/>
        </w:rPr>
        <w:t xml:space="preserve">pecialist services and pharmaceuticals: data sources and methods </w:t>
      </w:r>
    </w:p>
    <w:p w14:paraId="0F631465" w14:textId="57E76546" w:rsidR="009B132C" w:rsidRDefault="009B132C">
      <w:pPr>
        <w:spacing w:after="0" w:line="240" w:lineRule="auto"/>
        <w:rPr>
          <w:rFonts w:ascii="Calibri" w:eastAsia="Times New Roman" w:hAnsi="Calibri" w:cs="Times New Roman"/>
          <w:szCs w:val="24"/>
          <w:lang w:val="en-GB" w:eastAsia="en-AU"/>
        </w:rPr>
      </w:pPr>
    </w:p>
    <w:p w14:paraId="6325038C" w14:textId="0360CA5A" w:rsidR="00C27550" w:rsidRPr="00C27550" w:rsidRDefault="00C27550">
      <w:pPr>
        <w:spacing w:after="0" w:line="240" w:lineRule="auto"/>
        <w:rPr>
          <w:rFonts w:ascii="Calibri" w:eastAsia="Times New Roman" w:hAnsi="Calibri" w:cs="Times New Roman"/>
          <w:i/>
          <w:iCs/>
          <w:szCs w:val="24"/>
          <w:lang w:val="en-GB" w:eastAsia="en-AU"/>
        </w:rPr>
      </w:pPr>
      <w:r w:rsidRPr="00C27550">
        <w:rPr>
          <w:rFonts w:ascii="Calibri" w:eastAsia="Times New Roman" w:hAnsi="Calibri" w:cs="Times New Roman"/>
          <w:i/>
          <w:iCs/>
          <w:szCs w:val="24"/>
          <w:lang w:val="en-GB" w:eastAsia="en-AU"/>
        </w:rPr>
        <w:t>Hospital service use</w:t>
      </w:r>
    </w:p>
    <w:p w14:paraId="6629ECF0" w14:textId="77777777" w:rsidR="00C27550" w:rsidRPr="00C61784" w:rsidRDefault="00C27550">
      <w:pPr>
        <w:spacing w:after="0" w:line="240" w:lineRule="auto"/>
        <w:rPr>
          <w:rFonts w:ascii="Calibri" w:eastAsia="Times New Roman" w:hAnsi="Calibri" w:cs="Times New Roman"/>
          <w:szCs w:val="24"/>
          <w:lang w:val="en-GB" w:eastAsia="en-AU"/>
        </w:rPr>
      </w:pPr>
    </w:p>
    <w:p w14:paraId="67122375" w14:textId="77777777" w:rsidR="009B132C" w:rsidRPr="00C61784" w:rsidRDefault="009B132C" w:rsidP="00BC703D">
      <w:pPr>
        <w:spacing w:after="0" w:line="240" w:lineRule="auto"/>
        <w:rPr>
          <w:rFonts w:ascii="Calibri" w:eastAsia="Times New Roman" w:hAnsi="Calibri" w:cs="Times New Roman"/>
          <w:szCs w:val="24"/>
          <w:lang w:val="en-GB" w:eastAsia="en-AU"/>
        </w:rPr>
      </w:pPr>
      <w:r w:rsidRPr="00C61784">
        <w:rPr>
          <w:rFonts w:ascii="Calibri" w:eastAsia="Times New Roman" w:hAnsi="Calibri" w:cs="Times New Roman"/>
          <w:szCs w:val="24"/>
          <w:lang w:val="en-GB" w:eastAsia="en-AU"/>
        </w:rPr>
        <w:t>Hospital service use was derived from SA Health public hospital administrative records held in the SA Health Emergency Department Data Collection (EDDC) and the SA Health Integrated South Australian Activity Collection (ISAAC). Private hospitals are not covered in these databases.</w:t>
      </w:r>
    </w:p>
    <w:p w14:paraId="3DE72542" w14:textId="77777777" w:rsidR="009B132C" w:rsidRPr="00C61784" w:rsidRDefault="009B132C" w:rsidP="00BC703D">
      <w:pPr>
        <w:spacing w:after="0" w:line="240" w:lineRule="auto"/>
        <w:rPr>
          <w:rFonts w:ascii="Calibri" w:eastAsia="Times New Roman" w:hAnsi="Calibri" w:cs="Times New Roman"/>
          <w:szCs w:val="24"/>
          <w:lang w:val="en-GB" w:eastAsia="en-AU"/>
        </w:rPr>
      </w:pPr>
    </w:p>
    <w:p w14:paraId="678D2213" w14:textId="7882258C" w:rsidR="009B132C" w:rsidRPr="00C61784" w:rsidRDefault="009B132C" w:rsidP="00BC703D">
      <w:pPr>
        <w:spacing w:after="0" w:line="240" w:lineRule="auto"/>
        <w:rPr>
          <w:rFonts w:ascii="Calibri" w:eastAsia="Times New Roman" w:hAnsi="Calibri" w:cs="Times New Roman"/>
          <w:szCs w:val="24"/>
          <w:lang w:val="en-GB" w:eastAsia="en-AU"/>
        </w:rPr>
      </w:pPr>
      <w:r w:rsidRPr="00C61784">
        <w:rPr>
          <w:rFonts w:ascii="Calibri" w:eastAsia="Times New Roman" w:hAnsi="Calibri" w:cs="Times New Roman"/>
          <w:szCs w:val="24"/>
          <w:lang w:val="en-GB" w:eastAsia="en-AU"/>
        </w:rPr>
        <w:t xml:space="preserve">Of the 1044 Flinders QUEST patients, 1028 (98.5%) </w:t>
      </w:r>
      <w:r w:rsidR="00465200">
        <w:rPr>
          <w:rFonts w:ascii="Calibri" w:eastAsia="Times New Roman" w:hAnsi="Calibri" w:cs="Times New Roman"/>
          <w:szCs w:val="24"/>
          <w:lang w:val="en-GB" w:eastAsia="en-AU"/>
        </w:rPr>
        <w:t>could</w:t>
      </w:r>
      <w:r w:rsidRPr="00C61784">
        <w:rPr>
          <w:rFonts w:ascii="Calibri" w:eastAsia="Times New Roman" w:hAnsi="Calibri" w:cs="Times New Roman"/>
          <w:szCs w:val="24"/>
          <w:lang w:val="en-GB" w:eastAsia="en-AU"/>
        </w:rPr>
        <w:t xml:space="preserve"> be correctly matched to Patient Master Index entries using a combination of date of birth</w:t>
      </w:r>
      <w:r w:rsidR="008050A1">
        <w:rPr>
          <w:rFonts w:ascii="Calibri" w:eastAsia="Times New Roman" w:hAnsi="Calibri" w:cs="Times New Roman"/>
          <w:szCs w:val="24"/>
          <w:lang w:val="en-GB" w:eastAsia="en-AU"/>
        </w:rPr>
        <w:t xml:space="preserve"> and</w:t>
      </w:r>
      <w:r w:rsidRPr="00C61784">
        <w:rPr>
          <w:rFonts w:ascii="Calibri" w:eastAsia="Times New Roman" w:hAnsi="Calibri" w:cs="Times New Roman"/>
          <w:szCs w:val="24"/>
          <w:lang w:val="en-GB" w:eastAsia="en-AU"/>
        </w:rPr>
        <w:t xml:space="preserve"> first and last name</w:t>
      </w:r>
      <w:r w:rsidR="00465200">
        <w:rPr>
          <w:rFonts w:ascii="Calibri" w:eastAsia="Times New Roman" w:hAnsi="Calibri" w:cs="Times New Roman"/>
          <w:szCs w:val="24"/>
          <w:lang w:val="en-GB" w:eastAsia="en-AU"/>
        </w:rPr>
        <w:t>,</w:t>
      </w:r>
      <w:r w:rsidRPr="00C61784">
        <w:rPr>
          <w:rFonts w:ascii="Calibri" w:eastAsia="Times New Roman" w:hAnsi="Calibri" w:cs="Times New Roman"/>
          <w:szCs w:val="24"/>
          <w:lang w:val="en-GB" w:eastAsia="en-AU"/>
        </w:rPr>
        <w:t xml:space="preserve"> with address used in a second stage of further checking. Match rates were similar between the control (98.3%) and intervention (98.7%) </w:t>
      </w:r>
      <w:r w:rsidR="00465200" w:rsidRPr="00C61784">
        <w:rPr>
          <w:rFonts w:ascii="Calibri" w:eastAsia="Times New Roman" w:hAnsi="Calibri" w:cs="Times New Roman"/>
          <w:szCs w:val="24"/>
          <w:lang w:val="en-GB" w:eastAsia="en-AU"/>
        </w:rPr>
        <w:t>groups</w:t>
      </w:r>
      <w:r w:rsidR="00465200">
        <w:rPr>
          <w:rFonts w:ascii="Calibri" w:eastAsia="Times New Roman" w:hAnsi="Calibri" w:cs="Times New Roman"/>
          <w:szCs w:val="24"/>
          <w:lang w:val="en-GB" w:eastAsia="en-AU"/>
        </w:rPr>
        <w:t>,</w:t>
      </w:r>
      <w:r w:rsidR="00465200" w:rsidRPr="00C61784">
        <w:rPr>
          <w:rFonts w:ascii="Calibri" w:eastAsia="Times New Roman" w:hAnsi="Calibri" w:cs="Times New Roman"/>
          <w:szCs w:val="24"/>
          <w:lang w:val="en-GB" w:eastAsia="en-AU"/>
        </w:rPr>
        <w:t xml:space="preserve"> </w:t>
      </w:r>
      <w:r w:rsidRPr="00C61784">
        <w:rPr>
          <w:rFonts w:ascii="Calibri" w:eastAsia="Times New Roman" w:hAnsi="Calibri" w:cs="Times New Roman"/>
          <w:szCs w:val="24"/>
          <w:lang w:val="en-GB" w:eastAsia="en-AU"/>
        </w:rPr>
        <w:t>and the difference in group match rates was not statistically significant (</w:t>
      </w:r>
      <w:r w:rsidRPr="00C61784">
        <w:rPr>
          <w:rFonts w:ascii="Calibri" w:eastAsia="Times New Roman" w:hAnsi="Calibri" w:cs="Times New Roman"/>
          <w:szCs w:val="24"/>
          <w:lang w:val="en-GB" w:eastAsia="en-AU"/>
        </w:rPr>
        <w:sym w:font="Symbol" w:char="F063"/>
      </w:r>
      <w:r w:rsidRPr="00DA29B2">
        <w:rPr>
          <w:rFonts w:ascii="Calibri" w:eastAsia="Times New Roman" w:hAnsi="Calibri" w:cs="Times New Roman"/>
          <w:szCs w:val="24"/>
          <w:vertAlign w:val="superscript"/>
          <w:lang w:val="en-GB" w:eastAsia="en-AU"/>
        </w:rPr>
        <w:t>2</w:t>
      </w:r>
      <w:r w:rsidRPr="00F30D75">
        <w:rPr>
          <w:rFonts w:ascii="Calibri" w:eastAsia="Times New Roman" w:hAnsi="Calibri" w:cs="Times New Roman"/>
          <w:szCs w:val="24"/>
          <w:lang w:val="en-GB" w:eastAsia="en-AU"/>
        </w:rPr>
        <w:t xml:space="preserve"> </w:t>
      </w:r>
      <w:r w:rsidRPr="00DA29B2">
        <w:rPr>
          <w:rFonts w:ascii="Calibri" w:eastAsia="Times New Roman" w:hAnsi="Calibri" w:cs="Times New Roman"/>
          <w:szCs w:val="24"/>
          <w:lang w:val="en-GB" w:eastAsia="en-AU"/>
        </w:rPr>
        <w:t>=</w:t>
      </w:r>
      <w:r w:rsidRPr="00C61784">
        <w:rPr>
          <w:rFonts w:ascii="Calibri" w:eastAsia="Times New Roman" w:hAnsi="Calibri" w:cs="Times New Roman"/>
          <w:szCs w:val="24"/>
          <w:lang w:val="en-GB" w:eastAsia="en-AU"/>
        </w:rPr>
        <w:t xml:space="preserve"> 0.29; df =</w:t>
      </w:r>
      <w:r w:rsidR="0040001D" w:rsidRPr="00C61784">
        <w:rPr>
          <w:rFonts w:ascii="Calibri" w:eastAsia="Times New Roman" w:hAnsi="Calibri" w:cs="Times New Roman"/>
          <w:szCs w:val="24"/>
          <w:lang w:val="en-GB" w:eastAsia="en-AU"/>
        </w:rPr>
        <w:t xml:space="preserve"> </w:t>
      </w:r>
      <w:r w:rsidRPr="00C61784">
        <w:rPr>
          <w:rFonts w:ascii="Calibri" w:eastAsia="Times New Roman" w:hAnsi="Calibri" w:cs="Times New Roman"/>
          <w:szCs w:val="24"/>
          <w:lang w:val="en-GB" w:eastAsia="en-AU"/>
        </w:rPr>
        <w:t xml:space="preserve">1; </w:t>
      </w:r>
      <w:r w:rsidR="003A0884" w:rsidRPr="00DA29B2">
        <w:rPr>
          <w:rFonts w:ascii="Calibri" w:eastAsia="Times New Roman" w:hAnsi="Calibri" w:cs="Times New Roman"/>
          <w:i/>
          <w:szCs w:val="24"/>
          <w:lang w:val="en-GB" w:eastAsia="en-AU"/>
        </w:rPr>
        <w:t>p</w:t>
      </w:r>
      <w:r w:rsidRPr="00C61784">
        <w:rPr>
          <w:rFonts w:ascii="Calibri" w:eastAsia="Times New Roman" w:hAnsi="Calibri" w:cs="Times New Roman"/>
          <w:szCs w:val="24"/>
          <w:lang w:val="en-GB" w:eastAsia="en-AU"/>
        </w:rPr>
        <w:t xml:space="preserve"> = 0.59). </w:t>
      </w:r>
    </w:p>
    <w:p w14:paraId="2C612F96" w14:textId="77777777" w:rsidR="009B132C" w:rsidRPr="00C61784" w:rsidRDefault="009B132C" w:rsidP="00BC703D">
      <w:pPr>
        <w:spacing w:after="0" w:line="240" w:lineRule="auto"/>
        <w:rPr>
          <w:rFonts w:ascii="Calibri" w:eastAsia="Times New Roman" w:hAnsi="Calibri" w:cs="Times New Roman"/>
          <w:szCs w:val="24"/>
          <w:lang w:val="en-GB" w:eastAsia="en-AU"/>
        </w:rPr>
      </w:pPr>
    </w:p>
    <w:p w14:paraId="276B4A90" w14:textId="33E75FD9" w:rsidR="009B132C" w:rsidRPr="00C61784" w:rsidRDefault="009B132C" w:rsidP="00BC703D">
      <w:pPr>
        <w:spacing w:after="0" w:line="240" w:lineRule="auto"/>
        <w:rPr>
          <w:rFonts w:ascii="Calibri" w:eastAsia="Times New Roman" w:hAnsi="Calibri" w:cs="Times New Roman"/>
          <w:szCs w:val="24"/>
          <w:lang w:val="en-GB" w:eastAsia="en-AU"/>
        </w:rPr>
      </w:pPr>
      <w:r w:rsidRPr="00C61784">
        <w:rPr>
          <w:rFonts w:ascii="Calibri" w:eastAsia="Times New Roman" w:hAnsi="Calibri" w:cs="Times New Roman"/>
          <w:szCs w:val="24"/>
          <w:lang w:val="en-GB" w:eastAsia="en-AU"/>
        </w:rPr>
        <w:t>Multilevel negative binomial regression was used to analyse the counts of the hospital service use indicators. The multilevel models were estimated with Stata v17.0</w:t>
      </w:r>
      <w:r w:rsidR="00ED1065" w:rsidRPr="00C61784">
        <w:rPr>
          <w:rFonts w:ascii="Calibri" w:eastAsia="Times New Roman" w:hAnsi="Calibri" w:cs="Times New Roman"/>
          <w:szCs w:val="24"/>
          <w:lang w:val="en-GB" w:eastAsia="en-AU"/>
        </w:rPr>
        <w:t xml:space="preserve"> </w:t>
      </w:r>
      <w:r w:rsidRPr="00C61784">
        <w:rPr>
          <w:rFonts w:ascii="Calibri" w:eastAsia="Times New Roman" w:hAnsi="Calibri" w:cs="Times New Roman"/>
          <w:szCs w:val="24"/>
          <w:lang w:val="en-GB" w:eastAsia="en-AU"/>
        </w:rPr>
        <w:t xml:space="preserve">using the mixed model suite of commands. The Stata command for the hospital utilisation analyses (using </w:t>
      </w:r>
      <w:r w:rsidR="003A0884">
        <w:rPr>
          <w:rFonts w:ascii="Calibri" w:eastAsia="Times New Roman" w:hAnsi="Calibri" w:cs="Times New Roman"/>
          <w:szCs w:val="24"/>
          <w:lang w:val="en-GB" w:eastAsia="en-AU"/>
        </w:rPr>
        <w:t>emergency department [E</w:t>
      </w:r>
      <w:r w:rsidR="003A0884" w:rsidRPr="00C61784">
        <w:rPr>
          <w:rFonts w:ascii="Calibri" w:eastAsia="Times New Roman" w:hAnsi="Calibri" w:cs="Times New Roman"/>
          <w:szCs w:val="24"/>
          <w:lang w:val="en-GB" w:eastAsia="en-AU"/>
        </w:rPr>
        <w:t>D</w:t>
      </w:r>
      <w:r w:rsidR="003A0884">
        <w:rPr>
          <w:rFonts w:ascii="Calibri" w:eastAsia="Times New Roman" w:hAnsi="Calibri" w:cs="Times New Roman"/>
          <w:szCs w:val="24"/>
          <w:lang w:val="en-GB" w:eastAsia="en-AU"/>
        </w:rPr>
        <w:t>]</w:t>
      </w:r>
      <w:r w:rsidR="003A0884" w:rsidRPr="00C61784">
        <w:rPr>
          <w:rFonts w:ascii="Calibri" w:eastAsia="Times New Roman" w:hAnsi="Calibri" w:cs="Times New Roman"/>
          <w:szCs w:val="24"/>
          <w:lang w:val="en-GB" w:eastAsia="en-AU"/>
        </w:rPr>
        <w:t xml:space="preserve"> </w:t>
      </w:r>
      <w:r w:rsidRPr="00C61784">
        <w:rPr>
          <w:rFonts w:ascii="Calibri" w:eastAsia="Times New Roman" w:hAnsi="Calibri" w:cs="Times New Roman"/>
          <w:szCs w:val="24"/>
          <w:lang w:val="en-GB" w:eastAsia="en-AU"/>
        </w:rPr>
        <w:t>presentations by way of example) took the form: “</w:t>
      </w:r>
      <w:r w:rsidRPr="00F30D75">
        <w:rPr>
          <w:rFonts w:ascii="Calibri" w:eastAsia="Times New Roman" w:hAnsi="Calibri" w:cs="Times New Roman"/>
          <w:color w:val="3366FF"/>
          <w:szCs w:val="24"/>
          <w:lang w:val="en-GB" w:eastAsia="en-AU"/>
        </w:rPr>
        <w:t>menbreg emergency i.time##i.group, exposure(expose) ||practice: ||id:, irr</w:t>
      </w:r>
      <w:r w:rsidRPr="00C61784">
        <w:rPr>
          <w:rFonts w:ascii="Calibri" w:eastAsia="Times New Roman" w:hAnsi="Calibri" w:cs="Times New Roman"/>
          <w:szCs w:val="24"/>
          <w:lang w:val="en-GB" w:eastAsia="en-AU"/>
        </w:rPr>
        <w:t xml:space="preserve">”. Note that random effects to account for clustering at the practice level and the repeated measurement (the two time periods) at the patient level were included in the models. </w:t>
      </w:r>
    </w:p>
    <w:p w14:paraId="5A182B36" w14:textId="77777777" w:rsidR="009B132C" w:rsidRPr="00C61784" w:rsidRDefault="009B132C" w:rsidP="00BC703D">
      <w:pPr>
        <w:spacing w:after="0" w:line="240" w:lineRule="auto"/>
        <w:rPr>
          <w:rFonts w:ascii="Calibri" w:eastAsia="Times New Roman" w:hAnsi="Calibri" w:cs="Times New Roman"/>
          <w:szCs w:val="24"/>
          <w:lang w:val="en-GB" w:eastAsia="en-AU"/>
        </w:rPr>
      </w:pPr>
    </w:p>
    <w:p w14:paraId="6C3E9998" w14:textId="73A9D02F" w:rsidR="009B132C" w:rsidRPr="00C61784" w:rsidRDefault="009B132C" w:rsidP="00BC703D">
      <w:pPr>
        <w:spacing w:after="0" w:line="240" w:lineRule="auto"/>
        <w:rPr>
          <w:rFonts w:ascii="Calibri" w:eastAsia="Times New Roman" w:hAnsi="Calibri" w:cs="Times New Roman"/>
          <w:szCs w:val="24"/>
          <w:lang w:val="en-GB" w:eastAsia="en-AU"/>
        </w:rPr>
      </w:pPr>
      <w:r w:rsidRPr="00C61784">
        <w:rPr>
          <w:rFonts w:ascii="Calibri" w:eastAsia="Times New Roman" w:hAnsi="Calibri" w:cs="Times New Roman"/>
          <w:szCs w:val="24"/>
          <w:lang w:val="en-GB" w:eastAsia="en-AU"/>
        </w:rPr>
        <w:t>The models included an exposure variable to account for patients having different lengths of follow-up due to death. At 24 months (31 October 2020), for the hospital service dataset (</w:t>
      </w:r>
      <w:r w:rsidRPr="00C61784">
        <w:rPr>
          <w:rFonts w:ascii="Calibri" w:eastAsia="Times New Roman" w:hAnsi="Calibri" w:cs="Times New Roman"/>
          <w:i/>
          <w:iCs/>
          <w:szCs w:val="24"/>
          <w:lang w:val="en-GB" w:eastAsia="en-AU"/>
        </w:rPr>
        <w:t>n</w:t>
      </w:r>
      <w:r w:rsidRPr="00C61784">
        <w:rPr>
          <w:rFonts w:ascii="Calibri" w:eastAsia="Times New Roman" w:hAnsi="Calibri" w:cs="Times New Roman"/>
          <w:szCs w:val="24"/>
          <w:lang w:val="en-GB" w:eastAsia="en-AU"/>
        </w:rPr>
        <w:t xml:space="preserve"> = 1028), there were 37 deaths </w:t>
      </w:r>
      <w:r w:rsidR="003A0884">
        <w:rPr>
          <w:rFonts w:ascii="Calibri" w:eastAsia="Times New Roman" w:hAnsi="Calibri" w:cs="Times New Roman"/>
          <w:szCs w:val="24"/>
          <w:lang w:val="en-GB" w:eastAsia="en-AU"/>
        </w:rPr>
        <w:t xml:space="preserve">in total </w:t>
      </w:r>
      <w:r w:rsidRPr="00C61784">
        <w:rPr>
          <w:rFonts w:ascii="Calibri" w:eastAsia="Times New Roman" w:hAnsi="Calibri" w:cs="Times New Roman"/>
          <w:szCs w:val="24"/>
          <w:lang w:val="en-GB" w:eastAsia="en-AU"/>
        </w:rPr>
        <w:t>(</w:t>
      </w:r>
      <w:r w:rsidR="00692B27" w:rsidRPr="00C61784">
        <w:rPr>
          <w:rFonts w:ascii="Calibri" w:eastAsia="Times New Roman" w:hAnsi="Calibri" w:cs="Times New Roman"/>
          <w:szCs w:val="24"/>
          <w:lang w:val="en-GB" w:eastAsia="en-AU"/>
        </w:rPr>
        <w:t>c</w:t>
      </w:r>
      <w:r w:rsidRPr="00C61784">
        <w:rPr>
          <w:rFonts w:ascii="Calibri" w:eastAsia="Times New Roman" w:hAnsi="Calibri" w:cs="Times New Roman"/>
          <w:szCs w:val="24"/>
          <w:lang w:val="en-GB" w:eastAsia="en-AU"/>
        </w:rPr>
        <w:t xml:space="preserve">ontrol = 16; </w:t>
      </w:r>
      <w:r w:rsidR="00692B27" w:rsidRPr="00C61784">
        <w:rPr>
          <w:rFonts w:ascii="Calibri" w:eastAsia="Times New Roman" w:hAnsi="Calibri" w:cs="Times New Roman"/>
          <w:szCs w:val="24"/>
          <w:lang w:val="en-GB" w:eastAsia="en-AU"/>
        </w:rPr>
        <w:t>i</w:t>
      </w:r>
      <w:r w:rsidRPr="00C61784">
        <w:rPr>
          <w:rFonts w:ascii="Calibri" w:eastAsia="Times New Roman" w:hAnsi="Calibri" w:cs="Times New Roman"/>
          <w:szCs w:val="24"/>
          <w:lang w:val="en-GB" w:eastAsia="en-AU"/>
        </w:rPr>
        <w:t xml:space="preserve">ntervention = 21). Mean exposure times were similar between the control </w:t>
      </w:r>
      <w:r w:rsidR="003A0884" w:rsidRPr="00C61784">
        <w:rPr>
          <w:rFonts w:ascii="Calibri" w:eastAsia="Times New Roman" w:hAnsi="Calibri" w:cs="Times New Roman"/>
          <w:szCs w:val="24"/>
          <w:lang w:val="en-GB" w:eastAsia="en-AU"/>
        </w:rPr>
        <w:t xml:space="preserve">and intervention </w:t>
      </w:r>
      <w:r w:rsidR="003A0884">
        <w:rPr>
          <w:rFonts w:ascii="Calibri" w:eastAsia="Times New Roman" w:hAnsi="Calibri" w:cs="Times New Roman"/>
          <w:szCs w:val="24"/>
          <w:lang w:val="en-GB" w:eastAsia="en-AU"/>
        </w:rPr>
        <w:t xml:space="preserve">groups </w:t>
      </w:r>
      <w:r w:rsidRPr="00C61784">
        <w:rPr>
          <w:rFonts w:ascii="Calibri" w:eastAsia="Times New Roman" w:hAnsi="Calibri" w:cs="Times New Roman"/>
          <w:szCs w:val="24"/>
          <w:lang w:val="en-GB" w:eastAsia="en-AU"/>
        </w:rPr>
        <w:t xml:space="preserve">(mean 710 </w:t>
      </w:r>
      <w:r w:rsidR="003A0884">
        <w:rPr>
          <w:rFonts w:ascii="Calibri" w:eastAsia="Times New Roman" w:hAnsi="Calibri" w:cs="Times New Roman"/>
          <w:szCs w:val="24"/>
          <w:lang w:val="en-GB" w:eastAsia="en-AU"/>
        </w:rPr>
        <w:t xml:space="preserve">and </w:t>
      </w:r>
      <w:r w:rsidRPr="00C61784">
        <w:rPr>
          <w:rFonts w:ascii="Calibri" w:eastAsia="Times New Roman" w:hAnsi="Calibri" w:cs="Times New Roman"/>
          <w:szCs w:val="24"/>
          <w:lang w:val="en-GB" w:eastAsia="en-AU"/>
        </w:rPr>
        <w:t>712 days</w:t>
      </w:r>
      <w:r w:rsidR="003A0884">
        <w:rPr>
          <w:rFonts w:ascii="Calibri" w:eastAsia="Times New Roman" w:hAnsi="Calibri" w:cs="Times New Roman"/>
          <w:szCs w:val="24"/>
          <w:lang w:val="en-GB" w:eastAsia="en-AU"/>
        </w:rPr>
        <w:t>, respectively</w:t>
      </w:r>
      <w:r w:rsidRPr="00C61784">
        <w:rPr>
          <w:rFonts w:ascii="Calibri" w:eastAsia="Times New Roman" w:hAnsi="Calibri" w:cs="Times New Roman"/>
          <w:szCs w:val="24"/>
          <w:lang w:val="en-GB" w:eastAsia="en-AU"/>
        </w:rPr>
        <w:t>)</w:t>
      </w:r>
      <w:bookmarkStart w:id="3" w:name="_Ref46399762"/>
      <w:r w:rsidRPr="00C61784">
        <w:rPr>
          <w:rFonts w:ascii="Calibri" w:eastAsia="Times New Roman" w:hAnsi="Calibri" w:cs="Times New Roman"/>
          <w:szCs w:val="24"/>
          <w:lang w:val="en-GB" w:eastAsia="en-AU"/>
        </w:rPr>
        <w:t>.</w:t>
      </w:r>
    </w:p>
    <w:p w14:paraId="38975A66" w14:textId="77777777" w:rsidR="009B132C" w:rsidRPr="00C61784" w:rsidRDefault="009B132C" w:rsidP="00BC703D">
      <w:pPr>
        <w:spacing w:after="0" w:line="240" w:lineRule="auto"/>
        <w:rPr>
          <w:rFonts w:ascii="Calibri" w:eastAsia="Times New Roman" w:hAnsi="Calibri" w:cs="Calibri"/>
          <w:iCs/>
          <w:lang w:val="en-GB" w:eastAsia="en-AU"/>
        </w:rPr>
      </w:pPr>
      <w:bookmarkStart w:id="4" w:name="_Hlk95978783"/>
      <w:bookmarkEnd w:id="3"/>
    </w:p>
    <w:bookmarkEnd w:id="4"/>
    <w:p w14:paraId="2507D411" w14:textId="2CE8BD8A" w:rsidR="00954414" w:rsidRPr="00C61784" w:rsidRDefault="009B132C" w:rsidP="00BC703D">
      <w:pPr>
        <w:spacing w:after="0" w:line="240" w:lineRule="auto"/>
        <w:rPr>
          <w:rFonts w:ascii="Calibri" w:eastAsia="Times New Roman" w:hAnsi="Calibri" w:cs="Times New Roman"/>
          <w:szCs w:val="24"/>
          <w:lang w:val="en-GB" w:eastAsia="en-AU"/>
        </w:rPr>
      </w:pPr>
      <w:r w:rsidRPr="00C61784">
        <w:rPr>
          <w:rFonts w:ascii="Calibri" w:eastAsia="Times New Roman" w:hAnsi="Calibri" w:cs="Times New Roman"/>
          <w:szCs w:val="24"/>
          <w:lang w:val="en-GB" w:eastAsia="en-AU"/>
        </w:rPr>
        <w:t>The intervention effect (incidence rate ratio [IRR]) in the models is shown by the non</w:t>
      </w:r>
      <w:r w:rsidR="003A0884">
        <w:rPr>
          <w:rFonts w:ascii="Calibri" w:eastAsia="Times New Roman" w:hAnsi="Calibri" w:cs="Times New Roman"/>
          <w:szCs w:val="24"/>
          <w:lang w:val="en-GB" w:eastAsia="en-AU"/>
        </w:rPr>
        <w:t>-</w:t>
      </w:r>
      <w:r w:rsidRPr="00C61784">
        <w:rPr>
          <w:rFonts w:ascii="Calibri" w:eastAsia="Times New Roman" w:hAnsi="Calibri" w:cs="Times New Roman"/>
          <w:szCs w:val="24"/>
          <w:lang w:val="en-GB" w:eastAsia="en-AU"/>
        </w:rPr>
        <w:t xml:space="preserve">linear interaction term between time (coded as </w:t>
      </w:r>
      <w:r w:rsidR="003A0884">
        <w:rPr>
          <w:rFonts w:ascii="Calibri" w:eastAsia="Times New Roman" w:hAnsi="Calibri" w:cs="Times New Roman"/>
          <w:szCs w:val="24"/>
          <w:lang w:val="en-GB" w:eastAsia="en-AU"/>
        </w:rPr>
        <w:t>0</w:t>
      </w:r>
      <w:r w:rsidR="003A0884" w:rsidRPr="00C61784">
        <w:rPr>
          <w:rFonts w:ascii="Calibri" w:eastAsia="Times New Roman" w:hAnsi="Calibri" w:cs="Times New Roman"/>
          <w:szCs w:val="24"/>
          <w:lang w:val="en-GB" w:eastAsia="en-AU"/>
        </w:rPr>
        <w:t xml:space="preserve"> </w:t>
      </w:r>
      <w:r w:rsidRPr="00C61784">
        <w:rPr>
          <w:rFonts w:ascii="Calibri" w:eastAsia="Times New Roman" w:hAnsi="Calibri" w:cs="Times New Roman"/>
          <w:szCs w:val="24"/>
          <w:lang w:val="en-GB" w:eastAsia="en-AU"/>
        </w:rPr>
        <w:t>for the 12-month period before the intervention</w:t>
      </w:r>
      <w:r w:rsidR="003A0884">
        <w:rPr>
          <w:rFonts w:ascii="Calibri" w:eastAsia="Times New Roman" w:hAnsi="Calibri" w:cs="Times New Roman"/>
          <w:szCs w:val="24"/>
          <w:lang w:val="en-GB" w:eastAsia="en-AU"/>
        </w:rPr>
        <w:t xml:space="preserve"> and as 1 </w:t>
      </w:r>
      <w:r w:rsidRPr="00C61784">
        <w:rPr>
          <w:rFonts w:ascii="Calibri" w:eastAsia="Times New Roman" w:hAnsi="Calibri" w:cs="Times New Roman"/>
          <w:szCs w:val="24"/>
          <w:lang w:val="en-GB" w:eastAsia="en-AU"/>
        </w:rPr>
        <w:t xml:space="preserve">for the comparison period) and group (coded as </w:t>
      </w:r>
      <w:r w:rsidR="003A0884">
        <w:rPr>
          <w:rFonts w:ascii="Calibri" w:eastAsia="Times New Roman" w:hAnsi="Calibri" w:cs="Times New Roman"/>
          <w:szCs w:val="24"/>
          <w:lang w:val="en-GB" w:eastAsia="en-AU"/>
        </w:rPr>
        <w:t>0</w:t>
      </w:r>
      <w:r w:rsidR="003A0884" w:rsidRPr="00C61784">
        <w:rPr>
          <w:rFonts w:ascii="Calibri" w:eastAsia="Times New Roman" w:hAnsi="Calibri" w:cs="Times New Roman"/>
          <w:szCs w:val="24"/>
          <w:lang w:val="en-GB" w:eastAsia="en-AU"/>
        </w:rPr>
        <w:t xml:space="preserve"> </w:t>
      </w:r>
      <w:r w:rsidRPr="00C61784">
        <w:rPr>
          <w:rFonts w:ascii="Calibri" w:eastAsia="Times New Roman" w:hAnsi="Calibri" w:cs="Times New Roman"/>
          <w:szCs w:val="24"/>
          <w:lang w:val="en-GB" w:eastAsia="en-AU"/>
        </w:rPr>
        <w:t xml:space="preserve">for the control group and </w:t>
      </w:r>
      <w:r w:rsidR="003A0884">
        <w:rPr>
          <w:rFonts w:ascii="Calibri" w:eastAsia="Times New Roman" w:hAnsi="Calibri" w:cs="Times New Roman"/>
          <w:szCs w:val="24"/>
          <w:lang w:val="en-GB" w:eastAsia="en-AU"/>
        </w:rPr>
        <w:t>as 1</w:t>
      </w:r>
      <w:r w:rsidR="003A0884" w:rsidRPr="00C61784">
        <w:rPr>
          <w:rFonts w:ascii="Calibri" w:eastAsia="Times New Roman" w:hAnsi="Calibri" w:cs="Times New Roman"/>
          <w:szCs w:val="24"/>
          <w:lang w:val="en-GB" w:eastAsia="en-AU"/>
        </w:rPr>
        <w:t xml:space="preserve"> </w:t>
      </w:r>
      <w:r w:rsidRPr="00C61784">
        <w:rPr>
          <w:rFonts w:ascii="Calibri" w:eastAsia="Times New Roman" w:hAnsi="Calibri" w:cs="Times New Roman"/>
          <w:szCs w:val="24"/>
          <w:lang w:val="en-GB" w:eastAsia="en-AU"/>
        </w:rPr>
        <w:t>for the intervention group)</w:t>
      </w:r>
      <w:r w:rsidR="008D0929">
        <w:rPr>
          <w:rFonts w:ascii="Calibri" w:eastAsia="Times New Roman" w:hAnsi="Calibri" w:cs="Times New Roman"/>
          <w:szCs w:val="24"/>
          <w:lang w:val="en-GB" w:eastAsia="en-AU"/>
        </w:rPr>
        <w:t xml:space="preserve"> [1]</w:t>
      </w:r>
      <w:r w:rsidRPr="00C61784">
        <w:rPr>
          <w:rFonts w:ascii="Calibri" w:eastAsia="Times New Roman" w:hAnsi="Calibri" w:cs="Times New Roman"/>
          <w:szCs w:val="24"/>
          <w:lang w:val="en-GB" w:eastAsia="en-AU"/>
        </w:rPr>
        <w:t xml:space="preserve">. </w:t>
      </w:r>
    </w:p>
    <w:p w14:paraId="3A5FA795" w14:textId="77777777" w:rsidR="00954414" w:rsidRPr="00C61784" w:rsidRDefault="00954414" w:rsidP="00BC703D">
      <w:pPr>
        <w:spacing w:after="0" w:line="240" w:lineRule="auto"/>
        <w:rPr>
          <w:rFonts w:ascii="Calibri" w:eastAsia="Times New Roman" w:hAnsi="Calibri" w:cs="Times New Roman"/>
          <w:szCs w:val="24"/>
          <w:lang w:val="en-GB" w:eastAsia="en-AU"/>
        </w:rPr>
      </w:pPr>
    </w:p>
    <w:p w14:paraId="396BD207" w14:textId="77777777" w:rsidR="00954414" w:rsidRPr="00C61784" w:rsidRDefault="009B132C" w:rsidP="00BC703D">
      <w:pPr>
        <w:spacing w:after="0" w:line="240" w:lineRule="auto"/>
        <w:rPr>
          <w:rFonts w:ascii="Calibri" w:eastAsia="Times New Roman" w:hAnsi="Calibri" w:cs="Times New Roman"/>
          <w:szCs w:val="24"/>
          <w:lang w:val="en-GB" w:eastAsia="en-AU"/>
        </w:rPr>
      </w:pPr>
      <w:r w:rsidRPr="00C61784">
        <w:rPr>
          <w:rFonts w:ascii="Calibri" w:eastAsia="Times New Roman" w:hAnsi="Calibri" w:cs="Times New Roman"/>
          <w:szCs w:val="24"/>
          <w:lang w:val="en-GB" w:eastAsia="en-AU"/>
        </w:rPr>
        <w:t xml:space="preserve">Two intervention effects are reported in the results. The first intervention effect reported is the difference between the control and intervention groups over the 12-month intervention period controlling for baseline (the 12-month period prior to the intervention). The second intervention effect reported is the difference between the control and intervention groups over 24 months (which encompasses the 12-month intervention period and the 12-month period following the intervention period), controlling for baseline (the 12-month period prior to the intervention). </w:t>
      </w:r>
    </w:p>
    <w:p w14:paraId="5DB60000" w14:textId="77777777" w:rsidR="00954414" w:rsidRPr="00C61784" w:rsidRDefault="00954414" w:rsidP="00BC703D">
      <w:pPr>
        <w:spacing w:after="0" w:line="240" w:lineRule="auto"/>
        <w:rPr>
          <w:rFonts w:ascii="Calibri" w:eastAsia="Times New Roman" w:hAnsi="Calibri" w:cs="Times New Roman"/>
          <w:szCs w:val="24"/>
          <w:lang w:val="en-GB" w:eastAsia="en-AU"/>
        </w:rPr>
      </w:pPr>
    </w:p>
    <w:p w14:paraId="2173D066" w14:textId="7A9A9811" w:rsidR="009B132C" w:rsidRPr="00C61784" w:rsidRDefault="009B132C" w:rsidP="00BC703D">
      <w:pPr>
        <w:spacing w:after="0" w:line="240" w:lineRule="auto"/>
        <w:rPr>
          <w:rFonts w:ascii="Calibri" w:eastAsia="Times New Roman" w:hAnsi="Calibri" w:cs="Times New Roman"/>
          <w:szCs w:val="24"/>
          <w:lang w:val="en-GB" w:eastAsia="en-AU"/>
        </w:rPr>
      </w:pPr>
      <w:r w:rsidRPr="00C61784">
        <w:rPr>
          <w:rFonts w:ascii="Calibri" w:eastAsia="Times New Roman" w:hAnsi="Calibri" w:cs="Times New Roman"/>
          <w:szCs w:val="24"/>
          <w:lang w:val="en-GB" w:eastAsia="en-AU"/>
        </w:rPr>
        <w:t xml:space="preserve">The intervention effect (in percentage terms) was defined as 1 </w:t>
      </w:r>
      <w:r w:rsidR="003A0884">
        <w:rPr>
          <w:rFonts w:ascii="Calibri" w:eastAsia="Times New Roman" w:hAnsi="Calibri" w:cs="Times New Roman"/>
          <w:szCs w:val="24"/>
          <w:lang w:val="en-GB" w:eastAsia="en-AU"/>
        </w:rPr>
        <w:t>–</w:t>
      </w:r>
      <w:r w:rsidRPr="00C61784">
        <w:rPr>
          <w:rFonts w:ascii="Calibri" w:eastAsia="Times New Roman" w:hAnsi="Calibri" w:cs="Times New Roman"/>
          <w:szCs w:val="24"/>
          <w:lang w:val="en-GB" w:eastAsia="en-AU"/>
        </w:rPr>
        <w:t xml:space="preserve"> IRR </w:t>
      </w:r>
      <w:r w:rsidR="003A0884" w:rsidRPr="003A0884">
        <w:rPr>
          <w:rFonts w:ascii="Calibri" w:eastAsia="Times New Roman" w:hAnsi="Calibri" w:cs="Times New Roman"/>
          <w:szCs w:val="24"/>
          <w:lang w:val="en-GB" w:eastAsia="en-AU"/>
        </w:rPr>
        <w:t>×</w:t>
      </w:r>
      <w:r w:rsidR="003A0884">
        <w:rPr>
          <w:rFonts w:ascii="Calibri" w:eastAsia="Times New Roman" w:hAnsi="Calibri" w:cs="Times New Roman"/>
          <w:szCs w:val="24"/>
          <w:lang w:val="en-GB" w:eastAsia="en-AU"/>
        </w:rPr>
        <w:t xml:space="preserve"> </w:t>
      </w:r>
      <w:r w:rsidRPr="00C61784">
        <w:rPr>
          <w:rFonts w:ascii="Calibri" w:eastAsia="Times New Roman" w:hAnsi="Calibri" w:cs="Times New Roman"/>
          <w:szCs w:val="24"/>
          <w:lang w:val="en-GB" w:eastAsia="en-AU"/>
        </w:rPr>
        <w:t>100. For example, an IRR of 1.25 represents an increase of 25%; an IRR of 0.85 represents a decrease of 15%.</w:t>
      </w:r>
    </w:p>
    <w:p w14:paraId="730EAE9F" w14:textId="1C4EBD82" w:rsidR="00C77C1A" w:rsidRPr="00C61784" w:rsidRDefault="00C77C1A">
      <w:pPr>
        <w:spacing w:after="0" w:line="240" w:lineRule="auto"/>
        <w:rPr>
          <w:rFonts w:ascii="Calibri" w:eastAsia="Times New Roman" w:hAnsi="Calibri" w:cs="Times New Roman"/>
          <w:szCs w:val="24"/>
          <w:lang w:val="en-GB" w:eastAsia="en-AU"/>
        </w:rPr>
      </w:pPr>
    </w:p>
    <w:p w14:paraId="154DF43D" w14:textId="28D1FAA3" w:rsidR="009B132C" w:rsidRPr="004760CC" w:rsidRDefault="00F36D9D" w:rsidP="00BC703D">
      <w:pPr>
        <w:spacing w:after="0" w:line="240" w:lineRule="auto"/>
        <w:rPr>
          <w:rFonts w:ascii="Calibri" w:eastAsia="Times New Roman" w:hAnsi="Calibri" w:cs="Times New Roman"/>
          <w:i/>
          <w:iCs/>
          <w:szCs w:val="24"/>
          <w:lang w:val="en-GB" w:eastAsia="en-AU"/>
        </w:rPr>
      </w:pPr>
      <w:r w:rsidRPr="004760CC">
        <w:rPr>
          <w:rFonts w:ascii="Calibri" w:eastAsia="Times New Roman" w:hAnsi="Calibri" w:cs="Times New Roman"/>
          <w:i/>
          <w:iCs/>
          <w:szCs w:val="24"/>
          <w:lang w:val="en-GB" w:eastAsia="en-AU"/>
        </w:rPr>
        <w:t>Specialist services and pharmaceuticals</w:t>
      </w:r>
    </w:p>
    <w:p w14:paraId="6372AF46" w14:textId="6B2980E8" w:rsidR="00F36D9D" w:rsidRPr="00C61784" w:rsidRDefault="00F36D9D" w:rsidP="00BC703D">
      <w:pPr>
        <w:spacing w:after="0" w:line="240" w:lineRule="auto"/>
        <w:rPr>
          <w:rFonts w:ascii="Calibri" w:eastAsia="Times New Roman" w:hAnsi="Calibri" w:cs="Times New Roman"/>
          <w:szCs w:val="24"/>
          <w:lang w:val="en-GB" w:eastAsia="en-AU"/>
        </w:rPr>
      </w:pPr>
    </w:p>
    <w:p w14:paraId="71EC75E9" w14:textId="74B37AA2" w:rsidR="00B024EB" w:rsidRPr="00C61784" w:rsidRDefault="00F36D9D" w:rsidP="00BC703D">
      <w:pPr>
        <w:spacing w:after="0" w:line="240" w:lineRule="auto"/>
        <w:rPr>
          <w:rFonts w:ascii="Calibri" w:eastAsia="Times New Roman" w:hAnsi="Calibri" w:cs="Times New Roman"/>
          <w:szCs w:val="24"/>
          <w:lang w:val="en-GB" w:eastAsia="en-AU"/>
        </w:rPr>
      </w:pPr>
      <w:r w:rsidRPr="00C61784">
        <w:rPr>
          <w:rFonts w:ascii="Calibri" w:eastAsia="Times New Roman" w:hAnsi="Calibri" w:cs="Times New Roman"/>
          <w:szCs w:val="24"/>
          <w:lang w:val="en-GB" w:eastAsia="en-AU"/>
        </w:rPr>
        <w:t>In Australia</w:t>
      </w:r>
      <w:r w:rsidR="003A0884">
        <w:rPr>
          <w:rFonts w:ascii="Calibri" w:eastAsia="Times New Roman" w:hAnsi="Calibri" w:cs="Times New Roman"/>
          <w:szCs w:val="24"/>
          <w:lang w:val="en-GB" w:eastAsia="en-AU"/>
        </w:rPr>
        <w:t>,</w:t>
      </w:r>
      <w:r w:rsidRPr="00C61784">
        <w:rPr>
          <w:rFonts w:ascii="Calibri" w:eastAsia="Times New Roman" w:hAnsi="Calibri" w:cs="Times New Roman"/>
          <w:szCs w:val="24"/>
          <w:lang w:val="en-GB" w:eastAsia="en-AU"/>
        </w:rPr>
        <w:t xml:space="preserve"> the </w:t>
      </w:r>
      <w:r w:rsidR="003A0884">
        <w:rPr>
          <w:rFonts w:ascii="Calibri" w:eastAsia="Times New Roman" w:hAnsi="Calibri" w:cs="Times New Roman"/>
          <w:szCs w:val="24"/>
          <w:lang w:val="en-GB" w:eastAsia="en-AU"/>
        </w:rPr>
        <w:t>Australian</w:t>
      </w:r>
      <w:r w:rsidR="003A0884" w:rsidRPr="00C61784">
        <w:rPr>
          <w:rFonts w:ascii="Calibri" w:eastAsia="Times New Roman" w:hAnsi="Calibri" w:cs="Times New Roman"/>
          <w:szCs w:val="24"/>
          <w:lang w:val="en-GB" w:eastAsia="en-AU"/>
        </w:rPr>
        <w:t xml:space="preserve"> Government </w:t>
      </w:r>
      <w:r w:rsidRPr="00C61784">
        <w:rPr>
          <w:rFonts w:ascii="Calibri" w:eastAsia="Times New Roman" w:hAnsi="Calibri" w:cs="Times New Roman"/>
          <w:szCs w:val="24"/>
          <w:lang w:val="en-GB" w:eastAsia="en-AU"/>
        </w:rPr>
        <w:t xml:space="preserve">funds a national universal health insurance scheme </w:t>
      </w:r>
      <w:r w:rsidR="004B67B1" w:rsidRPr="00C61784">
        <w:rPr>
          <w:rFonts w:ascii="Calibri" w:eastAsia="Times New Roman" w:hAnsi="Calibri" w:cs="Times New Roman"/>
          <w:szCs w:val="24"/>
          <w:lang w:val="en-GB" w:eastAsia="en-AU"/>
        </w:rPr>
        <w:t xml:space="preserve">known as </w:t>
      </w:r>
      <w:r w:rsidRPr="00C61784">
        <w:rPr>
          <w:rFonts w:ascii="Calibri" w:eastAsia="Times New Roman" w:hAnsi="Calibri" w:cs="Times New Roman"/>
          <w:szCs w:val="24"/>
          <w:lang w:val="en-GB" w:eastAsia="en-AU"/>
        </w:rPr>
        <w:t xml:space="preserve">Medicare. Medicare services are provided to all Australian residents who hold a current Medicare card and overseas visitors from countries with which Australia has a </w:t>
      </w:r>
      <w:r w:rsidR="003A0884" w:rsidRPr="00C61784">
        <w:rPr>
          <w:rFonts w:ascii="Calibri" w:eastAsia="Times New Roman" w:hAnsi="Calibri" w:cs="Times New Roman"/>
          <w:szCs w:val="24"/>
          <w:lang w:val="en-GB" w:eastAsia="en-AU"/>
        </w:rPr>
        <w:t>reciprocal health care agreement</w:t>
      </w:r>
      <w:r w:rsidRPr="00C61784">
        <w:rPr>
          <w:rFonts w:ascii="Calibri" w:eastAsia="Times New Roman" w:hAnsi="Calibri" w:cs="Times New Roman"/>
          <w:szCs w:val="24"/>
          <w:lang w:val="en-GB" w:eastAsia="en-AU"/>
        </w:rPr>
        <w:t>.</w:t>
      </w:r>
      <w:r w:rsidR="00EE3350" w:rsidRPr="00C61784">
        <w:rPr>
          <w:rFonts w:ascii="Calibri" w:eastAsia="Times New Roman" w:hAnsi="Calibri" w:cs="Times New Roman"/>
          <w:szCs w:val="24"/>
          <w:lang w:val="en-GB" w:eastAsia="en-AU"/>
        </w:rPr>
        <w:t xml:space="preserve"> Medicare </w:t>
      </w:r>
      <w:r w:rsidR="00E31421" w:rsidRPr="00C61784">
        <w:rPr>
          <w:rFonts w:ascii="Calibri" w:eastAsia="Times New Roman" w:hAnsi="Calibri" w:cs="Times New Roman"/>
          <w:szCs w:val="24"/>
          <w:lang w:val="en-GB" w:eastAsia="en-AU"/>
        </w:rPr>
        <w:t xml:space="preserve">provides </w:t>
      </w:r>
      <w:r w:rsidR="00E31421" w:rsidRPr="00C61784">
        <w:rPr>
          <w:lang w:val="en-GB"/>
        </w:rPr>
        <w:t>treatment in public hospitals free of charge and subsidises out</w:t>
      </w:r>
      <w:r w:rsidR="003A0884">
        <w:rPr>
          <w:lang w:val="en-GB"/>
        </w:rPr>
        <w:t>-</w:t>
      </w:r>
      <w:r w:rsidR="00E31421" w:rsidRPr="00C61784">
        <w:rPr>
          <w:lang w:val="en-GB"/>
        </w:rPr>
        <w:t>of</w:t>
      </w:r>
      <w:r w:rsidR="003A0884">
        <w:rPr>
          <w:lang w:val="en-GB"/>
        </w:rPr>
        <w:t>-</w:t>
      </w:r>
      <w:r w:rsidR="00E31421" w:rsidRPr="00C61784">
        <w:rPr>
          <w:lang w:val="en-GB"/>
        </w:rPr>
        <w:t>hospital treatment through a rebate benefit. T</w:t>
      </w:r>
      <w:r w:rsidR="004B67B1" w:rsidRPr="00C61784">
        <w:rPr>
          <w:rFonts w:ascii="Calibri" w:eastAsia="Times New Roman" w:hAnsi="Calibri" w:cs="Times New Roman"/>
          <w:szCs w:val="24"/>
          <w:lang w:val="en-GB" w:eastAsia="en-AU"/>
        </w:rPr>
        <w:t>he Pharmaceutica</w:t>
      </w:r>
      <w:r w:rsidR="003A0884">
        <w:rPr>
          <w:rFonts w:ascii="Calibri" w:eastAsia="Times New Roman" w:hAnsi="Calibri" w:cs="Times New Roman"/>
          <w:szCs w:val="24"/>
          <w:lang w:val="en-GB" w:eastAsia="en-AU"/>
        </w:rPr>
        <w:t>l</w:t>
      </w:r>
      <w:r w:rsidR="004B67B1" w:rsidRPr="00C61784">
        <w:rPr>
          <w:rFonts w:ascii="Calibri" w:eastAsia="Times New Roman" w:hAnsi="Calibri" w:cs="Times New Roman"/>
          <w:szCs w:val="24"/>
          <w:lang w:val="en-GB" w:eastAsia="en-AU"/>
        </w:rPr>
        <w:t xml:space="preserve"> Benefits Scheme (PBS) is </w:t>
      </w:r>
      <w:r w:rsidR="003A0884" w:rsidRPr="00C61784">
        <w:rPr>
          <w:rFonts w:ascii="Calibri" w:eastAsia="Times New Roman" w:hAnsi="Calibri" w:cs="Times New Roman"/>
          <w:szCs w:val="24"/>
          <w:lang w:val="en-GB" w:eastAsia="en-AU"/>
        </w:rPr>
        <w:t xml:space="preserve">similarly </w:t>
      </w:r>
      <w:r w:rsidR="004B67B1" w:rsidRPr="00C61784">
        <w:rPr>
          <w:rFonts w:ascii="Calibri" w:eastAsia="Times New Roman" w:hAnsi="Calibri" w:cs="Times New Roman"/>
          <w:szCs w:val="24"/>
          <w:lang w:val="en-GB" w:eastAsia="en-AU"/>
        </w:rPr>
        <w:lastRenderedPageBreak/>
        <w:t xml:space="preserve">funded by the </w:t>
      </w:r>
      <w:r w:rsidR="003A0884">
        <w:rPr>
          <w:rFonts w:ascii="Calibri" w:eastAsia="Times New Roman" w:hAnsi="Calibri" w:cs="Times New Roman"/>
          <w:szCs w:val="24"/>
          <w:lang w:val="en-GB" w:eastAsia="en-AU"/>
        </w:rPr>
        <w:t>Australian</w:t>
      </w:r>
      <w:r w:rsidR="003A0884" w:rsidRPr="00C61784">
        <w:rPr>
          <w:rFonts w:ascii="Calibri" w:eastAsia="Times New Roman" w:hAnsi="Calibri" w:cs="Times New Roman"/>
          <w:szCs w:val="24"/>
          <w:lang w:val="en-GB" w:eastAsia="en-AU"/>
        </w:rPr>
        <w:t xml:space="preserve"> Government </w:t>
      </w:r>
      <w:r w:rsidR="004B67B1" w:rsidRPr="00C61784">
        <w:rPr>
          <w:rFonts w:ascii="Calibri" w:eastAsia="Times New Roman" w:hAnsi="Calibri" w:cs="Times New Roman"/>
          <w:szCs w:val="24"/>
          <w:lang w:val="en-GB" w:eastAsia="en-AU"/>
        </w:rPr>
        <w:t xml:space="preserve">to provide subsidised pharmaceuticals that have been listed on the PBS schedule. Medicare and PBS data are regarded as very accurate </w:t>
      </w:r>
      <w:r w:rsidR="00E31421" w:rsidRPr="00C61784">
        <w:rPr>
          <w:rFonts w:ascii="Calibri" w:eastAsia="Times New Roman" w:hAnsi="Calibri" w:cs="Times New Roman"/>
          <w:szCs w:val="24"/>
          <w:lang w:val="en-GB" w:eastAsia="en-AU"/>
        </w:rPr>
        <w:t xml:space="preserve">because </w:t>
      </w:r>
      <w:r w:rsidR="004B67B1" w:rsidRPr="00C61784">
        <w:rPr>
          <w:rFonts w:ascii="Calibri" w:eastAsia="Times New Roman" w:hAnsi="Calibri" w:cs="Times New Roman"/>
          <w:szCs w:val="24"/>
          <w:lang w:val="en-GB" w:eastAsia="en-AU"/>
        </w:rPr>
        <w:t xml:space="preserve">healthcare providers and patients are </w:t>
      </w:r>
      <w:r w:rsidR="00D11AF4" w:rsidRPr="00C61784">
        <w:rPr>
          <w:rFonts w:ascii="Calibri" w:eastAsia="Times New Roman" w:hAnsi="Calibri" w:cs="Times New Roman"/>
          <w:szCs w:val="24"/>
          <w:lang w:val="en-GB" w:eastAsia="en-AU"/>
        </w:rPr>
        <w:t xml:space="preserve">strongly </w:t>
      </w:r>
      <w:r w:rsidR="004B67B1" w:rsidRPr="00C61784">
        <w:rPr>
          <w:rFonts w:ascii="Calibri" w:eastAsia="Times New Roman" w:hAnsi="Calibri" w:cs="Times New Roman"/>
          <w:szCs w:val="24"/>
          <w:lang w:val="en-GB" w:eastAsia="en-AU"/>
        </w:rPr>
        <w:t xml:space="preserve">motivated to provide data to receive payments. </w:t>
      </w:r>
    </w:p>
    <w:p w14:paraId="6640ADB0" w14:textId="77777777" w:rsidR="00B024EB" w:rsidRPr="00C61784" w:rsidRDefault="00B024EB" w:rsidP="00BC703D">
      <w:pPr>
        <w:spacing w:after="0" w:line="240" w:lineRule="auto"/>
        <w:rPr>
          <w:rFonts w:ascii="Calibri" w:eastAsia="Times New Roman" w:hAnsi="Calibri" w:cs="Times New Roman"/>
          <w:szCs w:val="24"/>
          <w:lang w:val="en-GB" w:eastAsia="en-AU"/>
        </w:rPr>
      </w:pPr>
    </w:p>
    <w:p w14:paraId="213A27E3" w14:textId="60A16B5B" w:rsidR="00B024EB" w:rsidRPr="00C61784" w:rsidRDefault="00B024EB" w:rsidP="00B024EB">
      <w:pPr>
        <w:spacing w:after="0" w:line="240" w:lineRule="auto"/>
        <w:rPr>
          <w:rFonts w:ascii="Calibri" w:eastAsia="Times New Roman" w:hAnsi="Calibri" w:cs="Times New Roman"/>
          <w:szCs w:val="24"/>
          <w:lang w:val="en-GB" w:eastAsia="en-AU"/>
        </w:rPr>
      </w:pPr>
      <w:bookmarkStart w:id="5" w:name="_Hlk62735519"/>
      <w:r w:rsidRPr="00C61784">
        <w:rPr>
          <w:rFonts w:ascii="Calibri" w:eastAsia="Times New Roman" w:hAnsi="Calibri" w:cs="Times New Roman"/>
          <w:szCs w:val="24"/>
          <w:lang w:val="en-GB" w:eastAsia="en-AU"/>
        </w:rPr>
        <w:t>M</w:t>
      </w:r>
      <w:r w:rsidR="009B132C" w:rsidRPr="00C61784">
        <w:rPr>
          <w:rFonts w:ascii="Calibri" w:eastAsia="Times New Roman" w:hAnsi="Calibri" w:cs="Times New Roman"/>
          <w:szCs w:val="24"/>
          <w:lang w:val="en-GB" w:eastAsia="en-AU"/>
        </w:rPr>
        <w:t xml:space="preserve">edicare and PBS </w:t>
      </w:r>
      <w:bookmarkEnd w:id="5"/>
      <w:r w:rsidR="009B132C" w:rsidRPr="00C61784">
        <w:rPr>
          <w:rFonts w:ascii="Calibri" w:eastAsia="Times New Roman" w:hAnsi="Calibri" w:cs="Times New Roman"/>
          <w:szCs w:val="24"/>
          <w:lang w:val="en-GB" w:eastAsia="en-AU"/>
        </w:rPr>
        <w:t>data were sourced from Services Australia. Of the 1044 patients</w:t>
      </w:r>
      <w:r w:rsidR="00D11AF4" w:rsidRPr="00C61784">
        <w:rPr>
          <w:rFonts w:ascii="Calibri" w:eastAsia="Times New Roman" w:hAnsi="Calibri" w:cs="Times New Roman"/>
          <w:szCs w:val="24"/>
          <w:lang w:val="en-GB" w:eastAsia="en-AU"/>
        </w:rPr>
        <w:t xml:space="preserve"> in the trial</w:t>
      </w:r>
      <w:r w:rsidR="009B132C" w:rsidRPr="00C61784">
        <w:rPr>
          <w:rFonts w:ascii="Calibri" w:eastAsia="Times New Roman" w:hAnsi="Calibri" w:cs="Times New Roman"/>
          <w:szCs w:val="24"/>
          <w:lang w:val="en-GB" w:eastAsia="en-AU"/>
        </w:rPr>
        <w:t xml:space="preserve">, Medicare </w:t>
      </w:r>
      <w:r w:rsidR="0040001D" w:rsidRPr="00C61784">
        <w:rPr>
          <w:rFonts w:ascii="Calibri" w:eastAsia="Times New Roman" w:hAnsi="Calibri" w:cs="Times New Roman"/>
          <w:szCs w:val="24"/>
          <w:lang w:val="en-GB" w:eastAsia="en-AU"/>
        </w:rPr>
        <w:t xml:space="preserve">and PBS </w:t>
      </w:r>
      <w:r w:rsidR="009B132C" w:rsidRPr="00C61784">
        <w:rPr>
          <w:rFonts w:ascii="Calibri" w:eastAsia="Times New Roman" w:hAnsi="Calibri" w:cs="Times New Roman"/>
          <w:szCs w:val="24"/>
          <w:lang w:val="en-GB" w:eastAsia="en-AU"/>
        </w:rPr>
        <w:t>dataset</w:t>
      </w:r>
      <w:r w:rsidR="0040001D" w:rsidRPr="00C61784">
        <w:rPr>
          <w:rFonts w:ascii="Calibri" w:eastAsia="Times New Roman" w:hAnsi="Calibri" w:cs="Times New Roman"/>
          <w:szCs w:val="24"/>
          <w:lang w:val="en-GB" w:eastAsia="en-AU"/>
        </w:rPr>
        <w:t xml:space="preserve">s were </w:t>
      </w:r>
      <w:r w:rsidR="009B132C" w:rsidRPr="00C61784">
        <w:rPr>
          <w:rFonts w:ascii="Calibri" w:eastAsia="Times New Roman" w:hAnsi="Calibri" w:cs="Times New Roman"/>
          <w:szCs w:val="24"/>
          <w:lang w:val="en-GB" w:eastAsia="en-AU"/>
        </w:rPr>
        <w:t>created comprising 1015 (97.2%) patients. The most frequent reason for patients not being included in the analysis dataset</w:t>
      </w:r>
      <w:r w:rsidR="0040001D" w:rsidRPr="00C61784">
        <w:rPr>
          <w:rFonts w:ascii="Calibri" w:eastAsia="Times New Roman" w:hAnsi="Calibri" w:cs="Times New Roman"/>
          <w:szCs w:val="24"/>
          <w:lang w:val="en-GB" w:eastAsia="en-AU"/>
        </w:rPr>
        <w:t>s</w:t>
      </w:r>
      <w:r w:rsidR="009B132C" w:rsidRPr="00C61784">
        <w:rPr>
          <w:rFonts w:ascii="Calibri" w:eastAsia="Times New Roman" w:hAnsi="Calibri" w:cs="Times New Roman"/>
          <w:szCs w:val="24"/>
          <w:lang w:val="en-GB" w:eastAsia="en-AU"/>
        </w:rPr>
        <w:t xml:space="preserve"> (</w:t>
      </w:r>
      <w:r w:rsidR="009B132C" w:rsidRPr="00C61784">
        <w:rPr>
          <w:rFonts w:ascii="Calibri" w:eastAsia="Times New Roman" w:hAnsi="Calibri" w:cs="Times New Roman"/>
          <w:i/>
          <w:iCs/>
          <w:szCs w:val="24"/>
          <w:lang w:val="en-GB" w:eastAsia="en-AU"/>
        </w:rPr>
        <w:t>n</w:t>
      </w:r>
      <w:r w:rsidR="009B132C" w:rsidRPr="00C61784">
        <w:rPr>
          <w:rFonts w:ascii="Calibri" w:eastAsia="Times New Roman" w:hAnsi="Calibri" w:cs="Times New Roman"/>
          <w:szCs w:val="24"/>
          <w:lang w:val="en-GB" w:eastAsia="en-AU"/>
        </w:rPr>
        <w:t xml:space="preserve"> = 29) was that the patient held a Department of Veterans Affairs card and did not have any Medicare</w:t>
      </w:r>
      <w:r w:rsidR="0040001D" w:rsidRPr="00C61784">
        <w:rPr>
          <w:rFonts w:ascii="Calibri" w:eastAsia="Times New Roman" w:hAnsi="Calibri" w:cs="Times New Roman"/>
          <w:szCs w:val="24"/>
          <w:lang w:val="en-GB" w:eastAsia="en-AU"/>
        </w:rPr>
        <w:t xml:space="preserve"> or PBS </w:t>
      </w:r>
      <w:r w:rsidR="009B132C" w:rsidRPr="00C61784">
        <w:rPr>
          <w:rFonts w:ascii="Calibri" w:eastAsia="Times New Roman" w:hAnsi="Calibri" w:cs="Times New Roman"/>
          <w:szCs w:val="24"/>
          <w:lang w:val="en-GB" w:eastAsia="en-AU"/>
        </w:rPr>
        <w:t xml:space="preserve">records. The patient exclusions from the Medicare </w:t>
      </w:r>
      <w:r w:rsidR="0040001D" w:rsidRPr="00C61784">
        <w:rPr>
          <w:rFonts w:ascii="Calibri" w:eastAsia="Times New Roman" w:hAnsi="Calibri" w:cs="Times New Roman"/>
          <w:szCs w:val="24"/>
          <w:lang w:val="en-GB" w:eastAsia="en-AU"/>
        </w:rPr>
        <w:t xml:space="preserve">and PBS </w:t>
      </w:r>
      <w:r w:rsidR="009B132C" w:rsidRPr="00C61784">
        <w:rPr>
          <w:rFonts w:ascii="Calibri" w:eastAsia="Times New Roman" w:hAnsi="Calibri" w:cs="Times New Roman"/>
          <w:szCs w:val="24"/>
          <w:lang w:val="en-GB" w:eastAsia="en-AU"/>
        </w:rPr>
        <w:t>analysis dataset</w:t>
      </w:r>
      <w:r w:rsidR="0040001D" w:rsidRPr="00C61784">
        <w:rPr>
          <w:rFonts w:ascii="Calibri" w:eastAsia="Times New Roman" w:hAnsi="Calibri" w:cs="Times New Roman"/>
          <w:szCs w:val="24"/>
          <w:lang w:val="en-GB" w:eastAsia="en-AU"/>
        </w:rPr>
        <w:t>s</w:t>
      </w:r>
      <w:r w:rsidR="009B132C" w:rsidRPr="00C61784">
        <w:rPr>
          <w:rFonts w:ascii="Calibri" w:eastAsia="Times New Roman" w:hAnsi="Calibri" w:cs="Times New Roman"/>
          <w:szCs w:val="24"/>
          <w:lang w:val="en-GB" w:eastAsia="en-AU"/>
        </w:rPr>
        <w:t xml:space="preserve"> did not differ substantively between group</w:t>
      </w:r>
      <w:r w:rsidR="00DA29B2">
        <w:rPr>
          <w:rFonts w:ascii="Calibri" w:eastAsia="Times New Roman" w:hAnsi="Calibri" w:cs="Times New Roman"/>
          <w:szCs w:val="24"/>
          <w:lang w:val="en-GB" w:eastAsia="en-AU"/>
        </w:rPr>
        <w:t>s,</w:t>
      </w:r>
      <w:r w:rsidR="009B132C" w:rsidRPr="00C61784">
        <w:rPr>
          <w:rFonts w:ascii="Calibri" w:eastAsia="Times New Roman" w:hAnsi="Calibri" w:cs="Times New Roman"/>
          <w:szCs w:val="24"/>
          <w:lang w:val="en-GB" w:eastAsia="en-AU"/>
        </w:rPr>
        <w:t xml:space="preserve"> with 96.7% and 97.7% of </w:t>
      </w:r>
      <w:r w:rsidR="00DA29B2" w:rsidRPr="00C61784">
        <w:rPr>
          <w:rFonts w:ascii="Calibri" w:eastAsia="Times New Roman" w:hAnsi="Calibri" w:cs="Times New Roman"/>
          <w:szCs w:val="24"/>
          <w:lang w:val="en-GB" w:eastAsia="en-AU"/>
        </w:rPr>
        <w:t>patient</w:t>
      </w:r>
      <w:r w:rsidR="00DA29B2">
        <w:rPr>
          <w:rFonts w:ascii="Calibri" w:eastAsia="Times New Roman" w:hAnsi="Calibri" w:cs="Times New Roman"/>
          <w:szCs w:val="24"/>
          <w:lang w:val="en-GB" w:eastAsia="en-AU"/>
        </w:rPr>
        <w:t>s</w:t>
      </w:r>
      <w:r w:rsidR="00DA29B2" w:rsidRPr="00C61784">
        <w:rPr>
          <w:rFonts w:ascii="Calibri" w:eastAsia="Times New Roman" w:hAnsi="Calibri" w:cs="Times New Roman"/>
          <w:szCs w:val="24"/>
          <w:lang w:val="en-GB" w:eastAsia="en-AU"/>
        </w:rPr>
        <w:t xml:space="preserve"> </w:t>
      </w:r>
      <w:r w:rsidR="00DA29B2">
        <w:rPr>
          <w:rFonts w:ascii="Calibri" w:eastAsia="Times New Roman" w:hAnsi="Calibri" w:cs="Times New Roman"/>
          <w:szCs w:val="24"/>
          <w:lang w:val="en-GB" w:eastAsia="en-AU"/>
        </w:rPr>
        <w:t xml:space="preserve">in the </w:t>
      </w:r>
      <w:r w:rsidR="009B132C" w:rsidRPr="00C61784">
        <w:rPr>
          <w:rFonts w:ascii="Calibri" w:eastAsia="Times New Roman" w:hAnsi="Calibri" w:cs="Times New Roman"/>
          <w:szCs w:val="24"/>
          <w:lang w:val="en-GB" w:eastAsia="en-AU"/>
        </w:rPr>
        <w:t>control and intervention group</w:t>
      </w:r>
      <w:r w:rsidR="00DA29B2">
        <w:rPr>
          <w:rFonts w:ascii="Calibri" w:eastAsia="Times New Roman" w:hAnsi="Calibri" w:cs="Times New Roman"/>
          <w:szCs w:val="24"/>
          <w:lang w:val="en-GB" w:eastAsia="en-AU"/>
        </w:rPr>
        <w:t>s,</w:t>
      </w:r>
      <w:r w:rsidR="009B132C" w:rsidRPr="00C61784">
        <w:rPr>
          <w:rFonts w:ascii="Calibri" w:eastAsia="Times New Roman" w:hAnsi="Calibri" w:cs="Times New Roman"/>
          <w:szCs w:val="24"/>
          <w:lang w:val="en-GB" w:eastAsia="en-AU"/>
        </w:rPr>
        <w:t xml:space="preserve"> respectively</w:t>
      </w:r>
      <w:r w:rsidR="00DA29B2">
        <w:rPr>
          <w:rFonts w:ascii="Calibri" w:eastAsia="Times New Roman" w:hAnsi="Calibri" w:cs="Times New Roman"/>
          <w:szCs w:val="24"/>
          <w:lang w:val="en-GB" w:eastAsia="en-AU"/>
        </w:rPr>
        <w:t>,</w:t>
      </w:r>
      <w:r w:rsidR="009B132C" w:rsidRPr="00C61784">
        <w:rPr>
          <w:rFonts w:ascii="Calibri" w:eastAsia="Times New Roman" w:hAnsi="Calibri" w:cs="Times New Roman"/>
          <w:szCs w:val="24"/>
          <w:lang w:val="en-GB" w:eastAsia="en-AU"/>
        </w:rPr>
        <w:t xml:space="preserve"> matched. The difference in matching rates was not statistically significant (</w:t>
      </w:r>
      <w:r w:rsidR="009B132C" w:rsidRPr="00C61784">
        <w:rPr>
          <w:rFonts w:ascii="Calibri" w:eastAsia="Times New Roman" w:hAnsi="Calibri" w:cs="Times New Roman"/>
          <w:szCs w:val="24"/>
          <w:lang w:val="en-GB" w:eastAsia="en-AU"/>
        </w:rPr>
        <w:sym w:font="Symbol" w:char="F063"/>
      </w:r>
      <w:r w:rsidR="009B132C" w:rsidRPr="00C61784">
        <w:rPr>
          <w:rFonts w:ascii="Calibri" w:eastAsia="Times New Roman" w:hAnsi="Calibri" w:cs="Times New Roman"/>
          <w:szCs w:val="24"/>
          <w:vertAlign w:val="superscript"/>
          <w:lang w:val="en-GB" w:eastAsia="en-AU"/>
        </w:rPr>
        <w:t>2</w:t>
      </w:r>
      <w:r w:rsidR="009B132C" w:rsidRPr="00F30D75">
        <w:rPr>
          <w:rFonts w:ascii="Calibri" w:eastAsia="Times New Roman" w:hAnsi="Calibri" w:cs="Times New Roman"/>
          <w:szCs w:val="24"/>
          <w:lang w:val="en-GB" w:eastAsia="en-AU"/>
        </w:rPr>
        <w:t xml:space="preserve"> </w:t>
      </w:r>
      <w:r w:rsidR="009B132C" w:rsidRPr="00C61784">
        <w:rPr>
          <w:rFonts w:ascii="Calibri" w:eastAsia="Times New Roman" w:hAnsi="Calibri" w:cs="Times New Roman"/>
          <w:szCs w:val="24"/>
          <w:lang w:val="en-GB" w:eastAsia="en-AU"/>
        </w:rPr>
        <w:t>= 0.97; df =</w:t>
      </w:r>
      <w:r w:rsidR="0040001D" w:rsidRPr="00C61784">
        <w:rPr>
          <w:rFonts w:ascii="Calibri" w:eastAsia="Times New Roman" w:hAnsi="Calibri" w:cs="Times New Roman"/>
          <w:szCs w:val="24"/>
          <w:lang w:val="en-GB" w:eastAsia="en-AU"/>
        </w:rPr>
        <w:t xml:space="preserve"> </w:t>
      </w:r>
      <w:r w:rsidR="009B132C" w:rsidRPr="00C61784">
        <w:rPr>
          <w:rFonts w:ascii="Calibri" w:eastAsia="Times New Roman" w:hAnsi="Calibri" w:cs="Times New Roman"/>
          <w:szCs w:val="24"/>
          <w:lang w:val="en-GB" w:eastAsia="en-AU"/>
        </w:rPr>
        <w:t xml:space="preserve">1; </w:t>
      </w:r>
      <w:r w:rsidR="00DA29B2" w:rsidRPr="00DA29B2">
        <w:rPr>
          <w:rFonts w:ascii="Calibri" w:eastAsia="Times New Roman" w:hAnsi="Calibri" w:cs="Times New Roman"/>
          <w:i/>
          <w:szCs w:val="24"/>
          <w:lang w:val="en-GB" w:eastAsia="en-AU"/>
        </w:rPr>
        <w:t>p</w:t>
      </w:r>
      <w:r w:rsidR="009B132C" w:rsidRPr="00C61784">
        <w:rPr>
          <w:rFonts w:ascii="Calibri" w:eastAsia="Times New Roman" w:hAnsi="Calibri" w:cs="Times New Roman"/>
          <w:szCs w:val="24"/>
          <w:lang w:val="en-GB" w:eastAsia="en-AU"/>
        </w:rPr>
        <w:t xml:space="preserve"> = 0.33).</w:t>
      </w:r>
      <w:r w:rsidRPr="00C61784">
        <w:rPr>
          <w:rFonts w:ascii="Calibri" w:eastAsia="Times New Roman" w:hAnsi="Calibri" w:cs="Times New Roman"/>
          <w:szCs w:val="24"/>
          <w:lang w:val="en-GB" w:eastAsia="en-AU"/>
        </w:rPr>
        <w:t xml:space="preserve"> </w:t>
      </w:r>
    </w:p>
    <w:p w14:paraId="0A7635D4" w14:textId="77777777" w:rsidR="00B024EB" w:rsidRPr="00C61784" w:rsidRDefault="00B024EB" w:rsidP="00B024EB">
      <w:pPr>
        <w:spacing w:after="0" w:line="240" w:lineRule="auto"/>
        <w:rPr>
          <w:rFonts w:ascii="Calibri" w:eastAsia="Times New Roman" w:hAnsi="Calibri" w:cs="Times New Roman"/>
          <w:szCs w:val="24"/>
          <w:lang w:val="en-GB" w:eastAsia="en-AU"/>
        </w:rPr>
      </w:pPr>
    </w:p>
    <w:p w14:paraId="0AD6DF8E" w14:textId="1AC4A7C7" w:rsidR="00B024EB" w:rsidRPr="00C61784" w:rsidRDefault="005C2751" w:rsidP="00B024EB">
      <w:pPr>
        <w:spacing w:after="0" w:line="240" w:lineRule="auto"/>
        <w:rPr>
          <w:rFonts w:ascii="Calibri" w:eastAsia="Times New Roman" w:hAnsi="Calibri" w:cs="Times New Roman"/>
          <w:szCs w:val="24"/>
          <w:lang w:val="en-GB" w:eastAsia="en-AU"/>
        </w:rPr>
      </w:pPr>
      <w:r w:rsidRPr="00C61784">
        <w:rPr>
          <w:rFonts w:ascii="Calibri" w:eastAsia="Times New Roman" w:hAnsi="Calibri" w:cs="Times New Roman"/>
          <w:szCs w:val="24"/>
          <w:lang w:val="en-GB" w:eastAsia="en-AU"/>
        </w:rPr>
        <w:t>Medicare s</w:t>
      </w:r>
      <w:r w:rsidR="00B024EB" w:rsidRPr="00C61784">
        <w:rPr>
          <w:rFonts w:ascii="Calibri" w:eastAsia="Times New Roman" w:hAnsi="Calibri" w:cs="Times New Roman"/>
          <w:szCs w:val="24"/>
          <w:lang w:val="en-GB" w:eastAsia="en-AU"/>
        </w:rPr>
        <w:t xml:space="preserve">pecialist services </w:t>
      </w:r>
      <w:r w:rsidRPr="00C61784">
        <w:rPr>
          <w:rFonts w:ascii="Calibri" w:eastAsia="Times New Roman" w:hAnsi="Calibri" w:cs="Times New Roman"/>
          <w:szCs w:val="24"/>
          <w:lang w:val="en-GB" w:eastAsia="en-AU"/>
        </w:rPr>
        <w:t xml:space="preserve">for the purposes of the study </w:t>
      </w:r>
      <w:r w:rsidR="00DA29B2">
        <w:rPr>
          <w:rFonts w:ascii="Calibri" w:eastAsia="Times New Roman" w:hAnsi="Calibri" w:cs="Times New Roman"/>
          <w:szCs w:val="24"/>
          <w:lang w:val="en-GB" w:eastAsia="en-AU"/>
        </w:rPr>
        <w:t xml:space="preserve">were </w:t>
      </w:r>
      <w:r w:rsidR="00B024EB" w:rsidRPr="00C61784">
        <w:rPr>
          <w:rFonts w:ascii="Calibri" w:eastAsia="Times New Roman" w:hAnsi="Calibri" w:cs="Times New Roman"/>
          <w:szCs w:val="24"/>
          <w:lang w:val="en-GB" w:eastAsia="en-AU"/>
        </w:rPr>
        <w:t xml:space="preserve">defined </w:t>
      </w:r>
      <w:r w:rsidRPr="00C61784">
        <w:rPr>
          <w:rFonts w:ascii="Calibri" w:eastAsia="Times New Roman" w:hAnsi="Calibri" w:cs="Times New Roman"/>
          <w:szCs w:val="24"/>
          <w:lang w:val="en-GB" w:eastAsia="en-AU"/>
        </w:rPr>
        <w:t xml:space="preserve">as all Medicare claims other than those claimed by </w:t>
      </w:r>
      <w:r w:rsidR="00DA29B2">
        <w:rPr>
          <w:rFonts w:ascii="Calibri" w:eastAsia="Times New Roman" w:hAnsi="Calibri" w:cs="Times New Roman"/>
          <w:szCs w:val="24"/>
          <w:lang w:val="en-GB" w:eastAsia="en-AU"/>
        </w:rPr>
        <w:t>general practitioners (</w:t>
      </w:r>
      <w:r w:rsidR="00B024EB" w:rsidRPr="00C61784">
        <w:rPr>
          <w:rFonts w:ascii="Calibri" w:eastAsia="Times New Roman" w:hAnsi="Calibri" w:cs="Times New Roman"/>
          <w:szCs w:val="24"/>
          <w:lang w:val="en-GB" w:eastAsia="en-AU"/>
        </w:rPr>
        <w:t>GP</w:t>
      </w:r>
      <w:r w:rsidRPr="00C61784">
        <w:rPr>
          <w:rFonts w:ascii="Calibri" w:eastAsia="Times New Roman" w:hAnsi="Calibri" w:cs="Times New Roman"/>
          <w:szCs w:val="24"/>
          <w:lang w:val="en-GB" w:eastAsia="en-AU"/>
        </w:rPr>
        <w:t>s</w:t>
      </w:r>
      <w:r w:rsidR="00DA29B2">
        <w:rPr>
          <w:rFonts w:ascii="Calibri" w:eastAsia="Times New Roman" w:hAnsi="Calibri" w:cs="Times New Roman"/>
          <w:szCs w:val="24"/>
          <w:lang w:val="en-GB" w:eastAsia="en-AU"/>
        </w:rPr>
        <w:t>)</w:t>
      </w:r>
      <w:r w:rsidRPr="00C61784">
        <w:rPr>
          <w:rFonts w:ascii="Calibri" w:eastAsia="Times New Roman" w:hAnsi="Calibri" w:cs="Times New Roman"/>
          <w:szCs w:val="24"/>
          <w:lang w:val="en-GB" w:eastAsia="en-AU"/>
        </w:rPr>
        <w:t xml:space="preserve">. </w:t>
      </w:r>
      <w:r w:rsidR="00B024EB" w:rsidRPr="00C61784">
        <w:rPr>
          <w:rFonts w:ascii="Calibri" w:eastAsia="Times New Roman" w:hAnsi="Calibri" w:cs="Times New Roman"/>
          <w:szCs w:val="24"/>
          <w:lang w:val="en-GB" w:eastAsia="en-AU"/>
        </w:rPr>
        <w:t>This include</w:t>
      </w:r>
      <w:r w:rsidRPr="00C61784">
        <w:rPr>
          <w:rFonts w:ascii="Calibri" w:eastAsia="Times New Roman" w:hAnsi="Calibri" w:cs="Times New Roman"/>
          <w:szCs w:val="24"/>
          <w:lang w:val="en-GB" w:eastAsia="en-AU"/>
        </w:rPr>
        <w:t>d</w:t>
      </w:r>
      <w:r w:rsidR="00B024EB" w:rsidRPr="00C61784">
        <w:rPr>
          <w:rFonts w:ascii="Calibri" w:eastAsia="Times New Roman" w:hAnsi="Calibri" w:cs="Times New Roman"/>
          <w:szCs w:val="24"/>
          <w:lang w:val="en-GB" w:eastAsia="en-AU"/>
        </w:rPr>
        <w:t xml:space="preserve"> claims categorised as </w:t>
      </w:r>
      <w:r w:rsidR="00DA29B2" w:rsidRPr="00C61784">
        <w:rPr>
          <w:rFonts w:ascii="Calibri" w:eastAsia="Times New Roman" w:hAnsi="Calibri" w:cs="Times New Roman"/>
          <w:szCs w:val="24"/>
          <w:lang w:val="en-GB" w:eastAsia="en-AU"/>
        </w:rPr>
        <w:t xml:space="preserve">diagnostic, therapeutic, surgical, imaging, pathology, optometry, dental, psychology/psychiatry, specialists and allied </w:t>
      </w:r>
      <w:r w:rsidR="00B024EB" w:rsidRPr="00C61784">
        <w:rPr>
          <w:rFonts w:ascii="Calibri" w:eastAsia="Times New Roman" w:hAnsi="Calibri" w:cs="Times New Roman"/>
          <w:szCs w:val="24"/>
          <w:lang w:val="en-GB" w:eastAsia="en-AU"/>
        </w:rPr>
        <w:t>health. For Medicare claims</w:t>
      </w:r>
      <w:r w:rsidR="00DA29B2">
        <w:rPr>
          <w:rFonts w:ascii="Calibri" w:eastAsia="Times New Roman" w:hAnsi="Calibri" w:cs="Times New Roman"/>
          <w:szCs w:val="24"/>
          <w:lang w:val="en-GB" w:eastAsia="en-AU"/>
        </w:rPr>
        <w:t>,</w:t>
      </w:r>
      <w:r w:rsidR="00B024EB" w:rsidRPr="00C61784">
        <w:rPr>
          <w:rFonts w:ascii="Calibri" w:eastAsia="Times New Roman" w:hAnsi="Calibri" w:cs="Times New Roman"/>
          <w:szCs w:val="24"/>
          <w:lang w:val="en-GB" w:eastAsia="en-AU"/>
        </w:rPr>
        <w:t xml:space="preserve"> the date </w:t>
      </w:r>
      <w:r w:rsidRPr="00C61784">
        <w:rPr>
          <w:rFonts w:ascii="Calibri" w:eastAsia="Times New Roman" w:hAnsi="Calibri" w:cs="Times New Roman"/>
          <w:szCs w:val="24"/>
          <w:lang w:val="en-GB" w:eastAsia="en-AU"/>
        </w:rPr>
        <w:t xml:space="preserve">on which the analysis was based </w:t>
      </w:r>
      <w:r w:rsidR="00B024EB" w:rsidRPr="00C61784">
        <w:rPr>
          <w:rFonts w:ascii="Calibri" w:eastAsia="Times New Roman" w:hAnsi="Calibri" w:cs="Times New Roman"/>
          <w:szCs w:val="24"/>
          <w:lang w:val="en-GB" w:eastAsia="en-AU"/>
        </w:rPr>
        <w:t>was the date the service was provided; for the PBS</w:t>
      </w:r>
      <w:r w:rsidR="00DA29B2">
        <w:rPr>
          <w:rFonts w:ascii="Calibri" w:eastAsia="Times New Roman" w:hAnsi="Calibri" w:cs="Times New Roman"/>
          <w:szCs w:val="24"/>
          <w:lang w:val="en-GB" w:eastAsia="en-AU"/>
        </w:rPr>
        <w:t>,</w:t>
      </w:r>
      <w:r w:rsidR="00B024EB" w:rsidRPr="00C61784">
        <w:rPr>
          <w:rFonts w:ascii="Calibri" w:eastAsia="Times New Roman" w:hAnsi="Calibri" w:cs="Times New Roman"/>
          <w:szCs w:val="24"/>
          <w:lang w:val="en-GB" w:eastAsia="en-AU"/>
        </w:rPr>
        <w:t xml:space="preserve"> it was the date the PBS item was supplied.</w:t>
      </w:r>
    </w:p>
    <w:p w14:paraId="0AE43C40" w14:textId="77777777" w:rsidR="00B024EB" w:rsidRPr="00C61784" w:rsidRDefault="00B024EB" w:rsidP="00B024EB">
      <w:pPr>
        <w:spacing w:after="0" w:line="240" w:lineRule="auto"/>
        <w:rPr>
          <w:rFonts w:ascii="Calibri" w:eastAsia="Times New Roman" w:hAnsi="Calibri" w:cs="Times New Roman"/>
          <w:szCs w:val="24"/>
          <w:lang w:val="en-GB" w:eastAsia="en-AU"/>
        </w:rPr>
      </w:pPr>
    </w:p>
    <w:p w14:paraId="094B3B44" w14:textId="2D62C42C" w:rsidR="00106B94" w:rsidRPr="00C61784" w:rsidRDefault="009B132C" w:rsidP="00106B94">
      <w:pPr>
        <w:spacing w:after="0" w:line="240" w:lineRule="auto"/>
        <w:rPr>
          <w:rFonts w:ascii="Calibri" w:eastAsia="Times New Roman" w:hAnsi="Calibri" w:cs="Times New Roman"/>
          <w:szCs w:val="24"/>
          <w:lang w:val="en-GB" w:eastAsia="en-AU"/>
        </w:rPr>
      </w:pPr>
      <w:r w:rsidRPr="00C61784">
        <w:rPr>
          <w:rFonts w:ascii="Calibri" w:eastAsia="Times New Roman" w:hAnsi="Calibri" w:cs="Times New Roman"/>
          <w:szCs w:val="24"/>
          <w:lang w:val="en-GB" w:eastAsia="en-AU"/>
        </w:rPr>
        <w:t xml:space="preserve">The statistical technique used for the analysis of </w:t>
      </w:r>
      <w:r w:rsidR="005C2751" w:rsidRPr="00C61784">
        <w:rPr>
          <w:rFonts w:ascii="Calibri" w:eastAsia="Times New Roman" w:hAnsi="Calibri" w:cs="Times New Roman"/>
          <w:szCs w:val="24"/>
          <w:lang w:val="en-GB" w:eastAsia="en-AU"/>
        </w:rPr>
        <w:t xml:space="preserve">Medicare </w:t>
      </w:r>
      <w:r w:rsidR="0040001D" w:rsidRPr="00C61784">
        <w:rPr>
          <w:rFonts w:ascii="Calibri" w:eastAsia="Times New Roman" w:hAnsi="Calibri" w:cs="Times New Roman"/>
          <w:szCs w:val="24"/>
          <w:lang w:val="en-GB" w:eastAsia="en-AU"/>
        </w:rPr>
        <w:t xml:space="preserve">claims </w:t>
      </w:r>
      <w:r w:rsidRPr="00C61784">
        <w:rPr>
          <w:rFonts w:ascii="Calibri" w:eastAsia="Times New Roman" w:hAnsi="Calibri" w:cs="Times New Roman"/>
          <w:szCs w:val="24"/>
          <w:lang w:val="en-GB" w:eastAsia="en-AU"/>
        </w:rPr>
        <w:t xml:space="preserve">and PBS </w:t>
      </w:r>
      <w:r w:rsidR="0040001D" w:rsidRPr="00C61784">
        <w:rPr>
          <w:rFonts w:ascii="Calibri" w:eastAsia="Times New Roman" w:hAnsi="Calibri" w:cs="Times New Roman"/>
          <w:szCs w:val="24"/>
          <w:lang w:val="en-GB" w:eastAsia="en-AU"/>
        </w:rPr>
        <w:t xml:space="preserve">items supplied </w:t>
      </w:r>
      <w:r w:rsidRPr="00C61784">
        <w:rPr>
          <w:rFonts w:ascii="Calibri" w:eastAsia="Times New Roman" w:hAnsi="Calibri" w:cs="Times New Roman"/>
          <w:szCs w:val="24"/>
          <w:lang w:val="en-GB" w:eastAsia="en-AU"/>
        </w:rPr>
        <w:t xml:space="preserve">followed </w:t>
      </w:r>
      <w:r w:rsidR="00DA29B2">
        <w:rPr>
          <w:rFonts w:ascii="Calibri" w:eastAsia="Times New Roman" w:hAnsi="Calibri" w:cs="Times New Roman"/>
          <w:szCs w:val="24"/>
          <w:lang w:val="en-GB" w:eastAsia="en-AU"/>
        </w:rPr>
        <w:t>that</w:t>
      </w:r>
      <w:r w:rsidR="00DA29B2" w:rsidRPr="00C61784">
        <w:rPr>
          <w:rFonts w:ascii="Calibri" w:eastAsia="Times New Roman" w:hAnsi="Calibri" w:cs="Times New Roman"/>
          <w:szCs w:val="24"/>
          <w:lang w:val="en-GB" w:eastAsia="en-AU"/>
        </w:rPr>
        <w:t xml:space="preserve"> </w:t>
      </w:r>
      <w:r w:rsidRPr="00C61784">
        <w:rPr>
          <w:rFonts w:ascii="Calibri" w:eastAsia="Times New Roman" w:hAnsi="Calibri" w:cs="Times New Roman"/>
          <w:szCs w:val="24"/>
          <w:lang w:val="en-GB" w:eastAsia="en-AU"/>
        </w:rPr>
        <w:t xml:space="preserve">used in the hospital service use analyses (see above) and </w:t>
      </w:r>
      <w:r w:rsidR="00DA29B2">
        <w:rPr>
          <w:rFonts w:ascii="Calibri" w:eastAsia="Times New Roman" w:hAnsi="Calibri" w:cs="Times New Roman"/>
          <w:szCs w:val="24"/>
          <w:lang w:val="en-GB" w:eastAsia="en-AU"/>
        </w:rPr>
        <w:t>was</w:t>
      </w:r>
      <w:r w:rsidR="00DA29B2" w:rsidRPr="00C61784">
        <w:rPr>
          <w:rFonts w:ascii="Calibri" w:eastAsia="Times New Roman" w:hAnsi="Calibri" w:cs="Times New Roman"/>
          <w:szCs w:val="24"/>
          <w:lang w:val="en-GB" w:eastAsia="en-AU"/>
        </w:rPr>
        <w:t xml:space="preserve"> </w:t>
      </w:r>
      <w:r w:rsidRPr="00C61784">
        <w:rPr>
          <w:rFonts w:ascii="Calibri" w:eastAsia="Times New Roman" w:hAnsi="Calibri" w:cs="Times New Roman"/>
          <w:szCs w:val="24"/>
          <w:lang w:val="en-GB" w:eastAsia="en-AU"/>
        </w:rPr>
        <w:t xml:space="preserve">based on multilevel negative binomial regression. The models included an exposure variable to account for patients having different </w:t>
      </w:r>
      <w:r w:rsidR="00DA29B2">
        <w:rPr>
          <w:rFonts w:ascii="Calibri" w:eastAsia="Times New Roman" w:hAnsi="Calibri" w:cs="Times New Roman"/>
          <w:szCs w:val="24"/>
          <w:lang w:val="en-GB" w:eastAsia="en-AU"/>
        </w:rPr>
        <w:t>durations</w:t>
      </w:r>
      <w:r w:rsidR="00DA29B2" w:rsidRPr="00C61784">
        <w:rPr>
          <w:rFonts w:ascii="Calibri" w:eastAsia="Times New Roman" w:hAnsi="Calibri" w:cs="Times New Roman"/>
          <w:szCs w:val="24"/>
          <w:lang w:val="en-GB" w:eastAsia="en-AU"/>
        </w:rPr>
        <w:t xml:space="preserve"> </w:t>
      </w:r>
      <w:r w:rsidRPr="00C61784">
        <w:rPr>
          <w:rFonts w:ascii="Calibri" w:eastAsia="Times New Roman" w:hAnsi="Calibri" w:cs="Times New Roman"/>
          <w:szCs w:val="24"/>
          <w:lang w:val="en-GB" w:eastAsia="en-AU"/>
        </w:rPr>
        <w:t xml:space="preserve">of follow-up due to death. At 24 months (31 October 2020), for the Medicare </w:t>
      </w:r>
      <w:r w:rsidR="0040001D" w:rsidRPr="00C61784">
        <w:rPr>
          <w:rFonts w:ascii="Calibri" w:eastAsia="Times New Roman" w:hAnsi="Calibri" w:cs="Times New Roman"/>
          <w:szCs w:val="24"/>
          <w:lang w:val="en-GB" w:eastAsia="en-AU"/>
        </w:rPr>
        <w:t xml:space="preserve">and </w:t>
      </w:r>
      <w:r w:rsidRPr="00C61784">
        <w:rPr>
          <w:rFonts w:ascii="Calibri" w:eastAsia="Times New Roman" w:hAnsi="Calibri" w:cs="Times New Roman"/>
          <w:szCs w:val="24"/>
          <w:lang w:val="en-GB" w:eastAsia="en-AU"/>
        </w:rPr>
        <w:t>PBS datasets (</w:t>
      </w:r>
      <w:r w:rsidRPr="00C61784">
        <w:rPr>
          <w:rFonts w:ascii="Calibri" w:eastAsia="Times New Roman" w:hAnsi="Calibri" w:cs="Times New Roman"/>
          <w:i/>
          <w:iCs/>
          <w:szCs w:val="24"/>
          <w:lang w:val="en-GB" w:eastAsia="en-AU"/>
        </w:rPr>
        <w:t>n</w:t>
      </w:r>
      <w:r w:rsidRPr="00C61784">
        <w:rPr>
          <w:rFonts w:ascii="Calibri" w:eastAsia="Times New Roman" w:hAnsi="Calibri" w:cs="Times New Roman"/>
          <w:szCs w:val="24"/>
          <w:lang w:val="en-GB" w:eastAsia="en-AU"/>
        </w:rPr>
        <w:t xml:space="preserve"> = 1015), there were 32 deaths</w:t>
      </w:r>
      <w:r w:rsidR="00DA29B2">
        <w:rPr>
          <w:rFonts w:ascii="Calibri" w:eastAsia="Times New Roman" w:hAnsi="Calibri" w:cs="Times New Roman"/>
          <w:szCs w:val="24"/>
          <w:lang w:val="en-GB" w:eastAsia="en-AU"/>
        </w:rPr>
        <w:t xml:space="preserve"> in total</w:t>
      </w:r>
      <w:r w:rsidRPr="00C61784">
        <w:rPr>
          <w:rFonts w:ascii="Calibri" w:eastAsia="Times New Roman" w:hAnsi="Calibri" w:cs="Times New Roman"/>
          <w:szCs w:val="24"/>
          <w:lang w:val="en-GB" w:eastAsia="en-AU"/>
        </w:rPr>
        <w:t xml:space="preserve"> (</w:t>
      </w:r>
      <w:r w:rsidR="00C77C1A" w:rsidRPr="00C61784">
        <w:rPr>
          <w:rFonts w:ascii="Calibri" w:eastAsia="Times New Roman" w:hAnsi="Calibri" w:cs="Times New Roman"/>
          <w:szCs w:val="24"/>
          <w:lang w:val="en-GB" w:eastAsia="en-AU"/>
        </w:rPr>
        <w:t>c</w:t>
      </w:r>
      <w:r w:rsidRPr="00C61784">
        <w:rPr>
          <w:rFonts w:ascii="Calibri" w:eastAsia="Times New Roman" w:hAnsi="Calibri" w:cs="Times New Roman"/>
          <w:szCs w:val="24"/>
          <w:lang w:val="en-GB" w:eastAsia="en-AU"/>
        </w:rPr>
        <w:t xml:space="preserve">ontrol = 14; </w:t>
      </w:r>
      <w:r w:rsidR="00C77C1A" w:rsidRPr="00C61784">
        <w:rPr>
          <w:rFonts w:ascii="Calibri" w:eastAsia="Times New Roman" w:hAnsi="Calibri" w:cs="Times New Roman"/>
          <w:szCs w:val="24"/>
          <w:lang w:val="en-GB" w:eastAsia="en-AU"/>
        </w:rPr>
        <w:t>i</w:t>
      </w:r>
      <w:r w:rsidRPr="00C61784">
        <w:rPr>
          <w:rFonts w:ascii="Calibri" w:eastAsia="Times New Roman" w:hAnsi="Calibri" w:cs="Times New Roman"/>
          <w:szCs w:val="24"/>
          <w:lang w:val="en-GB" w:eastAsia="en-AU"/>
        </w:rPr>
        <w:t xml:space="preserve">ntervention = 18). Mean exposure times were similar between the control </w:t>
      </w:r>
      <w:r w:rsidR="00DA29B2" w:rsidRPr="00C61784">
        <w:rPr>
          <w:rFonts w:ascii="Calibri" w:eastAsia="Times New Roman" w:hAnsi="Calibri" w:cs="Times New Roman"/>
          <w:szCs w:val="24"/>
          <w:lang w:val="en-GB" w:eastAsia="en-AU"/>
        </w:rPr>
        <w:t xml:space="preserve">and intervention </w:t>
      </w:r>
      <w:r w:rsidR="00DA29B2">
        <w:rPr>
          <w:rFonts w:ascii="Calibri" w:eastAsia="Times New Roman" w:hAnsi="Calibri" w:cs="Times New Roman"/>
          <w:szCs w:val="24"/>
          <w:lang w:val="en-GB" w:eastAsia="en-AU"/>
        </w:rPr>
        <w:t xml:space="preserve">groups </w:t>
      </w:r>
      <w:r w:rsidRPr="00C61784">
        <w:rPr>
          <w:rFonts w:ascii="Calibri" w:eastAsia="Times New Roman" w:hAnsi="Calibri" w:cs="Times New Roman"/>
          <w:szCs w:val="24"/>
          <w:lang w:val="en-GB" w:eastAsia="en-AU"/>
        </w:rPr>
        <w:t xml:space="preserve">(mean 712 </w:t>
      </w:r>
      <w:r w:rsidR="00DA29B2">
        <w:rPr>
          <w:rFonts w:ascii="Calibri" w:eastAsia="Times New Roman" w:hAnsi="Calibri" w:cs="Times New Roman"/>
          <w:szCs w:val="24"/>
          <w:lang w:val="en-GB" w:eastAsia="en-AU"/>
        </w:rPr>
        <w:t>and</w:t>
      </w:r>
      <w:r w:rsidRPr="00C61784">
        <w:rPr>
          <w:rFonts w:ascii="Calibri" w:eastAsia="Times New Roman" w:hAnsi="Calibri" w:cs="Times New Roman"/>
          <w:szCs w:val="24"/>
          <w:lang w:val="en-GB" w:eastAsia="en-AU"/>
        </w:rPr>
        <w:t xml:space="preserve"> 716 days</w:t>
      </w:r>
      <w:r w:rsidR="00DA29B2">
        <w:rPr>
          <w:rFonts w:ascii="Calibri" w:eastAsia="Times New Roman" w:hAnsi="Calibri" w:cs="Times New Roman"/>
          <w:szCs w:val="24"/>
          <w:lang w:val="en-GB" w:eastAsia="en-AU"/>
        </w:rPr>
        <w:t>, respectively</w:t>
      </w:r>
      <w:r w:rsidRPr="00C61784">
        <w:rPr>
          <w:rFonts w:ascii="Calibri" w:eastAsia="Times New Roman" w:hAnsi="Calibri" w:cs="Times New Roman"/>
          <w:szCs w:val="24"/>
          <w:lang w:val="en-GB" w:eastAsia="en-AU"/>
        </w:rPr>
        <w:t>).</w:t>
      </w:r>
    </w:p>
    <w:p w14:paraId="130D7023" w14:textId="77777777" w:rsidR="00E31421" w:rsidRPr="00C61784" w:rsidRDefault="00E31421" w:rsidP="00106B94">
      <w:pPr>
        <w:spacing w:after="0" w:line="240" w:lineRule="auto"/>
        <w:rPr>
          <w:rFonts w:ascii="Calibri" w:eastAsia="Times New Roman" w:hAnsi="Calibri" w:cs="Times New Roman"/>
          <w:szCs w:val="24"/>
          <w:lang w:val="en-GB" w:eastAsia="en-AU"/>
        </w:rPr>
      </w:pPr>
    </w:p>
    <w:bookmarkEnd w:id="0"/>
    <w:bookmarkEnd w:id="1"/>
    <w:bookmarkEnd w:id="2"/>
    <w:p w14:paraId="4A96974B" w14:textId="22A55208" w:rsidR="009B132C" w:rsidRDefault="009B132C">
      <w:pPr>
        <w:spacing w:after="0" w:line="240" w:lineRule="auto"/>
        <w:rPr>
          <w:rFonts w:cstheme="minorHAnsi"/>
          <w:b/>
          <w:bCs/>
          <w:lang w:val="en-GB"/>
        </w:rPr>
      </w:pPr>
      <w:r w:rsidRPr="00C61784">
        <w:rPr>
          <w:rFonts w:cstheme="minorHAnsi"/>
          <w:b/>
          <w:bCs/>
          <w:lang w:val="en-GB"/>
        </w:rPr>
        <w:t>References</w:t>
      </w:r>
    </w:p>
    <w:p w14:paraId="3B48B28E" w14:textId="77777777" w:rsidR="00FF4AA0" w:rsidRDefault="00FF4AA0">
      <w:pPr>
        <w:spacing w:after="0" w:line="240" w:lineRule="auto"/>
        <w:rPr>
          <w:rFonts w:cstheme="minorHAnsi"/>
          <w:lang w:val="en-GB"/>
        </w:rPr>
      </w:pPr>
    </w:p>
    <w:p w14:paraId="713B19A2" w14:textId="22D350F5" w:rsidR="00F87252" w:rsidRDefault="00F87252" w:rsidP="00F87252">
      <w:pPr>
        <w:spacing w:after="0" w:line="240" w:lineRule="auto"/>
        <w:ind w:left="567" w:hanging="567"/>
        <w:rPr>
          <w:rFonts w:cstheme="minorHAnsi"/>
          <w:lang w:val="en-GB"/>
        </w:rPr>
      </w:pPr>
      <w:r w:rsidRPr="00F87252">
        <w:rPr>
          <w:rFonts w:cstheme="minorHAnsi"/>
          <w:lang w:val="en-GB"/>
        </w:rPr>
        <w:t>1.</w:t>
      </w:r>
      <w:r w:rsidRPr="00F87252">
        <w:rPr>
          <w:rFonts w:cstheme="minorHAnsi"/>
          <w:lang w:val="en-GB"/>
        </w:rPr>
        <w:tab/>
        <w:t>Puhani PA. The treatment effect, the cross difference, and the interaction term in nonlinear “difference-in-differences” models. Econ Lett. 2012;115(1):85–87.</w:t>
      </w:r>
    </w:p>
    <w:sectPr w:rsidR="00F87252" w:rsidSect="00BC703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E6D41" w14:textId="77777777" w:rsidR="00B938FE" w:rsidRDefault="00B938FE">
      <w:pPr>
        <w:spacing w:after="0" w:line="240" w:lineRule="auto"/>
      </w:pPr>
      <w:r>
        <w:separator/>
      </w:r>
    </w:p>
  </w:endnote>
  <w:endnote w:type="continuationSeparator" w:id="0">
    <w:p w14:paraId="2001F345" w14:textId="77777777" w:rsidR="00B938FE" w:rsidRDefault="00B93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Yu Mincho">
    <w:altName w:val="Arial Unicode MS"/>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4213550"/>
      <w:docPartObj>
        <w:docPartGallery w:val="Page Numbers (Bottom of Page)"/>
        <w:docPartUnique/>
      </w:docPartObj>
    </w:sdtPr>
    <w:sdtEndPr>
      <w:rPr>
        <w:noProof/>
      </w:rPr>
    </w:sdtEndPr>
    <w:sdtContent>
      <w:p w14:paraId="589A46F8" w14:textId="77777777" w:rsidR="00B938FE" w:rsidRDefault="00B938FE">
        <w:pPr>
          <w:pStyle w:val="Footer"/>
          <w:jc w:val="right"/>
        </w:pPr>
        <w:r>
          <w:fldChar w:fldCharType="begin"/>
        </w:r>
        <w:r>
          <w:instrText xml:space="preserve"> PAGE   \* MERGEFORMAT </w:instrText>
        </w:r>
        <w:r>
          <w:fldChar w:fldCharType="separate"/>
        </w:r>
        <w:r w:rsidR="003203DC">
          <w:rPr>
            <w:noProof/>
          </w:rPr>
          <w:t>1</w:t>
        </w:r>
        <w:r>
          <w:rPr>
            <w:noProof/>
          </w:rPr>
          <w:fldChar w:fldCharType="end"/>
        </w:r>
      </w:p>
    </w:sdtContent>
  </w:sdt>
  <w:p w14:paraId="31A17F0C" w14:textId="77777777" w:rsidR="00B938FE" w:rsidRDefault="00B938FE">
    <w:pPr>
      <w:pStyle w:val="Footer"/>
    </w:pPr>
  </w:p>
  <w:p w14:paraId="1B93B8DE" w14:textId="77777777" w:rsidR="00B938FE" w:rsidRDefault="00B938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6D6AF" w14:textId="77777777" w:rsidR="00B938FE" w:rsidRDefault="00B938FE">
      <w:pPr>
        <w:spacing w:after="0" w:line="240" w:lineRule="auto"/>
      </w:pPr>
      <w:r>
        <w:separator/>
      </w:r>
    </w:p>
  </w:footnote>
  <w:footnote w:type="continuationSeparator" w:id="0">
    <w:p w14:paraId="1AA8B0D5" w14:textId="77777777" w:rsidR="00B938FE" w:rsidRDefault="00B938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C1397"/>
    <w:multiLevelType w:val="hybridMultilevel"/>
    <w:tmpl w:val="4424AE42"/>
    <w:lvl w:ilvl="0" w:tplc="4C3AD3FE">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85476C3"/>
    <w:multiLevelType w:val="hybridMultilevel"/>
    <w:tmpl w:val="6BB0BFDE"/>
    <w:lvl w:ilvl="0" w:tplc="C56C6B14">
      <w:start w:val="1"/>
      <w:numFmt w:val="lowerLetter"/>
      <w:lvlText w:val="(%1)"/>
      <w:lvlJc w:val="left"/>
      <w:pPr>
        <w:ind w:left="720" w:hanging="360"/>
      </w:pPr>
      <w:rPr>
        <w:rFonts w:hint="default"/>
        <w:b w:val="0"/>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72EE752B"/>
    <w:multiLevelType w:val="multilevel"/>
    <w:tmpl w:val="A5623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6284890">
    <w:abstractNumId w:val="0"/>
  </w:num>
  <w:num w:numId="2" w16cid:durableId="1659310775">
    <w:abstractNumId w:val="2"/>
  </w:num>
  <w:num w:numId="3" w16cid:durableId="211188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BMC Health Services Res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trvs9xwr5esfve2sxnxzaarsstvs9ff2rpp&quot;&gt;QUEST references-Converted&lt;record-ids&gt;&lt;item&gt;166&lt;/item&gt;&lt;item&gt;172&lt;/item&gt;&lt;item&gt;201&lt;/item&gt;&lt;item&gt;202&lt;/item&gt;&lt;item&gt;203&lt;/item&gt;&lt;item&gt;205&lt;/item&gt;&lt;item&gt;206&lt;/item&gt;&lt;item&gt;207&lt;/item&gt;&lt;item&gt;209&lt;/item&gt;&lt;item&gt;210&lt;/item&gt;&lt;item&gt;211&lt;/item&gt;&lt;item&gt;212&lt;/item&gt;&lt;item&gt;213&lt;/item&gt;&lt;item&gt;214&lt;/item&gt;&lt;item&gt;215&lt;/item&gt;&lt;item&gt;216&lt;/item&gt;&lt;item&gt;217&lt;/item&gt;&lt;/record-ids&gt;&lt;/item&gt;&lt;/Libraries&gt;"/>
  </w:docVars>
  <w:rsids>
    <w:rsidRoot w:val="009B132C"/>
    <w:rsid w:val="00006D1B"/>
    <w:rsid w:val="00086458"/>
    <w:rsid w:val="000F2D0B"/>
    <w:rsid w:val="00106B94"/>
    <w:rsid w:val="001608CB"/>
    <w:rsid w:val="00177625"/>
    <w:rsid w:val="00182D58"/>
    <w:rsid w:val="001C171C"/>
    <w:rsid w:val="001C3375"/>
    <w:rsid w:val="001C79A6"/>
    <w:rsid w:val="002075EC"/>
    <w:rsid w:val="00246D74"/>
    <w:rsid w:val="00271B67"/>
    <w:rsid w:val="0027520C"/>
    <w:rsid w:val="00286266"/>
    <w:rsid w:val="002D2B0D"/>
    <w:rsid w:val="002E0742"/>
    <w:rsid w:val="003203DC"/>
    <w:rsid w:val="00332838"/>
    <w:rsid w:val="003406DD"/>
    <w:rsid w:val="00394FAD"/>
    <w:rsid w:val="003A0884"/>
    <w:rsid w:val="003A7E8B"/>
    <w:rsid w:val="0040001D"/>
    <w:rsid w:val="00446186"/>
    <w:rsid w:val="004547E3"/>
    <w:rsid w:val="00465200"/>
    <w:rsid w:val="004760CC"/>
    <w:rsid w:val="004775E5"/>
    <w:rsid w:val="00480354"/>
    <w:rsid w:val="004A3C8D"/>
    <w:rsid w:val="004B372F"/>
    <w:rsid w:val="004B67B1"/>
    <w:rsid w:val="004D0C65"/>
    <w:rsid w:val="00546931"/>
    <w:rsid w:val="005C2751"/>
    <w:rsid w:val="006444B2"/>
    <w:rsid w:val="00663ADD"/>
    <w:rsid w:val="00671B66"/>
    <w:rsid w:val="006725E3"/>
    <w:rsid w:val="00691D82"/>
    <w:rsid w:val="00692B27"/>
    <w:rsid w:val="006F3681"/>
    <w:rsid w:val="00721999"/>
    <w:rsid w:val="00724406"/>
    <w:rsid w:val="008050A1"/>
    <w:rsid w:val="0084328D"/>
    <w:rsid w:val="008565CF"/>
    <w:rsid w:val="008678CC"/>
    <w:rsid w:val="00887B36"/>
    <w:rsid w:val="008D0929"/>
    <w:rsid w:val="00913F2E"/>
    <w:rsid w:val="00954414"/>
    <w:rsid w:val="009672C2"/>
    <w:rsid w:val="009B132C"/>
    <w:rsid w:val="00A46F39"/>
    <w:rsid w:val="00A77B1D"/>
    <w:rsid w:val="00AB60A1"/>
    <w:rsid w:val="00AC42F4"/>
    <w:rsid w:val="00AE3426"/>
    <w:rsid w:val="00B024EB"/>
    <w:rsid w:val="00B10105"/>
    <w:rsid w:val="00B938FE"/>
    <w:rsid w:val="00BC703D"/>
    <w:rsid w:val="00C27550"/>
    <w:rsid w:val="00C37BF5"/>
    <w:rsid w:val="00C55E4F"/>
    <w:rsid w:val="00C61784"/>
    <w:rsid w:val="00C77C1A"/>
    <w:rsid w:val="00C87AB4"/>
    <w:rsid w:val="00CF6861"/>
    <w:rsid w:val="00D11AF4"/>
    <w:rsid w:val="00D15C7D"/>
    <w:rsid w:val="00D4460C"/>
    <w:rsid w:val="00DA29B2"/>
    <w:rsid w:val="00DB357A"/>
    <w:rsid w:val="00DF0B0A"/>
    <w:rsid w:val="00E31421"/>
    <w:rsid w:val="00E54658"/>
    <w:rsid w:val="00E64FC7"/>
    <w:rsid w:val="00EA0AC0"/>
    <w:rsid w:val="00EC7158"/>
    <w:rsid w:val="00ED1065"/>
    <w:rsid w:val="00EE3350"/>
    <w:rsid w:val="00EF12F1"/>
    <w:rsid w:val="00EF649C"/>
    <w:rsid w:val="00F019F1"/>
    <w:rsid w:val="00F22E47"/>
    <w:rsid w:val="00F30D75"/>
    <w:rsid w:val="00F341F9"/>
    <w:rsid w:val="00F36D42"/>
    <w:rsid w:val="00F36D9D"/>
    <w:rsid w:val="00F5400A"/>
    <w:rsid w:val="00F87252"/>
    <w:rsid w:val="00FA74D6"/>
    <w:rsid w:val="00FF4AA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304924D5"/>
  <w15:docId w15:val="{4EEDF2B8-5277-420A-8DC6-EBED617C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32C"/>
    <w:pPr>
      <w:spacing w:after="160" w:line="259" w:lineRule="auto"/>
    </w:pPr>
  </w:style>
  <w:style w:type="paragraph" w:styleId="Heading1">
    <w:name w:val="heading 1"/>
    <w:basedOn w:val="Normal"/>
    <w:next w:val="Normal"/>
    <w:link w:val="Heading1Char"/>
    <w:uiPriority w:val="9"/>
    <w:qFormat/>
    <w:rsid w:val="009B13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B13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9B132C"/>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32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9B132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B132C"/>
    <w:rPr>
      <w:rFonts w:ascii="Times New Roman" w:eastAsia="Times New Roman" w:hAnsi="Times New Roman" w:cs="Times New Roman"/>
      <w:b/>
      <w:bCs/>
      <w:sz w:val="27"/>
      <w:szCs w:val="27"/>
      <w:lang w:eastAsia="en-AU"/>
    </w:rPr>
  </w:style>
  <w:style w:type="paragraph" w:styleId="ListParagraph">
    <w:name w:val="List Paragraph"/>
    <w:basedOn w:val="Normal"/>
    <w:uiPriority w:val="34"/>
    <w:qFormat/>
    <w:rsid w:val="009B132C"/>
    <w:pPr>
      <w:ind w:left="720"/>
      <w:contextualSpacing/>
    </w:pPr>
  </w:style>
  <w:style w:type="paragraph" w:styleId="Header">
    <w:name w:val="header"/>
    <w:basedOn w:val="Normal"/>
    <w:link w:val="HeaderChar"/>
    <w:uiPriority w:val="99"/>
    <w:unhideWhenUsed/>
    <w:rsid w:val="009B13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32C"/>
  </w:style>
  <w:style w:type="paragraph" w:styleId="Footer">
    <w:name w:val="footer"/>
    <w:basedOn w:val="Normal"/>
    <w:link w:val="FooterChar"/>
    <w:uiPriority w:val="99"/>
    <w:unhideWhenUsed/>
    <w:rsid w:val="009B1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32C"/>
  </w:style>
  <w:style w:type="character" w:styleId="CommentReference">
    <w:name w:val="annotation reference"/>
    <w:basedOn w:val="DefaultParagraphFont"/>
    <w:uiPriority w:val="99"/>
    <w:semiHidden/>
    <w:unhideWhenUsed/>
    <w:rsid w:val="009B132C"/>
    <w:rPr>
      <w:sz w:val="16"/>
      <w:szCs w:val="16"/>
    </w:rPr>
  </w:style>
  <w:style w:type="paragraph" w:styleId="CommentText">
    <w:name w:val="annotation text"/>
    <w:basedOn w:val="Normal"/>
    <w:link w:val="CommentTextChar"/>
    <w:uiPriority w:val="99"/>
    <w:semiHidden/>
    <w:unhideWhenUsed/>
    <w:rsid w:val="009B132C"/>
    <w:pPr>
      <w:spacing w:line="240" w:lineRule="auto"/>
    </w:pPr>
    <w:rPr>
      <w:sz w:val="20"/>
      <w:szCs w:val="20"/>
    </w:rPr>
  </w:style>
  <w:style w:type="character" w:customStyle="1" w:styleId="CommentTextChar">
    <w:name w:val="Comment Text Char"/>
    <w:basedOn w:val="DefaultParagraphFont"/>
    <w:link w:val="CommentText"/>
    <w:uiPriority w:val="99"/>
    <w:semiHidden/>
    <w:rsid w:val="009B132C"/>
    <w:rPr>
      <w:sz w:val="20"/>
      <w:szCs w:val="20"/>
    </w:rPr>
  </w:style>
  <w:style w:type="paragraph" w:styleId="CommentSubject">
    <w:name w:val="annotation subject"/>
    <w:basedOn w:val="CommentText"/>
    <w:next w:val="CommentText"/>
    <w:link w:val="CommentSubjectChar"/>
    <w:uiPriority w:val="99"/>
    <w:semiHidden/>
    <w:unhideWhenUsed/>
    <w:rsid w:val="009B132C"/>
    <w:rPr>
      <w:b/>
      <w:bCs/>
    </w:rPr>
  </w:style>
  <w:style w:type="character" w:customStyle="1" w:styleId="CommentSubjectChar">
    <w:name w:val="Comment Subject Char"/>
    <w:basedOn w:val="CommentTextChar"/>
    <w:link w:val="CommentSubject"/>
    <w:uiPriority w:val="99"/>
    <w:semiHidden/>
    <w:rsid w:val="009B132C"/>
    <w:rPr>
      <w:b/>
      <w:bCs/>
      <w:sz w:val="20"/>
      <w:szCs w:val="20"/>
    </w:rPr>
  </w:style>
  <w:style w:type="character" w:styleId="Hyperlink">
    <w:name w:val="Hyperlink"/>
    <w:basedOn w:val="DefaultParagraphFont"/>
    <w:uiPriority w:val="99"/>
    <w:unhideWhenUsed/>
    <w:rsid w:val="009B132C"/>
    <w:rPr>
      <w:color w:val="0000FF"/>
      <w:u w:val="single"/>
    </w:rPr>
  </w:style>
  <w:style w:type="paragraph" w:styleId="NormalWeb">
    <w:name w:val="Normal (Web)"/>
    <w:basedOn w:val="Normal"/>
    <w:link w:val="NormalWebChar"/>
    <w:uiPriority w:val="99"/>
    <w:unhideWhenUsed/>
    <w:rsid w:val="009B132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BodyCopy">
    <w:name w:val="*BodyCopy"/>
    <w:basedOn w:val="Normal"/>
    <w:uiPriority w:val="99"/>
    <w:qFormat/>
    <w:rsid w:val="009B132C"/>
    <w:pPr>
      <w:tabs>
        <w:tab w:val="left" w:pos="2694"/>
      </w:tabs>
      <w:spacing w:after="0" w:line="240" w:lineRule="auto"/>
    </w:pPr>
    <w:rPr>
      <w:rFonts w:eastAsia="Cambria" w:cs="Arial"/>
      <w:szCs w:val="24"/>
    </w:rPr>
  </w:style>
  <w:style w:type="character" w:customStyle="1" w:styleId="UnresolvedMention1">
    <w:name w:val="Unresolved Mention1"/>
    <w:basedOn w:val="DefaultParagraphFont"/>
    <w:uiPriority w:val="99"/>
    <w:semiHidden/>
    <w:unhideWhenUsed/>
    <w:rsid w:val="009B132C"/>
    <w:rPr>
      <w:color w:val="605E5C"/>
      <w:shd w:val="clear" w:color="auto" w:fill="E1DFDD"/>
    </w:rPr>
  </w:style>
  <w:style w:type="character" w:styleId="FollowedHyperlink">
    <w:name w:val="FollowedHyperlink"/>
    <w:basedOn w:val="DefaultParagraphFont"/>
    <w:uiPriority w:val="99"/>
    <w:semiHidden/>
    <w:unhideWhenUsed/>
    <w:rsid w:val="009B132C"/>
    <w:rPr>
      <w:color w:val="954F72" w:themeColor="followedHyperlink"/>
      <w:u w:val="single"/>
    </w:rPr>
  </w:style>
  <w:style w:type="paragraph" w:customStyle="1" w:styleId="Default">
    <w:name w:val="Default"/>
    <w:rsid w:val="009B132C"/>
    <w:pPr>
      <w:autoSpaceDE w:val="0"/>
      <w:autoSpaceDN w:val="0"/>
      <w:adjustRightInd w:val="0"/>
    </w:pPr>
    <w:rPr>
      <w:rFonts w:ascii="Times New Roman" w:hAnsi="Times New Roman" w:cs="Times New Roman"/>
      <w:color w:val="000000"/>
      <w:sz w:val="24"/>
      <w:szCs w:val="24"/>
    </w:rPr>
  </w:style>
  <w:style w:type="character" w:customStyle="1" w:styleId="markedcontent">
    <w:name w:val="markedcontent"/>
    <w:basedOn w:val="DefaultParagraphFont"/>
    <w:rsid w:val="009B132C"/>
  </w:style>
  <w:style w:type="character" w:styleId="Emphasis">
    <w:name w:val="Emphasis"/>
    <w:basedOn w:val="DefaultParagraphFont"/>
    <w:uiPriority w:val="20"/>
    <w:qFormat/>
    <w:rsid w:val="009B132C"/>
    <w:rPr>
      <w:i/>
      <w:iCs/>
    </w:rPr>
  </w:style>
  <w:style w:type="paragraph" w:styleId="Revision">
    <w:name w:val="Revision"/>
    <w:hidden/>
    <w:uiPriority w:val="99"/>
    <w:semiHidden/>
    <w:rsid w:val="009B132C"/>
  </w:style>
  <w:style w:type="character" w:customStyle="1" w:styleId="separator">
    <w:name w:val="separator"/>
    <w:basedOn w:val="DefaultParagraphFont"/>
    <w:rsid w:val="009B132C"/>
  </w:style>
  <w:style w:type="paragraph" w:customStyle="1" w:styleId="EndNoteBibliographyTitle">
    <w:name w:val="EndNote Bibliography Title"/>
    <w:basedOn w:val="Normal"/>
    <w:link w:val="EndNoteBibliographyTitleChar"/>
    <w:rsid w:val="009B132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B132C"/>
    <w:rPr>
      <w:rFonts w:ascii="Calibri" w:hAnsi="Calibri" w:cs="Calibri"/>
      <w:noProof/>
      <w:lang w:val="en-US"/>
    </w:rPr>
  </w:style>
  <w:style w:type="paragraph" w:customStyle="1" w:styleId="EndNoteBibliography">
    <w:name w:val="EndNote Bibliography"/>
    <w:basedOn w:val="Normal"/>
    <w:link w:val="EndNoteBibliographyChar"/>
    <w:rsid w:val="009B132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9B132C"/>
    <w:rPr>
      <w:rFonts w:ascii="Calibri" w:hAnsi="Calibri" w:cs="Calibri"/>
      <w:noProof/>
      <w:lang w:val="en-US"/>
    </w:rPr>
  </w:style>
  <w:style w:type="table" w:styleId="TableGrid">
    <w:name w:val="Table Grid"/>
    <w:basedOn w:val="TableNormal"/>
    <w:uiPriority w:val="59"/>
    <w:rsid w:val="009B132C"/>
    <w:rPr>
      <w:rFonts w:ascii="Calibri" w:eastAsia="Arial"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9B132C"/>
    <w:pPr>
      <w:spacing w:after="0" w:line="240" w:lineRule="auto"/>
      <w:jc w:val="both"/>
    </w:pPr>
    <w:rPr>
      <w:rFonts w:eastAsia="Times New Roman" w:cs="Times New Roman"/>
      <w:szCs w:val="20"/>
    </w:rPr>
  </w:style>
  <w:style w:type="character" w:customStyle="1" w:styleId="BodyText2Char">
    <w:name w:val="Body Text 2 Char"/>
    <w:basedOn w:val="DefaultParagraphFont"/>
    <w:link w:val="BodyText2"/>
    <w:rsid w:val="009B132C"/>
    <w:rPr>
      <w:rFonts w:eastAsia="Times New Roman" w:cs="Times New Roman"/>
      <w:szCs w:val="20"/>
    </w:rPr>
  </w:style>
  <w:style w:type="paragraph" w:styleId="Caption">
    <w:name w:val="caption"/>
    <w:basedOn w:val="Normal"/>
    <w:next w:val="Normal"/>
    <w:autoRedefine/>
    <w:uiPriority w:val="35"/>
    <w:unhideWhenUsed/>
    <w:qFormat/>
    <w:rsid w:val="009B132C"/>
    <w:pPr>
      <w:spacing w:after="0" w:line="240" w:lineRule="auto"/>
    </w:pPr>
    <w:rPr>
      <w:rFonts w:eastAsia="Times New Roman" w:cstheme="minorHAnsi"/>
      <w:iCs/>
      <w:lang w:eastAsia="en-AU"/>
    </w:rPr>
  </w:style>
  <w:style w:type="character" w:customStyle="1" w:styleId="NormalWebChar">
    <w:name w:val="Normal (Web) Char"/>
    <w:basedOn w:val="DefaultParagraphFont"/>
    <w:link w:val="NormalWeb"/>
    <w:uiPriority w:val="99"/>
    <w:locked/>
    <w:rsid w:val="009B132C"/>
    <w:rPr>
      <w:rFonts w:ascii="Times New Roman" w:eastAsia="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C6178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178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660956">
      <w:bodyDiv w:val="1"/>
      <w:marLeft w:val="0"/>
      <w:marRight w:val="0"/>
      <w:marTop w:val="0"/>
      <w:marBottom w:val="0"/>
      <w:divBdr>
        <w:top w:val="none" w:sz="0" w:space="0" w:color="auto"/>
        <w:left w:val="none" w:sz="0" w:space="0" w:color="auto"/>
        <w:bottom w:val="none" w:sz="0" w:space="0" w:color="auto"/>
        <w:right w:val="none" w:sz="0" w:space="0" w:color="auto"/>
      </w:divBdr>
    </w:div>
    <w:div w:id="1113133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CFF00-4F67-7943-99DE-1B08137BE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834</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Roeger</dc:creator>
  <cp:keywords/>
  <dc:description/>
  <cp:lastModifiedBy>Leigh Roeger</cp:lastModifiedBy>
  <cp:revision>8</cp:revision>
  <dcterms:created xsi:type="dcterms:W3CDTF">2023-05-17T00:17:00Z</dcterms:created>
  <dcterms:modified xsi:type="dcterms:W3CDTF">2023-05-26T00:11:00Z</dcterms:modified>
</cp:coreProperties>
</file>