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EE376" w14:textId="77777777" w:rsidR="00FB6AD0" w:rsidRPr="00C61784" w:rsidRDefault="00FB6AD0" w:rsidP="00BC703D">
      <w:pPr>
        <w:spacing w:after="0" w:line="240" w:lineRule="auto"/>
        <w:rPr>
          <w:rFonts w:ascii="Calibri" w:eastAsia="Times New Roman" w:hAnsi="Calibri" w:cs="Times New Roman"/>
          <w:b/>
          <w:bCs/>
          <w:szCs w:val="24"/>
          <w:lang w:val="en-GB" w:eastAsia="en-AU"/>
        </w:rPr>
      </w:pPr>
      <w:bookmarkStart w:id="0" w:name="_Ref95908229"/>
      <w:bookmarkStart w:id="1" w:name="_Ref117669457"/>
      <w:bookmarkStart w:id="2" w:name="_Toc121820099"/>
      <w:r>
        <w:rPr>
          <w:rFonts w:ascii="Calibri" w:eastAsia="Times New Roman" w:hAnsi="Calibri" w:cs="Times New Roman"/>
          <w:b/>
          <w:bCs/>
          <w:szCs w:val="24"/>
          <w:lang w:val="en-GB" w:eastAsia="en-AU"/>
        </w:rPr>
        <w:t xml:space="preserve">Additional File 3: </w:t>
      </w:r>
      <w:r w:rsidRPr="00C61784">
        <w:rPr>
          <w:rFonts w:ascii="Calibri" w:eastAsia="Times New Roman" w:hAnsi="Calibri" w:cs="Times New Roman"/>
          <w:b/>
          <w:bCs/>
          <w:szCs w:val="24"/>
          <w:lang w:val="en-GB" w:eastAsia="en-AU"/>
        </w:rPr>
        <w:t xml:space="preserve">Economic evaluation: methods and detailed results </w:t>
      </w:r>
    </w:p>
    <w:p w14:paraId="6FD8EEEB" w14:textId="77777777" w:rsidR="00FB6AD0" w:rsidRPr="00C61784" w:rsidRDefault="00FB6AD0" w:rsidP="00BC703D">
      <w:pPr>
        <w:spacing w:after="0" w:line="240" w:lineRule="auto"/>
        <w:rPr>
          <w:rFonts w:ascii="Calibri" w:eastAsia="Times New Roman" w:hAnsi="Calibri" w:cs="Calibri"/>
          <w:color w:val="000000"/>
          <w:lang w:val="en-GB" w:eastAsia="en-AU"/>
        </w:rPr>
      </w:pPr>
    </w:p>
    <w:p w14:paraId="7052B164" w14:textId="77777777" w:rsidR="00FB6AD0" w:rsidRPr="00C61784" w:rsidRDefault="00FB6AD0" w:rsidP="00BC703D">
      <w:pPr>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 xml:space="preserve">The economic evaluation compared the relative longer-term cost-effectiveness of the multicomponent intervention for people identified by their GP as being at high risk of poor health outcomes and likely to benefit from the enhanced general practice service (the intervention) to usual care (the control). The analysis was conducted alongside the Flinders QUEST randomised controlled trial. This analysis considers costs and outcomes at two time points: baseline and </w:t>
      </w:r>
      <w:r>
        <w:rPr>
          <w:rFonts w:ascii="Calibri" w:eastAsia="Times New Roman" w:hAnsi="Calibri" w:cs="Calibri"/>
          <w:color w:val="000000"/>
          <w:lang w:val="en-GB" w:eastAsia="en-AU"/>
        </w:rPr>
        <w:t xml:space="preserve">the </w:t>
      </w:r>
      <w:r w:rsidRPr="00C61784">
        <w:rPr>
          <w:rFonts w:ascii="Calibri" w:eastAsia="Times New Roman" w:hAnsi="Calibri" w:cs="Calibri"/>
          <w:color w:val="000000"/>
          <w:lang w:val="en-GB" w:eastAsia="en-AU"/>
        </w:rPr>
        <w:t xml:space="preserve">24-month follow-up. Best practice guidelines based on the Consolidated Health Economic Evaluation Reporting Standards (CHEERS) statement </w:t>
      </w:r>
      <w:r w:rsidRPr="00C61784">
        <w:rPr>
          <w:rFonts w:ascii="Calibri" w:eastAsia="Times New Roman" w:hAnsi="Calibri" w:cs="Calibri"/>
          <w:noProof/>
          <w:color w:val="000000"/>
          <w:lang w:val="en-GB" w:eastAsia="en-AU"/>
        </w:rPr>
        <w:t>[</w:t>
      </w:r>
      <w:r>
        <w:rPr>
          <w:rFonts w:ascii="Calibri" w:eastAsia="Times New Roman" w:hAnsi="Calibri" w:cs="Calibri"/>
          <w:noProof/>
          <w:color w:val="000000"/>
          <w:lang w:val="en-GB" w:eastAsia="en-AU"/>
        </w:rPr>
        <w:t>1</w:t>
      </w:r>
      <w:r w:rsidRPr="00C61784">
        <w:rPr>
          <w:rFonts w:ascii="Calibri" w:eastAsia="Times New Roman" w:hAnsi="Calibri" w:cs="Calibri"/>
          <w:noProof/>
          <w:color w:val="000000"/>
          <w:lang w:val="en-GB" w:eastAsia="en-AU"/>
        </w:rPr>
        <w:t>]</w:t>
      </w:r>
      <w:r w:rsidRPr="00C61784">
        <w:rPr>
          <w:rFonts w:ascii="Calibri" w:eastAsia="Times New Roman" w:hAnsi="Calibri" w:cs="Calibri"/>
          <w:color w:val="000000"/>
          <w:lang w:val="en-GB" w:eastAsia="en-AU"/>
        </w:rPr>
        <w:t xml:space="preserve"> were followed in this economic evaluation. </w:t>
      </w:r>
    </w:p>
    <w:p w14:paraId="2F6C4BA1" w14:textId="77777777" w:rsidR="00FB6AD0" w:rsidRPr="00C61784" w:rsidRDefault="00FB6AD0" w:rsidP="00BC703D">
      <w:pPr>
        <w:spacing w:after="0" w:line="240" w:lineRule="auto"/>
        <w:rPr>
          <w:rFonts w:ascii="Calibri" w:eastAsia="Times New Roman" w:hAnsi="Calibri" w:cs="Calibri"/>
          <w:b/>
          <w:color w:val="000000"/>
          <w:lang w:val="en-GB" w:eastAsia="en-AU"/>
        </w:rPr>
      </w:pPr>
    </w:p>
    <w:p w14:paraId="689E3488" w14:textId="77777777" w:rsidR="00FB6AD0" w:rsidRPr="00C61784" w:rsidRDefault="00FB6AD0" w:rsidP="00BC703D">
      <w:pPr>
        <w:spacing w:after="0" w:line="240" w:lineRule="auto"/>
        <w:rPr>
          <w:rFonts w:ascii="Calibri" w:eastAsia="Times New Roman" w:hAnsi="Calibri" w:cs="Calibri"/>
          <w:b/>
          <w:color w:val="000000"/>
          <w:lang w:val="en-GB" w:eastAsia="en-AU"/>
        </w:rPr>
      </w:pPr>
      <w:r w:rsidRPr="00C61784">
        <w:rPr>
          <w:rFonts w:ascii="Calibri" w:eastAsia="Times New Roman" w:hAnsi="Calibri" w:cs="Calibri"/>
          <w:b/>
          <w:color w:val="000000"/>
          <w:lang w:val="en-GB" w:eastAsia="en-AU"/>
        </w:rPr>
        <w:t>Study perspective</w:t>
      </w:r>
    </w:p>
    <w:p w14:paraId="18522578" w14:textId="77777777" w:rsidR="00FB6AD0" w:rsidRPr="00C61784" w:rsidRDefault="00FB6AD0" w:rsidP="00BC703D">
      <w:pPr>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The analysis was conducted from an Australian public health provider perspective and included only costs borne by Australian Medicare and the South Australian Department</w:t>
      </w:r>
      <w:r>
        <w:rPr>
          <w:rFonts w:ascii="Calibri" w:eastAsia="Times New Roman" w:hAnsi="Calibri" w:cs="Calibri"/>
          <w:color w:val="000000"/>
          <w:lang w:val="en-GB" w:eastAsia="en-AU"/>
        </w:rPr>
        <w:t xml:space="preserve"> of Health</w:t>
      </w:r>
      <w:r w:rsidRPr="00C61784">
        <w:rPr>
          <w:rFonts w:ascii="Calibri" w:eastAsia="Times New Roman" w:hAnsi="Calibri" w:cs="Calibri"/>
          <w:color w:val="000000"/>
          <w:lang w:val="en-GB" w:eastAsia="en-AU"/>
        </w:rPr>
        <w:t xml:space="preserve">. </w:t>
      </w:r>
    </w:p>
    <w:p w14:paraId="22741AD4" w14:textId="77777777" w:rsidR="00FB6AD0" w:rsidRPr="00C61784" w:rsidRDefault="00FB6AD0" w:rsidP="00BC703D">
      <w:pPr>
        <w:spacing w:after="0" w:line="240" w:lineRule="auto"/>
        <w:rPr>
          <w:rFonts w:ascii="Calibri" w:eastAsia="Times New Roman" w:hAnsi="Calibri" w:cs="Calibri"/>
          <w:color w:val="000000"/>
          <w:lang w:val="en-GB" w:eastAsia="en-AU"/>
        </w:rPr>
      </w:pPr>
    </w:p>
    <w:p w14:paraId="5B35ED43" w14:textId="77777777" w:rsidR="00FB6AD0" w:rsidRPr="00C61784" w:rsidRDefault="00FB6AD0" w:rsidP="00BC703D">
      <w:pPr>
        <w:spacing w:after="0" w:line="240" w:lineRule="auto"/>
        <w:rPr>
          <w:rFonts w:ascii="Calibri" w:eastAsia="Times New Roman" w:hAnsi="Calibri" w:cs="Calibri"/>
          <w:b/>
          <w:color w:val="000000"/>
          <w:lang w:val="en-GB" w:eastAsia="en-AU"/>
        </w:rPr>
      </w:pPr>
      <w:r w:rsidRPr="00C61784">
        <w:rPr>
          <w:rFonts w:ascii="Calibri" w:eastAsia="Times New Roman" w:hAnsi="Calibri" w:cs="Calibri"/>
          <w:b/>
          <w:color w:val="000000"/>
          <w:lang w:val="en-GB" w:eastAsia="en-AU"/>
        </w:rPr>
        <w:t>Comparators</w:t>
      </w:r>
    </w:p>
    <w:p w14:paraId="3EDC10A9" w14:textId="77777777" w:rsidR="00FB6AD0" w:rsidRPr="00C61784" w:rsidRDefault="00FB6AD0" w:rsidP="00BC703D">
      <w:pPr>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 xml:space="preserve">The multicomponent intervention was compared to the control (usual care). </w:t>
      </w:r>
    </w:p>
    <w:p w14:paraId="1B77FDC3" w14:textId="77777777" w:rsidR="00FB6AD0" w:rsidRPr="00C61784" w:rsidRDefault="00FB6AD0" w:rsidP="00BC703D">
      <w:pPr>
        <w:spacing w:after="0" w:line="240" w:lineRule="auto"/>
        <w:rPr>
          <w:rFonts w:ascii="Calibri" w:eastAsia="Times New Roman" w:hAnsi="Calibri" w:cs="Calibri"/>
          <w:b/>
          <w:color w:val="000000"/>
          <w:lang w:val="en-GB" w:eastAsia="en-AU"/>
        </w:rPr>
      </w:pPr>
    </w:p>
    <w:p w14:paraId="654ED790" w14:textId="77777777" w:rsidR="00FB6AD0" w:rsidRPr="00C61784" w:rsidRDefault="00FB6AD0" w:rsidP="00BC703D">
      <w:pPr>
        <w:spacing w:after="0" w:line="240" w:lineRule="auto"/>
        <w:rPr>
          <w:rFonts w:ascii="Calibri" w:eastAsia="Times New Roman" w:hAnsi="Calibri" w:cs="Calibri"/>
          <w:b/>
          <w:color w:val="000000"/>
          <w:lang w:val="en-GB" w:eastAsia="en-AU"/>
        </w:rPr>
      </w:pPr>
      <w:r w:rsidRPr="00C61784">
        <w:rPr>
          <w:rFonts w:ascii="Calibri" w:eastAsia="Times New Roman" w:hAnsi="Calibri" w:cs="Calibri"/>
          <w:b/>
          <w:color w:val="000000"/>
          <w:lang w:val="en-GB" w:eastAsia="en-AU"/>
        </w:rPr>
        <w:t>Time horizon</w:t>
      </w:r>
    </w:p>
    <w:p w14:paraId="1CB09238" w14:textId="77777777" w:rsidR="00FB6AD0" w:rsidRPr="00C61784" w:rsidRDefault="00FB6AD0" w:rsidP="00BC703D">
      <w:pPr>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The analysis was based on a two-year time horizon</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with costs and outcomes between the two groups compared from the time of randomisation to the last follow-up (24 months). </w:t>
      </w:r>
    </w:p>
    <w:p w14:paraId="3CE63F31" w14:textId="77777777" w:rsidR="00FB6AD0" w:rsidRPr="00C61784" w:rsidRDefault="00FB6AD0" w:rsidP="00BC703D">
      <w:pPr>
        <w:spacing w:after="0" w:line="240" w:lineRule="auto"/>
        <w:rPr>
          <w:rFonts w:ascii="Calibri" w:eastAsia="Times New Roman" w:hAnsi="Calibri" w:cs="Calibri"/>
          <w:color w:val="000000"/>
          <w:lang w:val="en-GB" w:eastAsia="en-AU"/>
        </w:rPr>
      </w:pPr>
    </w:p>
    <w:p w14:paraId="68131443" w14:textId="77777777" w:rsidR="00FB6AD0" w:rsidRPr="00C61784" w:rsidRDefault="00FB6AD0" w:rsidP="00BC703D">
      <w:pPr>
        <w:spacing w:after="0" w:line="240" w:lineRule="auto"/>
        <w:rPr>
          <w:rFonts w:ascii="Calibri" w:eastAsia="Times New Roman" w:hAnsi="Calibri" w:cs="Calibri"/>
          <w:b/>
          <w:color w:val="000000"/>
          <w:lang w:val="en-GB" w:eastAsia="en-AU"/>
        </w:rPr>
      </w:pPr>
      <w:r w:rsidRPr="00C61784">
        <w:rPr>
          <w:rFonts w:ascii="Calibri" w:eastAsia="Times New Roman" w:hAnsi="Calibri" w:cs="Calibri"/>
          <w:b/>
          <w:color w:val="000000"/>
          <w:lang w:val="en-GB" w:eastAsia="en-AU"/>
        </w:rPr>
        <w:t>Discount rates</w:t>
      </w:r>
    </w:p>
    <w:p w14:paraId="3EFD49E6" w14:textId="77777777" w:rsidR="00FB6AD0" w:rsidRPr="00C61784" w:rsidRDefault="00FB6AD0" w:rsidP="00BC703D">
      <w:pPr>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 xml:space="preserve">In line with Australian guidelines, costs and outcomes were discounted at 5% </w:t>
      </w:r>
      <w:r w:rsidRPr="00C61784">
        <w:rPr>
          <w:rFonts w:ascii="Calibri" w:eastAsia="Times New Roman" w:hAnsi="Calibri" w:cs="Calibri"/>
          <w:noProof/>
          <w:color w:val="000000"/>
          <w:lang w:val="en-GB" w:eastAsia="en-AU"/>
        </w:rPr>
        <w:t>[</w:t>
      </w:r>
      <w:r>
        <w:rPr>
          <w:rFonts w:ascii="Calibri" w:eastAsia="Times New Roman" w:hAnsi="Calibri" w:cs="Calibri"/>
          <w:noProof/>
          <w:color w:val="000000"/>
          <w:lang w:val="en-GB" w:eastAsia="en-AU"/>
        </w:rPr>
        <w:t>2</w:t>
      </w:r>
      <w:r w:rsidRPr="00C61784">
        <w:rPr>
          <w:rFonts w:ascii="Calibri" w:eastAsia="Times New Roman" w:hAnsi="Calibri" w:cs="Calibri"/>
          <w:noProof/>
          <w:color w:val="000000"/>
          <w:lang w:val="en-GB" w:eastAsia="en-AU"/>
        </w:rPr>
        <w:t>]</w:t>
      </w:r>
      <w:r w:rsidRPr="00C61784">
        <w:rPr>
          <w:rFonts w:ascii="Calibri" w:eastAsia="Times New Roman" w:hAnsi="Calibri" w:cs="Calibri"/>
          <w:color w:val="000000"/>
          <w:lang w:val="en-GB" w:eastAsia="en-AU"/>
        </w:rPr>
        <w:t>.</w:t>
      </w:r>
    </w:p>
    <w:p w14:paraId="1608C430" w14:textId="77777777" w:rsidR="00FB6AD0" w:rsidRPr="00C61784" w:rsidRDefault="00FB6AD0" w:rsidP="00BC703D">
      <w:pPr>
        <w:spacing w:after="0" w:line="240" w:lineRule="auto"/>
        <w:rPr>
          <w:rFonts w:ascii="Calibri" w:eastAsia="Times New Roman" w:hAnsi="Calibri" w:cs="Calibri"/>
          <w:color w:val="000000"/>
          <w:lang w:val="en-GB" w:eastAsia="en-AU"/>
        </w:rPr>
      </w:pPr>
    </w:p>
    <w:p w14:paraId="695B31CA" w14:textId="77777777" w:rsidR="00FB6AD0" w:rsidRPr="00C61784" w:rsidRDefault="00FB6AD0" w:rsidP="00BC703D">
      <w:pPr>
        <w:spacing w:after="0" w:line="240" w:lineRule="auto"/>
        <w:rPr>
          <w:rFonts w:ascii="Calibri" w:eastAsia="Times New Roman" w:hAnsi="Calibri" w:cs="Calibri"/>
          <w:b/>
          <w:color w:val="000000"/>
          <w:lang w:val="en-GB" w:eastAsia="en-AU"/>
        </w:rPr>
      </w:pPr>
      <w:r w:rsidRPr="00C61784">
        <w:rPr>
          <w:rFonts w:ascii="Calibri" w:eastAsia="Times New Roman" w:hAnsi="Calibri" w:cs="Calibri"/>
          <w:b/>
          <w:color w:val="000000"/>
          <w:lang w:val="en-GB" w:eastAsia="en-AU"/>
        </w:rPr>
        <w:t>Choice of outcomes</w:t>
      </w:r>
    </w:p>
    <w:p w14:paraId="6A91EFBE" w14:textId="77777777" w:rsidR="00FB6AD0" w:rsidRPr="00C61784" w:rsidRDefault="00FB6AD0" w:rsidP="00BC703D">
      <w:pPr>
        <w:tabs>
          <w:tab w:val="left" w:pos="540"/>
          <w:tab w:val="left" w:pos="1080"/>
        </w:tabs>
        <w:spacing w:after="0" w:line="240" w:lineRule="auto"/>
        <w:rPr>
          <w:rFonts w:ascii="Calibri" w:eastAsia="Times New Roman" w:hAnsi="Calibri" w:cs="Calibri"/>
          <w:color w:val="000000"/>
          <w:lang w:val="en-GB" w:eastAsia="en-AU"/>
        </w:rPr>
      </w:pPr>
      <w:r w:rsidRPr="00C61784">
        <w:rPr>
          <w:rFonts w:ascii="Calibri" w:eastAsia="Times New Roman" w:hAnsi="Calibri" w:cs="Calibri"/>
          <w:noProof/>
          <w:color w:val="000000"/>
          <w:lang w:val="en-GB" w:eastAsia="en-AU"/>
        </w:rPr>
        <w:t>The primary outcome for the economic evaluation was the number of quality-adjusted life</w:t>
      </w:r>
      <w:r>
        <w:rPr>
          <w:rFonts w:ascii="Calibri" w:eastAsia="Times New Roman" w:hAnsi="Calibri" w:cs="Calibri"/>
          <w:noProof/>
          <w:color w:val="000000"/>
          <w:lang w:val="en-GB" w:eastAsia="en-AU"/>
        </w:rPr>
        <w:t xml:space="preserve"> </w:t>
      </w:r>
      <w:r w:rsidRPr="00C61784">
        <w:rPr>
          <w:rFonts w:ascii="Calibri" w:eastAsia="Times New Roman" w:hAnsi="Calibri" w:cs="Calibri"/>
          <w:noProof/>
          <w:color w:val="000000"/>
          <w:lang w:val="en-GB" w:eastAsia="en-AU"/>
        </w:rPr>
        <w:t xml:space="preserve">years (QALYs) </w:t>
      </w:r>
      <w:r w:rsidRPr="00C61784">
        <w:rPr>
          <w:rFonts w:ascii="Calibri" w:eastAsia="Times New Roman" w:hAnsi="Calibri" w:cs="Calibri"/>
          <w:color w:val="000000"/>
          <w:lang w:val="en-GB" w:eastAsia="en-AU"/>
        </w:rPr>
        <w:t xml:space="preserve">gained over 24 months (calculated using the trapezium method) </w:t>
      </w:r>
      <w:r w:rsidRPr="00C61784">
        <w:rPr>
          <w:rFonts w:ascii="Calibri" w:eastAsia="Times New Roman" w:hAnsi="Calibri" w:cs="Calibri"/>
          <w:noProof/>
          <w:color w:val="000000"/>
          <w:lang w:val="en-GB" w:eastAsia="en-AU"/>
        </w:rPr>
        <w:t>[</w:t>
      </w:r>
      <w:r>
        <w:rPr>
          <w:rFonts w:ascii="Calibri" w:eastAsia="Times New Roman" w:hAnsi="Calibri" w:cs="Calibri"/>
          <w:noProof/>
          <w:color w:val="000000"/>
          <w:lang w:val="en-GB" w:eastAsia="en-AU"/>
        </w:rPr>
        <w:t>3</w:t>
      </w:r>
      <w:r w:rsidRPr="00C61784">
        <w:rPr>
          <w:rFonts w:ascii="Calibri" w:eastAsia="Times New Roman" w:hAnsi="Calibri" w:cs="Calibri"/>
          <w:noProof/>
          <w:color w:val="000000"/>
          <w:lang w:val="en-GB" w:eastAsia="en-AU"/>
        </w:rPr>
        <w:t>]</w:t>
      </w:r>
      <w:r w:rsidRPr="00C61784">
        <w:rPr>
          <w:rFonts w:ascii="Calibri" w:eastAsia="Times New Roman" w:hAnsi="Calibri" w:cs="Calibri"/>
          <w:color w:val="000000"/>
          <w:lang w:val="en-GB" w:eastAsia="en-AU"/>
        </w:rPr>
        <w:t xml:space="preserve"> </w:t>
      </w:r>
      <w:r w:rsidRPr="00C61784">
        <w:rPr>
          <w:rFonts w:ascii="Calibri" w:eastAsia="Times New Roman" w:hAnsi="Calibri" w:cs="Calibri"/>
          <w:noProof/>
          <w:color w:val="000000"/>
          <w:lang w:val="en-GB" w:eastAsia="en-AU"/>
        </w:rPr>
        <w:t xml:space="preserve">and </w:t>
      </w:r>
      <w:r w:rsidRPr="00C61784">
        <w:rPr>
          <w:rFonts w:ascii="Calibri" w:eastAsia="Times New Roman" w:hAnsi="Calibri" w:cs="Calibri"/>
          <w:color w:val="000000"/>
          <w:lang w:val="en-GB" w:eastAsia="en-AU"/>
        </w:rPr>
        <w:t xml:space="preserve">based on responses to the </w:t>
      </w:r>
      <w:proofErr w:type="spellStart"/>
      <w:r w:rsidRPr="00C61784">
        <w:rPr>
          <w:rFonts w:ascii="Calibri" w:eastAsia="Times New Roman" w:hAnsi="Calibri" w:cs="Calibri"/>
          <w:color w:val="000000"/>
          <w:lang w:val="en-GB" w:eastAsia="en-AU"/>
        </w:rPr>
        <w:t>EuroQoL</w:t>
      </w:r>
      <w:proofErr w:type="spellEnd"/>
      <w:r w:rsidRPr="00C61784">
        <w:rPr>
          <w:rFonts w:ascii="Calibri" w:eastAsia="Times New Roman" w:hAnsi="Calibri" w:cs="Calibri"/>
          <w:color w:val="000000"/>
          <w:lang w:val="en-GB" w:eastAsia="en-AU"/>
        </w:rPr>
        <w:t xml:space="preserve"> 5 dimensions</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5 levels (EQ-5D-5L) questionnaire. </w:t>
      </w:r>
    </w:p>
    <w:p w14:paraId="7BA7324C" w14:textId="77777777" w:rsidR="00FB6AD0" w:rsidRPr="00C61784" w:rsidRDefault="00FB6AD0" w:rsidP="00BC703D">
      <w:pPr>
        <w:tabs>
          <w:tab w:val="left" w:pos="540"/>
          <w:tab w:val="left" w:pos="1080"/>
        </w:tabs>
        <w:spacing w:after="0" w:line="240" w:lineRule="auto"/>
        <w:rPr>
          <w:rFonts w:ascii="Calibri" w:eastAsia="Times New Roman" w:hAnsi="Calibri" w:cs="Calibri"/>
          <w:color w:val="000000"/>
          <w:lang w:val="en-GB" w:eastAsia="en-AU"/>
        </w:rPr>
      </w:pPr>
    </w:p>
    <w:p w14:paraId="58418B7D" w14:textId="77777777" w:rsidR="00FB6AD0" w:rsidRPr="00C61784" w:rsidRDefault="00FB6AD0" w:rsidP="00BC703D">
      <w:pPr>
        <w:tabs>
          <w:tab w:val="left" w:pos="540"/>
          <w:tab w:val="left" w:pos="1080"/>
        </w:tabs>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 xml:space="preserve">The EQ-5D-5L is a generic health-related quality-of-life measure for individuals aged ≥18 years </w:t>
      </w:r>
      <w:r>
        <w:rPr>
          <w:rFonts w:ascii="Calibri" w:eastAsia="Times New Roman" w:hAnsi="Calibri" w:cs="Calibri"/>
          <w:color w:val="000000"/>
          <w:lang w:val="en-GB" w:eastAsia="en-AU"/>
        </w:rPr>
        <w:t>that</w:t>
      </w:r>
      <w:r w:rsidRPr="00C61784">
        <w:rPr>
          <w:rFonts w:ascii="Calibri" w:eastAsia="Times New Roman" w:hAnsi="Calibri" w:cs="Calibri"/>
          <w:color w:val="000000"/>
          <w:lang w:val="en-GB" w:eastAsia="en-AU"/>
        </w:rPr>
        <w:t xml:space="preserve"> consists </w:t>
      </w:r>
      <w:r w:rsidRPr="00C61784">
        <w:rPr>
          <w:rFonts w:ascii="Calibri" w:eastAsia="Times New Roman" w:hAnsi="Calibri" w:cs="Calibri"/>
          <w:bCs/>
          <w:color w:val="000000"/>
          <w:lang w:val="en-GB" w:eastAsia="en-AU"/>
        </w:rPr>
        <w:t xml:space="preserve">of five single-item dimensions of health: mobility, self-care, usual activities, pain/discomfort and anxiety/depression </w:t>
      </w:r>
      <w:r w:rsidRPr="00C61784">
        <w:rPr>
          <w:rFonts w:ascii="Calibri" w:eastAsia="Times New Roman" w:hAnsi="Calibri" w:cs="Calibri"/>
          <w:bCs/>
          <w:noProof/>
          <w:color w:val="000000"/>
          <w:lang w:val="en-GB" w:eastAsia="en-AU"/>
        </w:rPr>
        <w:t>[</w:t>
      </w:r>
      <w:r>
        <w:rPr>
          <w:rFonts w:ascii="Calibri" w:eastAsia="Times New Roman" w:hAnsi="Calibri" w:cs="Calibri"/>
          <w:bCs/>
          <w:noProof/>
          <w:color w:val="000000"/>
          <w:lang w:val="en-GB" w:eastAsia="en-AU"/>
        </w:rPr>
        <w:t>4</w:t>
      </w:r>
      <w:r w:rsidRPr="00C61784">
        <w:rPr>
          <w:rFonts w:ascii="Calibri" w:eastAsia="Times New Roman" w:hAnsi="Calibri" w:cs="Calibri"/>
          <w:bCs/>
          <w:noProof/>
          <w:color w:val="000000"/>
          <w:lang w:val="en-GB" w:eastAsia="en-AU"/>
        </w:rPr>
        <w:t>]</w:t>
      </w:r>
      <w:r w:rsidRPr="00C61784">
        <w:rPr>
          <w:rFonts w:ascii="Calibri" w:eastAsia="Times New Roman" w:hAnsi="Calibri" w:cs="Calibri"/>
          <w:lang w:val="en-GB" w:eastAsia="en-AU"/>
        </w:rPr>
        <w:t>.</w:t>
      </w:r>
      <w:r w:rsidRPr="00C61784">
        <w:rPr>
          <w:rFonts w:ascii="Calibri" w:eastAsia="Times New Roman" w:hAnsi="Calibri" w:cs="Calibri"/>
          <w:bCs/>
          <w:color w:val="000000"/>
          <w:lang w:val="en-GB" w:eastAsia="en-AU"/>
        </w:rPr>
        <w:t xml:space="preserve"> When used in differentiated populations, its validity</w:t>
      </w:r>
      <w:r w:rsidRPr="00C61784">
        <w:rPr>
          <w:rFonts w:ascii="Calibri" w:eastAsia="Times New Roman" w:hAnsi="Calibri" w:cs="Calibri"/>
          <w:color w:val="000000"/>
          <w:lang w:val="en-GB" w:eastAsia="en-AU"/>
        </w:rPr>
        <w:t xml:space="preserve"> has been demonstrated in the literature </w:t>
      </w:r>
      <w:r>
        <w:rPr>
          <w:rFonts w:ascii="Calibri" w:eastAsia="Times New Roman" w:hAnsi="Calibri" w:cs="Calibri"/>
          <w:noProof/>
          <w:color w:val="000000"/>
          <w:lang w:val="en-GB" w:eastAsia="en-AU"/>
        </w:rPr>
        <w:t>[5-7]</w:t>
      </w:r>
      <w:r w:rsidRPr="00C61784">
        <w:rPr>
          <w:rFonts w:ascii="Calibri" w:eastAsia="Times New Roman" w:hAnsi="Calibri" w:cs="Calibri"/>
          <w:color w:val="000000"/>
          <w:lang w:val="en-GB" w:eastAsia="en-AU"/>
        </w:rPr>
        <w:t>.</w:t>
      </w:r>
    </w:p>
    <w:p w14:paraId="65911A3E" w14:textId="77777777" w:rsidR="00FB6AD0" w:rsidRPr="00C61784" w:rsidRDefault="00FB6AD0" w:rsidP="00BC703D">
      <w:pPr>
        <w:tabs>
          <w:tab w:val="left" w:pos="540"/>
          <w:tab w:val="left" w:pos="1080"/>
        </w:tabs>
        <w:spacing w:after="0" w:line="240" w:lineRule="auto"/>
        <w:rPr>
          <w:rFonts w:ascii="Calibri" w:eastAsia="Times New Roman" w:hAnsi="Calibri" w:cs="Calibri"/>
          <w:color w:val="000000"/>
          <w:lang w:val="en-GB" w:eastAsia="en-AU"/>
        </w:rPr>
      </w:pPr>
    </w:p>
    <w:p w14:paraId="0AA8A294" w14:textId="77777777" w:rsidR="00FB6AD0" w:rsidRPr="00C61784" w:rsidRDefault="00FB6AD0" w:rsidP="00BC703D">
      <w:pPr>
        <w:tabs>
          <w:tab w:val="left" w:pos="540"/>
          <w:tab w:val="left" w:pos="1080"/>
        </w:tabs>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 xml:space="preserve">Derived from the original </w:t>
      </w:r>
      <w:proofErr w:type="spellStart"/>
      <w:r w:rsidRPr="00C61784">
        <w:rPr>
          <w:rFonts w:ascii="Calibri" w:eastAsia="Times New Roman" w:hAnsi="Calibri" w:cs="Calibri"/>
          <w:color w:val="000000"/>
          <w:lang w:val="en-GB" w:eastAsia="en-AU"/>
        </w:rPr>
        <w:t>EuroQol</w:t>
      </w:r>
      <w:proofErr w:type="spellEnd"/>
      <w:r w:rsidRPr="00C61784">
        <w:rPr>
          <w:rFonts w:ascii="Calibri" w:eastAsia="Times New Roman" w:hAnsi="Calibri" w:cs="Calibri"/>
          <w:color w:val="000000"/>
          <w:lang w:val="en-GB" w:eastAsia="en-AU"/>
        </w:rPr>
        <w:t xml:space="preserve"> 5 dimensions</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3 levels (EQ-5D-3L) questionnaire, the EQ-5D-5L consists of five rather than three levels of impairment in each domain</w:t>
      </w:r>
      <w:r>
        <w:rPr>
          <w:rFonts w:ascii="Calibri" w:eastAsia="Times New Roman" w:hAnsi="Calibri" w:cs="Calibri"/>
          <w:color w:val="000000"/>
          <w:lang w:val="en-GB" w:eastAsia="en-AU"/>
        </w:rPr>
        <w:t>, namely</w:t>
      </w:r>
      <w:r w:rsidRPr="00C61784">
        <w:rPr>
          <w:rFonts w:ascii="Calibri" w:eastAsia="Times New Roman" w:hAnsi="Calibri" w:cs="Calibri"/>
          <w:color w:val="000000"/>
          <w:lang w:val="en-GB" w:eastAsia="en-AU"/>
        </w:rPr>
        <w:t xml:space="preserve"> no, slight, moderate, </w:t>
      </w:r>
      <w:proofErr w:type="gramStart"/>
      <w:r w:rsidRPr="00C61784">
        <w:rPr>
          <w:rFonts w:ascii="Calibri" w:eastAsia="Times New Roman" w:hAnsi="Calibri" w:cs="Calibri"/>
          <w:color w:val="000000"/>
          <w:lang w:val="en-GB" w:eastAsia="en-AU"/>
        </w:rPr>
        <w:t>severe</w:t>
      </w:r>
      <w:proofErr w:type="gramEnd"/>
      <w:r w:rsidRPr="00C61784">
        <w:rPr>
          <w:rFonts w:ascii="Calibri" w:eastAsia="Times New Roman" w:hAnsi="Calibri" w:cs="Calibri"/>
          <w:color w:val="000000"/>
          <w:lang w:val="en-GB" w:eastAsia="en-AU"/>
        </w:rPr>
        <w:t xml:space="preserve"> and extreme problems in the relevant dimension of health.</w:t>
      </w:r>
      <w:r w:rsidRPr="00C61784">
        <w:rPr>
          <w:rFonts w:ascii="Calibri" w:eastAsia="Times New Roman" w:hAnsi="Calibri" w:cs="Calibri"/>
          <w:bCs/>
          <w:color w:val="000000"/>
          <w:lang w:val="en-GB" w:eastAsia="en-AU"/>
        </w:rPr>
        <w:t xml:space="preserve"> Up to 3125 different health states can be described using responses to the instrument. Utility values, </w:t>
      </w:r>
      <w:r w:rsidRPr="00C61784">
        <w:rPr>
          <w:rFonts w:ascii="Calibri" w:eastAsia="Times New Roman" w:hAnsi="Calibri" w:cs="Calibri"/>
          <w:color w:val="000000"/>
          <w:lang w:val="en-GB" w:eastAsia="en-AU"/>
        </w:rPr>
        <w:t xml:space="preserve">ranging from </w:t>
      </w:r>
      <w:r w:rsidRPr="004D0C65">
        <w:rPr>
          <w:rFonts w:ascii="Calibri" w:eastAsia="Times New Roman" w:hAnsi="Calibri" w:cs="Calibri"/>
          <w:bCs/>
          <w:color w:val="000000"/>
          <w:lang w:val="en-GB" w:eastAsia="en-AU"/>
        </w:rPr>
        <w:t>–</w:t>
      </w:r>
      <w:r w:rsidRPr="00C61784">
        <w:rPr>
          <w:rFonts w:ascii="Calibri" w:eastAsia="Times New Roman" w:hAnsi="Calibri" w:cs="Calibri"/>
          <w:bCs/>
          <w:color w:val="000000"/>
          <w:lang w:val="en-GB" w:eastAsia="en-AU"/>
        </w:rPr>
        <w:t xml:space="preserve">0.676 to 1, were estimated using an Australian value set </w:t>
      </w:r>
      <w:r w:rsidRPr="00C61784">
        <w:rPr>
          <w:rFonts w:ascii="Calibri" w:eastAsia="Times New Roman" w:hAnsi="Calibri" w:cs="Calibri"/>
          <w:bCs/>
          <w:noProof/>
          <w:color w:val="000000"/>
          <w:lang w:val="en-GB" w:eastAsia="en-AU"/>
        </w:rPr>
        <w:t>[</w:t>
      </w:r>
      <w:r>
        <w:rPr>
          <w:rFonts w:ascii="Calibri" w:eastAsia="Times New Roman" w:hAnsi="Calibri" w:cs="Calibri"/>
          <w:bCs/>
          <w:noProof/>
          <w:color w:val="000000"/>
          <w:lang w:val="en-GB" w:eastAsia="en-AU"/>
        </w:rPr>
        <w:t>8</w:t>
      </w:r>
      <w:r w:rsidRPr="00C61784">
        <w:rPr>
          <w:rFonts w:ascii="Calibri" w:eastAsia="Times New Roman" w:hAnsi="Calibri" w:cs="Calibri"/>
          <w:bCs/>
          <w:noProof/>
          <w:color w:val="000000"/>
          <w:lang w:val="en-GB" w:eastAsia="en-AU"/>
        </w:rPr>
        <w:t>]</w:t>
      </w:r>
      <w:r w:rsidRPr="00C61784">
        <w:rPr>
          <w:rFonts w:ascii="Calibri" w:eastAsia="Times New Roman" w:hAnsi="Calibri" w:cs="Calibri"/>
          <w:bCs/>
          <w:color w:val="000000"/>
          <w:lang w:val="en-GB" w:eastAsia="en-AU"/>
        </w:rPr>
        <w:t xml:space="preserve">. A utility score equal to 1 represents 'full health' states, </w:t>
      </w:r>
      <w:r w:rsidRPr="004D0C65">
        <w:rPr>
          <w:rFonts w:ascii="Calibri" w:eastAsia="Times New Roman" w:hAnsi="Calibri" w:cs="Calibri"/>
          <w:bCs/>
          <w:color w:val="000000"/>
          <w:lang w:val="en-GB" w:eastAsia="en-AU"/>
        </w:rPr>
        <w:t>whereas</w:t>
      </w:r>
      <w:r w:rsidRPr="00C61784">
        <w:rPr>
          <w:rFonts w:ascii="Calibri" w:eastAsia="Times New Roman" w:hAnsi="Calibri" w:cs="Calibri"/>
          <w:bCs/>
          <w:color w:val="000000"/>
          <w:lang w:val="en-GB" w:eastAsia="en-AU"/>
        </w:rPr>
        <w:t xml:space="preserve"> utility score</w:t>
      </w:r>
      <w:r>
        <w:rPr>
          <w:rFonts w:ascii="Calibri" w:eastAsia="Times New Roman" w:hAnsi="Calibri" w:cs="Calibri"/>
          <w:bCs/>
          <w:color w:val="000000"/>
          <w:lang w:val="en-GB" w:eastAsia="en-AU"/>
        </w:rPr>
        <w:t>s</w:t>
      </w:r>
      <w:r w:rsidRPr="00C61784">
        <w:rPr>
          <w:rFonts w:ascii="Calibri" w:eastAsia="Times New Roman" w:hAnsi="Calibri" w:cs="Calibri"/>
          <w:bCs/>
          <w:color w:val="000000"/>
          <w:lang w:val="en-GB" w:eastAsia="en-AU"/>
        </w:rPr>
        <w:t xml:space="preserve"> less than 0 represent health states worse than death </w:t>
      </w:r>
      <w:r w:rsidRPr="00C61784">
        <w:rPr>
          <w:rFonts w:ascii="Calibri" w:eastAsia="Times New Roman" w:hAnsi="Calibri" w:cs="Calibri"/>
          <w:bCs/>
          <w:noProof/>
          <w:color w:val="000000"/>
          <w:lang w:val="en-GB" w:eastAsia="en-AU"/>
        </w:rPr>
        <w:t>[</w:t>
      </w:r>
      <w:r>
        <w:rPr>
          <w:rFonts w:ascii="Calibri" w:eastAsia="Times New Roman" w:hAnsi="Calibri" w:cs="Calibri"/>
          <w:bCs/>
          <w:noProof/>
          <w:color w:val="000000"/>
          <w:lang w:val="en-GB" w:eastAsia="en-AU"/>
        </w:rPr>
        <w:t>9</w:t>
      </w:r>
      <w:r w:rsidRPr="00C61784">
        <w:rPr>
          <w:rFonts w:ascii="Calibri" w:eastAsia="Times New Roman" w:hAnsi="Calibri" w:cs="Calibri"/>
          <w:bCs/>
          <w:noProof/>
          <w:color w:val="000000"/>
          <w:lang w:val="en-GB" w:eastAsia="en-AU"/>
        </w:rPr>
        <w:t>]</w:t>
      </w:r>
      <w:r w:rsidRPr="00C61784">
        <w:rPr>
          <w:rFonts w:ascii="Calibri" w:eastAsia="Times New Roman" w:hAnsi="Calibri" w:cs="Calibri"/>
          <w:bCs/>
          <w:color w:val="000000"/>
          <w:lang w:val="en-GB" w:eastAsia="en-AU"/>
        </w:rPr>
        <w:t>.</w:t>
      </w:r>
    </w:p>
    <w:p w14:paraId="0271CA62" w14:textId="77777777" w:rsidR="00FB6AD0" w:rsidRPr="00C61784" w:rsidRDefault="00FB6AD0" w:rsidP="00BC703D">
      <w:pPr>
        <w:spacing w:after="0" w:line="240" w:lineRule="auto"/>
        <w:rPr>
          <w:rFonts w:ascii="Calibri" w:eastAsia="Times New Roman" w:hAnsi="Calibri" w:cs="Calibri"/>
          <w:b/>
          <w:color w:val="000000"/>
          <w:lang w:val="en-GB" w:eastAsia="en-AU"/>
        </w:rPr>
      </w:pPr>
    </w:p>
    <w:p w14:paraId="626DB112" w14:textId="77777777" w:rsidR="00FB6AD0" w:rsidRPr="00C61784" w:rsidRDefault="00FB6AD0" w:rsidP="00BC703D">
      <w:pPr>
        <w:spacing w:after="0" w:line="240" w:lineRule="auto"/>
        <w:rPr>
          <w:rFonts w:ascii="Calibri" w:eastAsia="Times New Roman" w:hAnsi="Calibri" w:cs="Calibri"/>
          <w:b/>
          <w:color w:val="000000"/>
          <w:lang w:val="en-GB" w:eastAsia="en-AU"/>
        </w:rPr>
      </w:pPr>
      <w:r w:rsidRPr="00C61784">
        <w:rPr>
          <w:rFonts w:ascii="Calibri" w:eastAsia="Times New Roman" w:hAnsi="Calibri" w:cs="Calibri"/>
          <w:b/>
          <w:color w:val="000000"/>
          <w:lang w:val="en-GB" w:eastAsia="en-AU"/>
        </w:rPr>
        <w:t>Measurement of effectiveness</w:t>
      </w:r>
    </w:p>
    <w:p w14:paraId="252EE479" w14:textId="77777777" w:rsidR="00FB6AD0" w:rsidRPr="00C61784" w:rsidRDefault="00FB6AD0" w:rsidP="00BC703D">
      <w:pPr>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All effectiveness data analysed in this economic evaluation were obtained from Flinders QUEST.</w:t>
      </w:r>
    </w:p>
    <w:p w14:paraId="12FFB3C7" w14:textId="77777777" w:rsidR="00FB6AD0" w:rsidRPr="00C61784" w:rsidRDefault="00FB6AD0" w:rsidP="00BC703D">
      <w:pPr>
        <w:spacing w:after="0" w:line="240" w:lineRule="auto"/>
        <w:rPr>
          <w:rFonts w:ascii="Calibri" w:eastAsia="Times New Roman" w:hAnsi="Calibri" w:cs="Calibri"/>
          <w:color w:val="000000"/>
          <w:lang w:val="en-GB" w:eastAsia="en-AU"/>
        </w:rPr>
      </w:pPr>
    </w:p>
    <w:p w14:paraId="76A08725" w14:textId="77777777" w:rsidR="00FB6AD0" w:rsidRPr="00C61784" w:rsidRDefault="00FB6AD0" w:rsidP="00BC703D">
      <w:pPr>
        <w:spacing w:after="0" w:line="240" w:lineRule="auto"/>
        <w:rPr>
          <w:rFonts w:ascii="Calibri" w:eastAsia="Times New Roman" w:hAnsi="Calibri" w:cs="Calibri"/>
          <w:b/>
          <w:color w:val="000000"/>
          <w:lang w:val="en-GB" w:eastAsia="en-AU"/>
        </w:rPr>
      </w:pPr>
      <w:r w:rsidRPr="00C61784">
        <w:rPr>
          <w:rFonts w:ascii="Calibri" w:eastAsia="Times New Roman" w:hAnsi="Calibri" w:cs="Calibri"/>
          <w:b/>
          <w:color w:val="000000"/>
          <w:lang w:val="en-GB" w:eastAsia="en-AU"/>
        </w:rPr>
        <w:t>Estimating resources and cost</w:t>
      </w:r>
    </w:p>
    <w:p w14:paraId="076D9CF1" w14:textId="77777777" w:rsidR="00FB6AD0" w:rsidRPr="00C61784" w:rsidRDefault="00FB6AD0" w:rsidP="00BC703D">
      <w:pPr>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 xml:space="preserve">Resource use and costs were estimated from the Australian public health provider perspective. Out-of-hospital Medicare resource use and costs were estimated from Medical Benefits Schedule (MBS) data (to calculate costs of primary care visits, medical consultations, treatments, </w:t>
      </w:r>
      <w:proofErr w:type="gramStart"/>
      <w:r w:rsidRPr="00C61784">
        <w:rPr>
          <w:rFonts w:ascii="Calibri" w:eastAsia="Times New Roman" w:hAnsi="Calibri" w:cs="Calibri"/>
          <w:color w:val="000000"/>
          <w:lang w:val="en-GB" w:eastAsia="en-AU"/>
        </w:rPr>
        <w:t>investigations</w:t>
      </w:r>
      <w:proofErr w:type="gramEnd"/>
      <w:r w:rsidRPr="00C61784">
        <w:rPr>
          <w:rFonts w:ascii="Calibri" w:eastAsia="Times New Roman" w:hAnsi="Calibri" w:cs="Calibri"/>
          <w:color w:val="000000"/>
          <w:lang w:val="en-GB" w:eastAsia="en-AU"/>
        </w:rPr>
        <w:t xml:space="preserve"> and allied healthcare visits). Pharmaceutical costs were estimated using PBS data. Costs of public hospital </w:t>
      </w:r>
      <w:r>
        <w:rPr>
          <w:rFonts w:ascii="Calibri" w:eastAsia="Times New Roman" w:hAnsi="Calibri" w:cs="Calibri"/>
          <w:color w:val="000000"/>
          <w:lang w:val="en-GB" w:eastAsia="en-AU"/>
        </w:rPr>
        <w:t>ED</w:t>
      </w:r>
      <w:r w:rsidRPr="00C61784">
        <w:rPr>
          <w:rFonts w:ascii="Calibri" w:eastAsia="Times New Roman" w:hAnsi="Calibri" w:cs="Calibri"/>
          <w:color w:val="000000"/>
          <w:lang w:val="en-GB" w:eastAsia="en-AU"/>
        </w:rPr>
        <w:t xml:space="preserve"> presentations and admissions were calculated from SA Health public hospital records. The cost of the intervention was set at A$1000 per patient. This was the quantum of payment received by </w:t>
      </w:r>
      <w:r w:rsidRPr="00C61784">
        <w:rPr>
          <w:rFonts w:ascii="Calibri" w:eastAsia="Times New Roman" w:hAnsi="Calibri" w:cs="Calibri"/>
          <w:color w:val="000000"/>
          <w:lang w:val="en-GB" w:eastAsia="en-AU"/>
        </w:rPr>
        <w:lastRenderedPageBreak/>
        <w:t xml:space="preserve">practices for providing the multicomponent intervention to patients </w:t>
      </w:r>
      <w:r>
        <w:rPr>
          <w:rFonts w:ascii="Calibri" w:eastAsia="Times New Roman" w:hAnsi="Calibri" w:cs="Calibri"/>
          <w:color w:val="000000"/>
          <w:lang w:val="en-GB" w:eastAsia="en-AU"/>
        </w:rPr>
        <w:t xml:space="preserve">in the </w:t>
      </w:r>
      <w:r w:rsidRPr="00C61784">
        <w:rPr>
          <w:rFonts w:ascii="Calibri" w:eastAsia="Times New Roman" w:hAnsi="Calibri" w:cs="Calibri"/>
          <w:color w:val="000000"/>
          <w:lang w:val="en-GB" w:eastAsia="en-AU"/>
        </w:rPr>
        <w:t>intervention group. All costs are reported in Australian dollars</w:t>
      </w:r>
      <w:r>
        <w:rPr>
          <w:rFonts w:ascii="Calibri" w:eastAsia="Times New Roman" w:hAnsi="Calibri" w:cs="Calibri"/>
          <w:color w:val="000000"/>
          <w:lang w:val="en-GB" w:eastAsia="en-AU"/>
        </w:rPr>
        <w:t xml:space="preserve"> (A$)</w:t>
      </w:r>
      <w:r w:rsidRPr="00C61784">
        <w:rPr>
          <w:rFonts w:ascii="Calibri" w:eastAsia="Times New Roman" w:hAnsi="Calibri" w:cs="Calibri"/>
          <w:color w:val="000000"/>
          <w:lang w:val="en-GB" w:eastAsia="en-AU"/>
        </w:rPr>
        <w:t xml:space="preserve"> </w:t>
      </w:r>
      <w:proofErr w:type="gramStart"/>
      <w:r w:rsidRPr="00C61784">
        <w:rPr>
          <w:rFonts w:ascii="Calibri" w:eastAsia="Times New Roman" w:hAnsi="Calibri" w:cs="Calibri"/>
          <w:color w:val="000000"/>
          <w:lang w:val="en-GB" w:eastAsia="en-AU"/>
        </w:rPr>
        <w:t>at</w:t>
      </w:r>
      <w:proofErr w:type="gramEnd"/>
      <w:r w:rsidRPr="00C61784">
        <w:rPr>
          <w:rFonts w:ascii="Calibri" w:eastAsia="Times New Roman" w:hAnsi="Calibri" w:cs="Calibri"/>
          <w:color w:val="000000"/>
          <w:lang w:val="en-GB" w:eastAsia="en-AU"/>
        </w:rPr>
        <w:t xml:space="preserve"> 2021</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22 unit prices.</w:t>
      </w:r>
    </w:p>
    <w:p w14:paraId="132A7ED4" w14:textId="77777777" w:rsidR="00FB6AD0" w:rsidRPr="00C61784" w:rsidRDefault="00FB6AD0" w:rsidP="00BC703D">
      <w:pPr>
        <w:autoSpaceDE w:val="0"/>
        <w:autoSpaceDN w:val="0"/>
        <w:adjustRightInd w:val="0"/>
        <w:spacing w:after="0" w:line="240" w:lineRule="auto"/>
        <w:rPr>
          <w:rFonts w:ascii="Calibri" w:eastAsia="Times New Roman" w:hAnsi="Calibri" w:cs="Calibri"/>
          <w:b/>
          <w:color w:val="000000"/>
          <w:lang w:val="en-GB" w:eastAsia="en-AU"/>
        </w:rPr>
      </w:pPr>
    </w:p>
    <w:p w14:paraId="6050441C" w14:textId="77777777" w:rsidR="00FB6AD0" w:rsidRPr="00C61784" w:rsidRDefault="00FB6AD0" w:rsidP="00BC703D">
      <w:pPr>
        <w:spacing w:after="0" w:line="240" w:lineRule="auto"/>
        <w:rPr>
          <w:rFonts w:ascii="Calibri" w:eastAsia="Times New Roman" w:hAnsi="Calibri" w:cs="Times New Roman"/>
          <w:szCs w:val="24"/>
          <w:lang w:val="en-GB" w:eastAsia="en-AU"/>
        </w:rPr>
      </w:pPr>
      <w:r w:rsidRPr="00C61784">
        <w:rPr>
          <w:rFonts w:ascii="Calibri" w:eastAsia="Times New Roman" w:hAnsi="Calibri" w:cs="Calibri"/>
          <w:bCs/>
          <w:iCs/>
          <w:color w:val="000000"/>
          <w:lang w:val="en-GB" w:eastAsia="en-AU"/>
        </w:rPr>
        <w:t>For the Medicare and PBS cost</w:t>
      </w:r>
      <w:r>
        <w:rPr>
          <w:rFonts w:ascii="Calibri" w:eastAsia="Times New Roman" w:hAnsi="Calibri" w:cs="Calibri"/>
          <w:bCs/>
          <w:iCs/>
          <w:color w:val="000000"/>
          <w:lang w:val="en-GB" w:eastAsia="en-AU"/>
        </w:rPr>
        <w:t>s,</w:t>
      </w:r>
      <w:r w:rsidRPr="00C61784">
        <w:rPr>
          <w:rFonts w:ascii="Calibri" w:eastAsia="Times New Roman" w:hAnsi="Calibri" w:cs="Calibri"/>
          <w:bCs/>
          <w:iCs/>
          <w:color w:val="000000"/>
          <w:lang w:val="en-GB" w:eastAsia="en-AU"/>
        </w:rPr>
        <w:t xml:space="preserve"> data </w:t>
      </w:r>
      <w:r>
        <w:rPr>
          <w:rFonts w:ascii="Calibri" w:eastAsia="Times New Roman" w:hAnsi="Calibri" w:cs="Calibri"/>
          <w:bCs/>
          <w:iCs/>
          <w:color w:val="000000"/>
          <w:lang w:val="en-GB" w:eastAsia="en-AU"/>
        </w:rPr>
        <w:t>were</w:t>
      </w:r>
      <w:r w:rsidRPr="00C61784">
        <w:rPr>
          <w:rFonts w:ascii="Calibri" w:eastAsia="Times New Roman" w:hAnsi="Calibri" w:cs="Calibri"/>
          <w:bCs/>
          <w:iCs/>
          <w:color w:val="000000"/>
          <w:lang w:val="en-GB" w:eastAsia="en-AU"/>
        </w:rPr>
        <w:t xml:space="preserve"> available for all MBS claims and PBS items supplied. For </w:t>
      </w:r>
      <w:r w:rsidRPr="00C61784">
        <w:rPr>
          <w:rFonts w:ascii="Calibri" w:eastAsia="Times New Roman" w:hAnsi="Calibri" w:cs="Calibri"/>
          <w:color w:val="000000"/>
          <w:lang w:val="en-GB" w:eastAsia="en-AU"/>
        </w:rPr>
        <w:t xml:space="preserve">public hospital </w:t>
      </w:r>
      <w:r>
        <w:rPr>
          <w:rFonts w:ascii="Calibri" w:eastAsia="Times New Roman" w:hAnsi="Calibri" w:cs="Calibri"/>
          <w:color w:val="000000"/>
          <w:lang w:val="en-GB" w:eastAsia="en-AU"/>
        </w:rPr>
        <w:t>ED</w:t>
      </w:r>
      <w:r w:rsidRPr="00C61784">
        <w:rPr>
          <w:rFonts w:ascii="Calibri" w:eastAsia="Times New Roman" w:hAnsi="Calibri" w:cs="Calibri"/>
          <w:color w:val="000000"/>
          <w:lang w:val="en-GB" w:eastAsia="en-AU"/>
        </w:rPr>
        <w:t xml:space="preserve"> presentations and admissions</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there were instances of missing cost data (</w:t>
      </w:r>
      <w:r w:rsidRPr="00BA41A6">
        <w:t>Supplementary Table 4</w:t>
      </w:r>
      <w:r w:rsidRPr="00C61784">
        <w:rPr>
          <w:rFonts w:ascii="Calibri" w:eastAsia="Times New Roman" w:hAnsi="Calibri" w:cs="Calibri"/>
          <w:color w:val="000000"/>
          <w:lang w:val="en-GB" w:eastAsia="en-AU"/>
        </w:rPr>
        <w:t xml:space="preserve">). </w:t>
      </w:r>
      <w:r w:rsidRPr="00C61784">
        <w:rPr>
          <w:rFonts w:ascii="Calibri" w:eastAsia="Times New Roman" w:hAnsi="Calibri" w:cs="Times New Roman"/>
          <w:szCs w:val="24"/>
          <w:lang w:val="en-GB" w:eastAsia="en-AU"/>
        </w:rPr>
        <w:t>The primary reason this occurred was that the event occurred in a hospital that was not part of the Southern Adelaide or Central Adelaide Local Health Network</w:t>
      </w:r>
      <w:r>
        <w:rPr>
          <w:rFonts w:ascii="Calibri" w:eastAsia="Times New Roman" w:hAnsi="Calibri" w:cs="Times New Roman"/>
          <w:szCs w:val="24"/>
          <w:lang w:val="en-GB" w:eastAsia="en-AU"/>
        </w:rPr>
        <w:t>,</w:t>
      </w:r>
      <w:r w:rsidRPr="00C61784">
        <w:rPr>
          <w:rFonts w:ascii="Calibri" w:eastAsia="Times New Roman" w:hAnsi="Calibri" w:cs="Times New Roman"/>
          <w:szCs w:val="24"/>
          <w:lang w:val="en-GB" w:eastAsia="en-AU"/>
        </w:rPr>
        <w:t xml:space="preserve"> where data sharing agreements enabled this cost information to be readily extracted. The difference in the rates of complete cost data between the control (75.4%) and intervention (73.9%) groups at 24 months was not statistically significant (</w:t>
      </w:r>
      <w:r w:rsidRPr="00C61784">
        <w:rPr>
          <w:rFonts w:ascii="Calibri" w:eastAsia="Times New Roman" w:hAnsi="Calibri" w:cs="Times New Roman"/>
          <w:szCs w:val="24"/>
          <w:lang w:val="en-GB" w:eastAsia="en-AU"/>
        </w:rPr>
        <w:sym w:font="Symbol" w:char="F063"/>
      </w:r>
      <w:r w:rsidRPr="00C61784">
        <w:rPr>
          <w:rFonts w:ascii="Calibri" w:eastAsia="Times New Roman" w:hAnsi="Calibri" w:cs="Times New Roman"/>
          <w:szCs w:val="24"/>
          <w:vertAlign w:val="superscript"/>
          <w:lang w:val="en-GB" w:eastAsia="en-AU"/>
        </w:rPr>
        <w:t>2</w:t>
      </w:r>
      <w:r w:rsidRPr="00F30D75">
        <w:rPr>
          <w:rFonts w:ascii="Calibri" w:eastAsia="Times New Roman" w:hAnsi="Calibri" w:cs="Times New Roman"/>
          <w:szCs w:val="24"/>
          <w:lang w:val="en-GB" w:eastAsia="en-AU"/>
        </w:rPr>
        <w:t xml:space="preserve"> </w:t>
      </w:r>
      <w:r w:rsidRPr="00C61784">
        <w:rPr>
          <w:rFonts w:ascii="Calibri" w:eastAsia="Times New Roman" w:hAnsi="Calibri" w:cs="Times New Roman"/>
          <w:szCs w:val="24"/>
          <w:lang w:val="en-GB" w:eastAsia="en-AU"/>
        </w:rPr>
        <w:t xml:space="preserve">= 0.27; </w:t>
      </w:r>
      <w:proofErr w:type="spellStart"/>
      <w:r w:rsidRPr="00C61784">
        <w:rPr>
          <w:rFonts w:ascii="Calibri" w:eastAsia="Times New Roman" w:hAnsi="Calibri" w:cs="Times New Roman"/>
          <w:szCs w:val="24"/>
          <w:lang w:val="en-GB" w:eastAsia="en-AU"/>
        </w:rPr>
        <w:t>df</w:t>
      </w:r>
      <w:proofErr w:type="spellEnd"/>
      <w:r w:rsidRPr="00C61784">
        <w:rPr>
          <w:rFonts w:ascii="Calibri" w:eastAsia="Times New Roman" w:hAnsi="Calibri" w:cs="Times New Roman"/>
          <w:szCs w:val="24"/>
          <w:lang w:val="en-GB" w:eastAsia="en-AU"/>
        </w:rPr>
        <w:t xml:space="preserve"> = 1; </w:t>
      </w:r>
      <w:r w:rsidRPr="006725E3">
        <w:rPr>
          <w:rFonts w:ascii="Calibri" w:eastAsia="Times New Roman" w:hAnsi="Calibri" w:cs="Times New Roman"/>
          <w:i/>
          <w:szCs w:val="24"/>
          <w:lang w:val="en-GB" w:eastAsia="en-AU"/>
        </w:rPr>
        <w:t>p</w:t>
      </w:r>
      <w:r w:rsidRPr="00C61784">
        <w:rPr>
          <w:rFonts w:ascii="Calibri" w:eastAsia="Times New Roman" w:hAnsi="Calibri" w:cs="Times New Roman"/>
          <w:szCs w:val="24"/>
          <w:lang w:val="en-GB" w:eastAsia="en-AU"/>
        </w:rPr>
        <w:t xml:space="preserve"> = 0.60).</w:t>
      </w:r>
    </w:p>
    <w:p w14:paraId="0251CFC0" w14:textId="77777777" w:rsidR="00FB6AD0" w:rsidRPr="00C61784" w:rsidRDefault="00FB6AD0" w:rsidP="00BC703D">
      <w:pPr>
        <w:spacing w:after="0" w:line="240" w:lineRule="auto"/>
        <w:rPr>
          <w:rFonts w:ascii="Calibri" w:eastAsia="Times New Roman" w:hAnsi="Calibri" w:cs="Times New Roman"/>
          <w:szCs w:val="24"/>
          <w:lang w:val="en-GB" w:eastAsia="en-AU"/>
        </w:rPr>
      </w:pPr>
    </w:p>
    <w:p w14:paraId="179BA99B" w14:textId="77777777" w:rsidR="00FB6AD0" w:rsidRPr="00F30D75" w:rsidRDefault="00FB6AD0" w:rsidP="00BC703D">
      <w:pPr>
        <w:spacing w:after="0" w:line="240" w:lineRule="auto"/>
        <w:rPr>
          <w:rFonts w:ascii="Calibri" w:eastAsia="Times New Roman" w:hAnsi="Calibri" w:cs="Calibri"/>
          <w:b/>
          <w:iCs/>
          <w:lang w:val="en-GB" w:eastAsia="en-AU"/>
        </w:rPr>
      </w:pPr>
      <w:bookmarkStart w:id="3" w:name="_Toc57904864"/>
      <w:bookmarkStart w:id="4" w:name="_Toc121820105"/>
      <w:r>
        <w:rPr>
          <w:b/>
          <w:bCs/>
        </w:rPr>
        <w:t>Supplementary Table 4</w:t>
      </w:r>
      <w:r>
        <w:t xml:space="preserve"> </w:t>
      </w:r>
      <w:r w:rsidRPr="00F30D75">
        <w:rPr>
          <w:rFonts w:ascii="Calibri" w:eastAsia="Times New Roman" w:hAnsi="Calibri" w:cs="Calibri"/>
          <w:b/>
          <w:iCs/>
          <w:lang w:val="en-GB" w:eastAsia="en-AU"/>
        </w:rPr>
        <w:t>Missing cost data in hospital records (adults and older adults cohorts</w:t>
      </w:r>
      <w:r>
        <w:rPr>
          <w:rFonts w:ascii="Calibri" w:eastAsia="Times New Roman" w:hAnsi="Calibri" w:cs="Calibri"/>
          <w:b/>
          <w:iCs/>
          <w:lang w:val="en-GB" w:eastAsia="en-AU"/>
        </w:rPr>
        <w:t xml:space="preserve"> combined</w:t>
      </w:r>
      <w:r w:rsidRPr="00F30D75">
        <w:rPr>
          <w:rFonts w:ascii="Calibri" w:eastAsia="Times New Roman" w:hAnsi="Calibri" w:cs="Calibri"/>
          <w:b/>
          <w:iCs/>
          <w:lang w:val="en-GB" w:eastAsia="en-AU"/>
        </w:rPr>
        <w:t>)</w:t>
      </w:r>
      <w:bookmarkEnd w:id="3"/>
      <w:bookmarkEnd w:id="4"/>
    </w:p>
    <w:p w14:paraId="49C66345" w14:textId="77777777" w:rsidR="00FB6AD0" w:rsidRPr="00C61784" w:rsidRDefault="00FB6AD0" w:rsidP="00BC703D">
      <w:pPr>
        <w:spacing w:after="0" w:line="240" w:lineRule="auto"/>
        <w:rPr>
          <w:rFonts w:ascii="Calibri" w:eastAsia="Times New Roman" w:hAnsi="Calibri" w:cs="Calibri"/>
          <w:lang w:val="en-GB" w:eastAsia="en-AU"/>
        </w:rPr>
      </w:pPr>
    </w:p>
    <w:tbl>
      <w:tblPr>
        <w:tblStyle w:val="TableGrid"/>
        <w:tblW w:w="5000" w:type="pct"/>
        <w:tblLayout w:type="fixed"/>
        <w:tblCellMar>
          <w:left w:w="0" w:type="dxa"/>
          <w:right w:w="0" w:type="dxa"/>
        </w:tblCellMar>
        <w:tblLook w:val="04A0" w:firstRow="1" w:lastRow="0" w:firstColumn="1" w:lastColumn="0" w:noHBand="0" w:noVBand="1"/>
      </w:tblPr>
      <w:tblGrid>
        <w:gridCol w:w="2522"/>
        <w:gridCol w:w="1806"/>
        <w:gridCol w:w="1626"/>
        <w:gridCol w:w="1627"/>
        <w:gridCol w:w="1445"/>
      </w:tblGrid>
      <w:tr w:rsidR="00FB6AD0" w:rsidRPr="00C61784" w14:paraId="62EA0739" w14:textId="77777777" w:rsidTr="00F30D75">
        <w:tc>
          <w:tcPr>
            <w:tcW w:w="2694" w:type="dxa"/>
            <w:tcBorders>
              <w:top w:val="single" w:sz="4" w:space="0" w:color="auto"/>
              <w:left w:val="nil"/>
              <w:bottom w:val="nil"/>
              <w:right w:val="nil"/>
            </w:tcBorders>
            <w:shd w:val="clear" w:color="auto" w:fill="auto"/>
          </w:tcPr>
          <w:p w14:paraId="5ADB353E" w14:textId="77777777" w:rsidR="00FB6AD0" w:rsidRPr="00C61784" w:rsidRDefault="00FB6AD0" w:rsidP="00BC703D">
            <w:pPr>
              <w:tabs>
                <w:tab w:val="left" w:pos="426"/>
              </w:tabs>
              <w:spacing w:after="0" w:line="240" w:lineRule="auto"/>
              <w:rPr>
                <w:rFonts w:cs="Calibri"/>
                <w:szCs w:val="22"/>
                <w:lang w:val="en-GB"/>
              </w:rPr>
            </w:pPr>
          </w:p>
        </w:tc>
        <w:tc>
          <w:tcPr>
            <w:tcW w:w="3665" w:type="dxa"/>
            <w:gridSpan w:val="2"/>
            <w:tcBorders>
              <w:top w:val="single" w:sz="4" w:space="0" w:color="auto"/>
              <w:left w:val="nil"/>
              <w:bottom w:val="nil"/>
              <w:right w:val="nil"/>
            </w:tcBorders>
            <w:shd w:val="clear" w:color="auto" w:fill="auto"/>
          </w:tcPr>
          <w:p w14:paraId="269669EF" w14:textId="77777777" w:rsidR="00FB6AD0" w:rsidRPr="00F30D75" w:rsidRDefault="00FB6AD0" w:rsidP="00BC703D">
            <w:pPr>
              <w:tabs>
                <w:tab w:val="left" w:pos="426"/>
              </w:tabs>
              <w:spacing w:after="0" w:line="240" w:lineRule="auto"/>
              <w:jc w:val="center"/>
              <w:rPr>
                <w:rFonts w:cs="Calibri"/>
                <w:b/>
                <w:szCs w:val="22"/>
                <w:lang w:val="en-GB"/>
              </w:rPr>
            </w:pPr>
            <w:r w:rsidRPr="00F30D75">
              <w:rPr>
                <w:rFonts w:cs="Calibri"/>
                <w:b/>
                <w:lang w:val="en-GB"/>
              </w:rPr>
              <w:t xml:space="preserve">Control </w:t>
            </w:r>
          </w:p>
        </w:tc>
        <w:tc>
          <w:tcPr>
            <w:tcW w:w="3280" w:type="dxa"/>
            <w:gridSpan w:val="2"/>
            <w:tcBorders>
              <w:top w:val="single" w:sz="4" w:space="0" w:color="auto"/>
              <w:left w:val="nil"/>
              <w:bottom w:val="nil"/>
              <w:right w:val="nil"/>
            </w:tcBorders>
            <w:shd w:val="clear" w:color="auto" w:fill="auto"/>
          </w:tcPr>
          <w:p w14:paraId="736ACA91" w14:textId="77777777" w:rsidR="00FB6AD0" w:rsidRPr="00F30D75" w:rsidRDefault="00FB6AD0" w:rsidP="00BC703D">
            <w:pPr>
              <w:tabs>
                <w:tab w:val="left" w:pos="426"/>
              </w:tabs>
              <w:spacing w:after="0" w:line="240" w:lineRule="auto"/>
              <w:jc w:val="center"/>
              <w:rPr>
                <w:rFonts w:cs="Calibri"/>
                <w:b/>
                <w:szCs w:val="22"/>
                <w:lang w:val="en-GB"/>
              </w:rPr>
            </w:pPr>
            <w:r w:rsidRPr="00F30D75">
              <w:rPr>
                <w:rFonts w:cs="Calibri"/>
                <w:b/>
                <w:lang w:val="en-GB"/>
              </w:rPr>
              <w:t xml:space="preserve">Intervention </w:t>
            </w:r>
          </w:p>
        </w:tc>
      </w:tr>
      <w:tr w:rsidR="00FB6AD0" w:rsidRPr="00C61784" w14:paraId="776B4364" w14:textId="77777777" w:rsidTr="00F30D75">
        <w:tc>
          <w:tcPr>
            <w:tcW w:w="2694" w:type="dxa"/>
            <w:tcBorders>
              <w:top w:val="nil"/>
              <w:left w:val="nil"/>
              <w:bottom w:val="single" w:sz="4" w:space="0" w:color="auto"/>
              <w:right w:val="nil"/>
            </w:tcBorders>
            <w:shd w:val="clear" w:color="auto" w:fill="auto"/>
          </w:tcPr>
          <w:p w14:paraId="4723FAEF" w14:textId="77777777" w:rsidR="00FB6AD0" w:rsidRPr="00C61784" w:rsidRDefault="00FB6AD0" w:rsidP="00BC703D">
            <w:pPr>
              <w:tabs>
                <w:tab w:val="left" w:pos="426"/>
              </w:tabs>
              <w:spacing w:after="0" w:line="240" w:lineRule="auto"/>
              <w:rPr>
                <w:rFonts w:cs="Calibri"/>
                <w:szCs w:val="22"/>
                <w:lang w:val="en-GB"/>
              </w:rPr>
            </w:pPr>
          </w:p>
        </w:tc>
        <w:tc>
          <w:tcPr>
            <w:tcW w:w="1929" w:type="dxa"/>
            <w:tcBorders>
              <w:top w:val="nil"/>
              <w:left w:val="nil"/>
              <w:bottom w:val="single" w:sz="4" w:space="0" w:color="auto"/>
              <w:right w:val="nil"/>
            </w:tcBorders>
            <w:shd w:val="clear" w:color="auto" w:fill="auto"/>
          </w:tcPr>
          <w:p w14:paraId="4A5E8BE0" w14:textId="77777777" w:rsidR="00FB6AD0" w:rsidRPr="00F30D75" w:rsidRDefault="00FB6AD0" w:rsidP="00BC703D">
            <w:pPr>
              <w:tabs>
                <w:tab w:val="left" w:pos="426"/>
              </w:tabs>
              <w:spacing w:after="0" w:line="240" w:lineRule="auto"/>
              <w:jc w:val="center"/>
              <w:rPr>
                <w:rFonts w:cs="Calibri"/>
                <w:b/>
                <w:szCs w:val="22"/>
                <w:lang w:val="en-GB"/>
              </w:rPr>
            </w:pPr>
            <w:r w:rsidRPr="00F30D75">
              <w:rPr>
                <w:b/>
                <w:lang w:val="en-GB"/>
              </w:rPr>
              <w:t>Baseline</w:t>
            </w:r>
          </w:p>
        </w:tc>
        <w:tc>
          <w:tcPr>
            <w:tcW w:w="1736" w:type="dxa"/>
            <w:tcBorders>
              <w:top w:val="nil"/>
              <w:left w:val="nil"/>
              <w:bottom w:val="single" w:sz="4" w:space="0" w:color="auto"/>
              <w:right w:val="nil"/>
            </w:tcBorders>
            <w:shd w:val="clear" w:color="auto" w:fill="auto"/>
          </w:tcPr>
          <w:p w14:paraId="2828DD2E" w14:textId="77777777" w:rsidR="00FB6AD0" w:rsidRPr="00F30D75" w:rsidRDefault="00FB6AD0" w:rsidP="00BC703D">
            <w:pPr>
              <w:tabs>
                <w:tab w:val="left" w:pos="426"/>
              </w:tabs>
              <w:spacing w:after="0" w:line="240" w:lineRule="auto"/>
              <w:jc w:val="center"/>
              <w:rPr>
                <w:rFonts w:cs="Calibri"/>
                <w:b/>
                <w:szCs w:val="22"/>
                <w:lang w:val="en-GB"/>
              </w:rPr>
            </w:pPr>
            <w:r w:rsidRPr="00F30D75">
              <w:rPr>
                <w:b/>
                <w:lang w:val="en-GB"/>
              </w:rPr>
              <w:t>24 months</w:t>
            </w:r>
          </w:p>
        </w:tc>
        <w:tc>
          <w:tcPr>
            <w:tcW w:w="1737" w:type="dxa"/>
            <w:tcBorders>
              <w:top w:val="nil"/>
              <w:left w:val="nil"/>
              <w:bottom w:val="single" w:sz="4" w:space="0" w:color="auto"/>
              <w:right w:val="nil"/>
            </w:tcBorders>
            <w:shd w:val="clear" w:color="auto" w:fill="auto"/>
          </w:tcPr>
          <w:p w14:paraId="42B9E828" w14:textId="77777777" w:rsidR="00FB6AD0" w:rsidRPr="00F30D75" w:rsidRDefault="00FB6AD0" w:rsidP="00BC703D">
            <w:pPr>
              <w:tabs>
                <w:tab w:val="left" w:pos="426"/>
              </w:tabs>
              <w:spacing w:after="0" w:line="240" w:lineRule="auto"/>
              <w:jc w:val="center"/>
              <w:rPr>
                <w:rFonts w:cs="Calibri"/>
                <w:b/>
                <w:szCs w:val="22"/>
                <w:lang w:val="en-GB"/>
              </w:rPr>
            </w:pPr>
            <w:r w:rsidRPr="00F30D75">
              <w:rPr>
                <w:b/>
                <w:lang w:val="en-GB"/>
              </w:rPr>
              <w:t>Baseline</w:t>
            </w:r>
          </w:p>
        </w:tc>
        <w:tc>
          <w:tcPr>
            <w:tcW w:w="1543" w:type="dxa"/>
            <w:tcBorders>
              <w:top w:val="nil"/>
              <w:left w:val="nil"/>
              <w:bottom w:val="single" w:sz="4" w:space="0" w:color="auto"/>
              <w:right w:val="nil"/>
            </w:tcBorders>
            <w:shd w:val="clear" w:color="auto" w:fill="auto"/>
          </w:tcPr>
          <w:p w14:paraId="710C1414" w14:textId="77777777" w:rsidR="00FB6AD0" w:rsidRPr="00F30D75" w:rsidRDefault="00FB6AD0" w:rsidP="00BC703D">
            <w:pPr>
              <w:tabs>
                <w:tab w:val="left" w:pos="426"/>
              </w:tabs>
              <w:spacing w:after="0" w:line="240" w:lineRule="auto"/>
              <w:jc w:val="center"/>
              <w:rPr>
                <w:rFonts w:cs="Calibri"/>
                <w:b/>
                <w:szCs w:val="22"/>
                <w:lang w:val="en-GB"/>
              </w:rPr>
            </w:pPr>
            <w:r w:rsidRPr="00F30D75">
              <w:rPr>
                <w:b/>
                <w:lang w:val="en-GB"/>
              </w:rPr>
              <w:t>24 months</w:t>
            </w:r>
          </w:p>
        </w:tc>
      </w:tr>
      <w:tr w:rsidR="00FB6AD0" w:rsidRPr="00C61784" w14:paraId="45CEBBFE" w14:textId="77777777" w:rsidTr="00F30D75">
        <w:tc>
          <w:tcPr>
            <w:tcW w:w="2694" w:type="dxa"/>
            <w:tcBorders>
              <w:top w:val="single" w:sz="4" w:space="0" w:color="auto"/>
              <w:left w:val="nil"/>
              <w:bottom w:val="nil"/>
              <w:right w:val="nil"/>
            </w:tcBorders>
          </w:tcPr>
          <w:p w14:paraId="6905448B" w14:textId="77777777" w:rsidR="00FB6AD0" w:rsidRPr="00F30D75" w:rsidRDefault="00FB6AD0" w:rsidP="00BC703D">
            <w:pPr>
              <w:keepNext/>
              <w:keepLines/>
              <w:tabs>
                <w:tab w:val="left" w:pos="285"/>
              </w:tabs>
              <w:spacing w:before="200" w:after="0" w:line="240" w:lineRule="auto"/>
              <w:outlineLvl w:val="7"/>
              <w:rPr>
                <w:rFonts w:cs="Calibri"/>
                <w:b/>
                <w:i/>
                <w:iCs/>
                <w:szCs w:val="22"/>
                <w:lang w:val="en-GB"/>
              </w:rPr>
            </w:pPr>
            <w:r w:rsidRPr="00F30D75">
              <w:rPr>
                <w:rFonts w:cs="Calibri"/>
                <w:b/>
                <w:iCs/>
                <w:lang w:val="en-GB"/>
              </w:rPr>
              <w:t xml:space="preserve">No. </w:t>
            </w:r>
            <w:r w:rsidRPr="00F30D75">
              <w:rPr>
                <w:rFonts w:cs="Calibri"/>
                <w:b/>
                <w:lang w:val="en-GB"/>
              </w:rPr>
              <w:t>patients in analysis</w:t>
            </w:r>
          </w:p>
        </w:tc>
        <w:tc>
          <w:tcPr>
            <w:tcW w:w="1929" w:type="dxa"/>
            <w:tcBorders>
              <w:top w:val="single" w:sz="4" w:space="0" w:color="auto"/>
              <w:left w:val="nil"/>
              <w:bottom w:val="nil"/>
              <w:right w:val="nil"/>
            </w:tcBorders>
          </w:tcPr>
          <w:p w14:paraId="0A237406" w14:textId="77777777" w:rsidR="00FB6AD0" w:rsidRPr="00C61784" w:rsidRDefault="00FB6AD0" w:rsidP="00BC703D">
            <w:pPr>
              <w:spacing w:after="0" w:line="240" w:lineRule="auto"/>
              <w:jc w:val="center"/>
              <w:rPr>
                <w:rFonts w:cs="Calibri"/>
                <w:szCs w:val="22"/>
                <w:lang w:val="en-GB"/>
              </w:rPr>
            </w:pPr>
            <w:r w:rsidRPr="00C61784">
              <w:rPr>
                <w:rFonts w:cs="Calibri"/>
                <w:szCs w:val="22"/>
                <w:lang w:val="en-GB"/>
              </w:rPr>
              <w:t>490</w:t>
            </w:r>
          </w:p>
        </w:tc>
        <w:tc>
          <w:tcPr>
            <w:tcW w:w="1736" w:type="dxa"/>
            <w:tcBorders>
              <w:top w:val="single" w:sz="4" w:space="0" w:color="auto"/>
              <w:left w:val="nil"/>
              <w:bottom w:val="nil"/>
              <w:right w:val="nil"/>
            </w:tcBorders>
          </w:tcPr>
          <w:p w14:paraId="0D26B066" w14:textId="77777777" w:rsidR="00FB6AD0" w:rsidRPr="00C61784" w:rsidRDefault="00FB6AD0" w:rsidP="00BC703D">
            <w:pPr>
              <w:spacing w:after="0" w:line="240" w:lineRule="auto"/>
              <w:jc w:val="center"/>
              <w:rPr>
                <w:rFonts w:cs="Calibri"/>
                <w:szCs w:val="22"/>
                <w:lang w:val="en-GB"/>
              </w:rPr>
            </w:pPr>
            <w:r w:rsidRPr="00C61784">
              <w:rPr>
                <w:rFonts w:cs="Calibri"/>
                <w:szCs w:val="22"/>
                <w:lang w:val="en-GB"/>
              </w:rPr>
              <w:t>490</w:t>
            </w:r>
          </w:p>
        </w:tc>
        <w:tc>
          <w:tcPr>
            <w:tcW w:w="1737" w:type="dxa"/>
            <w:tcBorders>
              <w:top w:val="single" w:sz="4" w:space="0" w:color="auto"/>
              <w:left w:val="nil"/>
              <w:bottom w:val="nil"/>
              <w:right w:val="nil"/>
            </w:tcBorders>
          </w:tcPr>
          <w:p w14:paraId="2049DE99" w14:textId="77777777" w:rsidR="00FB6AD0" w:rsidRPr="00C61784" w:rsidRDefault="00FB6AD0" w:rsidP="00BC703D">
            <w:pPr>
              <w:spacing w:after="0" w:line="240" w:lineRule="auto"/>
              <w:jc w:val="center"/>
              <w:rPr>
                <w:rFonts w:cs="Calibri"/>
                <w:szCs w:val="22"/>
                <w:lang w:val="en-GB"/>
              </w:rPr>
            </w:pPr>
            <w:r w:rsidRPr="00C61784">
              <w:rPr>
                <w:rFonts w:cs="Calibri"/>
                <w:szCs w:val="22"/>
                <w:lang w:val="en-GB"/>
              </w:rPr>
              <w:t>496</w:t>
            </w:r>
          </w:p>
        </w:tc>
        <w:tc>
          <w:tcPr>
            <w:tcW w:w="1543" w:type="dxa"/>
            <w:tcBorders>
              <w:top w:val="single" w:sz="4" w:space="0" w:color="auto"/>
              <w:left w:val="nil"/>
              <w:bottom w:val="nil"/>
              <w:right w:val="nil"/>
            </w:tcBorders>
          </w:tcPr>
          <w:p w14:paraId="4CED4722" w14:textId="77777777" w:rsidR="00FB6AD0" w:rsidRPr="00C61784" w:rsidRDefault="00FB6AD0" w:rsidP="00BC703D">
            <w:pPr>
              <w:spacing w:after="0" w:line="240" w:lineRule="auto"/>
              <w:jc w:val="center"/>
              <w:rPr>
                <w:rFonts w:cs="Calibri"/>
                <w:szCs w:val="22"/>
                <w:lang w:val="en-GB"/>
              </w:rPr>
            </w:pPr>
            <w:r w:rsidRPr="00C61784">
              <w:rPr>
                <w:rFonts w:cs="Calibri"/>
                <w:szCs w:val="22"/>
                <w:lang w:val="en-GB"/>
              </w:rPr>
              <w:t>496</w:t>
            </w:r>
          </w:p>
        </w:tc>
      </w:tr>
      <w:tr w:rsidR="00FB6AD0" w:rsidRPr="00C61784" w14:paraId="1BE44F90" w14:textId="77777777" w:rsidTr="00F30D75">
        <w:tc>
          <w:tcPr>
            <w:tcW w:w="2694" w:type="dxa"/>
            <w:tcBorders>
              <w:top w:val="nil"/>
              <w:left w:val="nil"/>
              <w:bottom w:val="nil"/>
              <w:right w:val="nil"/>
            </w:tcBorders>
          </w:tcPr>
          <w:p w14:paraId="270ED48B" w14:textId="77777777" w:rsidR="00FB6AD0" w:rsidRPr="00F30D75" w:rsidRDefault="00FB6AD0" w:rsidP="00BC703D">
            <w:pPr>
              <w:keepNext/>
              <w:keepLines/>
              <w:tabs>
                <w:tab w:val="left" w:pos="285"/>
              </w:tabs>
              <w:spacing w:before="200" w:after="0" w:line="240" w:lineRule="auto"/>
              <w:outlineLvl w:val="7"/>
              <w:rPr>
                <w:rFonts w:cs="Calibri"/>
                <w:b/>
                <w:szCs w:val="22"/>
                <w:lang w:val="en-GB"/>
              </w:rPr>
            </w:pPr>
            <w:r w:rsidRPr="00F30D75">
              <w:rPr>
                <w:rFonts w:cs="Calibri"/>
                <w:b/>
                <w:iCs/>
                <w:lang w:val="en-GB"/>
              </w:rPr>
              <w:t xml:space="preserve">No. </w:t>
            </w:r>
            <w:r w:rsidRPr="00F30D75">
              <w:rPr>
                <w:rFonts w:cs="Calibri"/>
                <w:b/>
                <w:lang w:val="en-GB"/>
              </w:rPr>
              <w:t>ED presentations</w:t>
            </w:r>
          </w:p>
        </w:tc>
        <w:tc>
          <w:tcPr>
            <w:tcW w:w="1929" w:type="dxa"/>
            <w:tcBorders>
              <w:top w:val="nil"/>
              <w:left w:val="nil"/>
              <w:bottom w:val="nil"/>
              <w:right w:val="nil"/>
            </w:tcBorders>
          </w:tcPr>
          <w:p w14:paraId="7EFCA718" w14:textId="77777777" w:rsidR="00FB6AD0" w:rsidRPr="00C61784" w:rsidRDefault="00FB6AD0" w:rsidP="00BC703D">
            <w:pPr>
              <w:spacing w:after="0" w:line="240" w:lineRule="auto"/>
              <w:jc w:val="center"/>
              <w:rPr>
                <w:rFonts w:cs="Calibri"/>
                <w:szCs w:val="22"/>
                <w:lang w:val="en-GB"/>
              </w:rPr>
            </w:pPr>
            <w:r w:rsidRPr="00C61784">
              <w:rPr>
                <w:rFonts w:cs="Calibri"/>
                <w:szCs w:val="22"/>
                <w:lang w:val="en-GB"/>
              </w:rPr>
              <w:t>306</w:t>
            </w:r>
          </w:p>
        </w:tc>
        <w:tc>
          <w:tcPr>
            <w:tcW w:w="1736" w:type="dxa"/>
            <w:tcBorders>
              <w:top w:val="nil"/>
              <w:left w:val="nil"/>
              <w:bottom w:val="nil"/>
              <w:right w:val="nil"/>
            </w:tcBorders>
          </w:tcPr>
          <w:p w14:paraId="3DA33250" w14:textId="77777777" w:rsidR="00FB6AD0" w:rsidRPr="00C61784" w:rsidRDefault="00FB6AD0" w:rsidP="00BC703D">
            <w:pPr>
              <w:spacing w:after="0" w:line="240" w:lineRule="auto"/>
              <w:jc w:val="center"/>
              <w:rPr>
                <w:rFonts w:cs="Calibri"/>
                <w:szCs w:val="22"/>
                <w:lang w:val="en-GB"/>
              </w:rPr>
            </w:pPr>
            <w:r w:rsidRPr="00C61784">
              <w:rPr>
                <w:rFonts w:cs="Calibri"/>
                <w:szCs w:val="22"/>
                <w:lang w:val="en-GB"/>
              </w:rPr>
              <w:t>628</w:t>
            </w:r>
          </w:p>
        </w:tc>
        <w:tc>
          <w:tcPr>
            <w:tcW w:w="1737" w:type="dxa"/>
            <w:tcBorders>
              <w:top w:val="nil"/>
              <w:left w:val="nil"/>
              <w:bottom w:val="nil"/>
              <w:right w:val="nil"/>
            </w:tcBorders>
          </w:tcPr>
          <w:p w14:paraId="38CE04CC" w14:textId="77777777" w:rsidR="00FB6AD0" w:rsidRPr="00C61784" w:rsidRDefault="00FB6AD0" w:rsidP="00BC703D">
            <w:pPr>
              <w:spacing w:after="0" w:line="240" w:lineRule="auto"/>
              <w:jc w:val="center"/>
              <w:rPr>
                <w:rFonts w:cs="Calibri"/>
                <w:szCs w:val="22"/>
                <w:lang w:val="en-GB"/>
              </w:rPr>
            </w:pPr>
            <w:r w:rsidRPr="00C61784">
              <w:rPr>
                <w:rFonts w:cs="Calibri"/>
                <w:szCs w:val="22"/>
                <w:lang w:val="en-GB"/>
              </w:rPr>
              <w:t>331</w:t>
            </w:r>
          </w:p>
        </w:tc>
        <w:tc>
          <w:tcPr>
            <w:tcW w:w="1543" w:type="dxa"/>
            <w:tcBorders>
              <w:top w:val="nil"/>
              <w:left w:val="nil"/>
              <w:bottom w:val="nil"/>
              <w:right w:val="nil"/>
            </w:tcBorders>
          </w:tcPr>
          <w:p w14:paraId="529AE8DD" w14:textId="77777777" w:rsidR="00FB6AD0" w:rsidRPr="00C61784" w:rsidRDefault="00FB6AD0" w:rsidP="00BC703D">
            <w:pPr>
              <w:spacing w:after="0" w:line="240" w:lineRule="auto"/>
              <w:jc w:val="center"/>
              <w:rPr>
                <w:rFonts w:cs="Calibri"/>
                <w:szCs w:val="22"/>
                <w:lang w:val="en-GB"/>
              </w:rPr>
            </w:pPr>
            <w:r w:rsidRPr="00C61784">
              <w:rPr>
                <w:rFonts w:cs="Calibri"/>
                <w:szCs w:val="22"/>
                <w:lang w:val="en-GB"/>
              </w:rPr>
              <w:t>512</w:t>
            </w:r>
          </w:p>
        </w:tc>
      </w:tr>
      <w:tr w:rsidR="00FB6AD0" w:rsidRPr="00C61784" w14:paraId="1116BEF9" w14:textId="77777777" w:rsidTr="00F30D75">
        <w:tc>
          <w:tcPr>
            <w:tcW w:w="2694" w:type="dxa"/>
            <w:tcBorders>
              <w:top w:val="nil"/>
              <w:left w:val="nil"/>
              <w:bottom w:val="nil"/>
              <w:right w:val="nil"/>
            </w:tcBorders>
          </w:tcPr>
          <w:p w14:paraId="20CD02A8" w14:textId="77777777" w:rsidR="00FB6AD0" w:rsidRPr="00C61784" w:rsidRDefault="00FB6AD0" w:rsidP="00BC703D">
            <w:pPr>
              <w:tabs>
                <w:tab w:val="left" w:pos="285"/>
              </w:tabs>
              <w:spacing w:after="0" w:line="240" w:lineRule="auto"/>
              <w:rPr>
                <w:rFonts w:cs="Calibri"/>
                <w:szCs w:val="22"/>
                <w:lang w:val="en-GB"/>
              </w:rPr>
            </w:pPr>
            <w:r>
              <w:rPr>
                <w:rFonts w:cs="Calibri"/>
                <w:iCs/>
                <w:szCs w:val="22"/>
                <w:lang w:val="en-GB"/>
              </w:rPr>
              <w:t> </w:t>
            </w:r>
            <w:r w:rsidRPr="000E2B86">
              <w:rPr>
                <w:rFonts w:cs="Calibri"/>
                <w:iCs/>
                <w:szCs w:val="22"/>
                <w:lang w:val="en-GB"/>
              </w:rPr>
              <w:t xml:space="preserve">No. </w:t>
            </w:r>
            <w:r>
              <w:rPr>
                <w:rFonts w:cs="Calibri"/>
                <w:szCs w:val="22"/>
                <w:lang w:val="en-GB"/>
              </w:rPr>
              <w:t>(</w:t>
            </w:r>
            <w:r w:rsidRPr="00C61784">
              <w:rPr>
                <w:rFonts w:cs="Calibri"/>
                <w:szCs w:val="22"/>
                <w:lang w:val="en-GB"/>
              </w:rPr>
              <w:t>%</w:t>
            </w:r>
            <w:r>
              <w:rPr>
                <w:rFonts w:cs="Calibri"/>
                <w:szCs w:val="22"/>
                <w:lang w:val="en-GB"/>
              </w:rPr>
              <w:t>)</w:t>
            </w:r>
            <w:r w:rsidRPr="00C61784">
              <w:rPr>
                <w:rFonts w:cs="Calibri"/>
                <w:szCs w:val="22"/>
                <w:lang w:val="en-GB"/>
              </w:rPr>
              <w:t xml:space="preserve"> with cost data</w:t>
            </w:r>
          </w:p>
        </w:tc>
        <w:tc>
          <w:tcPr>
            <w:tcW w:w="1929" w:type="dxa"/>
            <w:tcBorders>
              <w:top w:val="nil"/>
              <w:left w:val="nil"/>
              <w:bottom w:val="nil"/>
              <w:right w:val="nil"/>
            </w:tcBorders>
          </w:tcPr>
          <w:p w14:paraId="73EBBB79" w14:textId="77777777" w:rsidR="00FB6AD0" w:rsidRPr="00C61784" w:rsidRDefault="00FB6AD0" w:rsidP="00F30D75">
            <w:pPr>
              <w:spacing w:after="0" w:line="240" w:lineRule="auto"/>
              <w:jc w:val="center"/>
              <w:rPr>
                <w:rFonts w:asciiTheme="majorHAnsi" w:eastAsiaTheme="majorEastAsia" w:hAnsiTheme="majorHAnsi" w:cs="Calibri"/>
                <w:color w:val="404040" w:themeColor="text1" w:themeTint="BF"/>
                <w:szCs w:val="22"/>
                <w:lang w:val="en-GB" w:eastAsia="en-US"/>
              </w:rPr>
            </w:pPr>
            <w:r w:rsidRPr="00C61784">
              <w:rPr>
                <w:rFonts w:cs="Calibri"/>
                <w:szCs w:val="22"/>
                <w:lang w:val="en-GB"/>
              </w:rPr>
              <w:t>297 (97.1)</w:t>
            </w:r>
          </w:p>
        </w:tc>
        <w:tc>
          <w:tcPr>
            <w:tcW w:w="1736" w:type="dxa"/>
            <w:tcBorders>
              <w:top w:val="nil"/>
              <w:left w:val="nil"/>
              <w:bottom w:val="nil"/>
              <w:right w:val="nil"/>
            </w:tcBorders>
          </w:tcPr>
          <w:p w14:paraId="358405FF" w14:textId="77777777" w:rsidR="00FB6AD0" w:rsidRPr="00C61784" w:rsidRDefault="00FB6AD0" w:rsidP="00F30D75">
            <w:pPr>
              <w:spacing w:after="0" w:line="240" w:lineRule="auto"/>
              <w:jc w:val="center"/>
              <w:rPr>
                <w:rFonts w:asciiTheme="majorHAnsi" w:eastAsiaTheme="majorEastAsia" w:hAnsiTheme="majorHAnsi" w:cs="Calibri"/>
                <w:color w:val="404040" w:themeColor="text1" w:themeTint="BF"/>
                <w:szCs w:val="22"/>
                <w:lang w:val="en-GB" w:eastAsia="en-US"/>
              </w:rPr>
            </w:pPr>
            <w:r w:rsidRPr="00C61784">
              <w:rPr>
                <w:rFonts w:cs="Calibri"/>
                <w:szCs w:val="22"/>
                <w:lang w:val="en-GB"/>
              </w:rPr>
              <w:t>574 (91.4)</w:t>
            </w:r>
          </w:p>
        </w:tc>
        <w:tc>
          <w:tcPr>
            <w:tcW w:w="1737" w:type="dxa"/>
            <w:tcBorders>
              <w:top w:val="nil"/>
              <w:left w:val="nil"/>
              <w:bottom w:val="nil"/>
              <w:right w:val="nil"/>
            </w:tcBorders>
          </w:tcPr>
          <w:p w14:paraId="24E6D6FD" w14:textId="77777777" w:rsidR="00FB6AD0" w:rsidRPr="00C61784" w:rsidRDefault="00FB6AD0" w:rsidP="00F30D75">
            <w:pPr>
              <w:spacing w:after="0" w:line="240" w:lineRule="auto"/>
              <w:jc w:val="center"/>
              <w:rPr>
                <w:rFonts w:asciiTheme="majorHAnsi" w:eastAsiaTheme="majorEastAsia" w:hAnsiTheme="majorHAnsi" w:cs="Calibri"/>
                <w:color w:val="404040" w:themeColor="text1" w:themeTint="BF"/>
                <w:szCs w:val="22"/>
                <w:lang w:val="en-GB" w:eastAsia="en-US"/>
              </w:rPr>
            </w:pPr>
            <w:r w:rsidRPr="00C61784">
              <w:rPr>
                <w:rFonts w:cs="Calibri"/>
                <w:szCs w:val="22"/>
                <w:lang w:val="en-GB"/>
              </w:rPr>
              <w:t>318 (96.1)</w:t>
            </w:r>
          </w:p>
        </w:tc>
        <w:tc>
          <w:tcPr>
            <w:tcW w:w="1543" w:type="dxa"/>
            <w:tcBorders>
              <w:top w:val="nil"/>
              <w:left w:val="nil"/>
              <w:bottom w:val="nil"/>
              <w:right w:val="nil"/>
            </w:tcBorders>
          </w:tcPr>
          <w:p w14:paraId="46D26919" w14:textId="77777777" w:rsidR="00FB6AD0" w:rsidRPr="00C61784" w:rsidRDefault="00FB6AD0" w:rsidP="00F30D75">
            <w:pPr>
              <w:spacing w:after="0" w:line="240" w:lineRule="auto"/>
              <w:jc w:val="center"/>
              <w:rPr>
                <w:rFonts w:asciiTheme="majorHAnsi" w:eastAsiaTheme="majorEastAsia" w:hAnsiTheme="majorHAnsi" w:cs="Calibri"/>
                <w:color w:val="404040" w:themeColor="text1" w:themeTint="BF"/>
                <w:szCs w:val="22"/>
                <w:lang w:val="en-GB" w:eastAsia="en-US"/>
              </w:rPr>
            </w:pPr>
            <w:r w:rsidRPr="00C61784">
              <w:rPr>
                <w:rFonts w:cs="Calibri"/>
                <w:szCs w:val="22"/>
                <w:lang w:val="en-GB"/>
              </w:rPr>
              <w:t>301 (86.8)</w:t>
            </w:r>
          </w:p>
        </w:tc>
      </w:tr>
      <w:tr w:rsidR="00FB6AD0" w:rsidRPr="00C61784" w14:paraId="4819D674" w14:textId="77777777" w:rsidTr="00F30D75">
        <w:tc>
          <w:tcPr>
            <w:tcW w:w="2694" w:type="dxa"/>
            <w:tcBorders>
              <w:top w:val="nil"/>
              <w:left w:val="nil"/>
              <w:bottom w:val="nil"/>
              <w:right w:val="nil"/>
            </w:tcBorders>
          </w:tcPr>
          <w:p w14:paraId="30A91699" w14:textId="77777777" w:rsidR="00FB6AD0" w:rsidRPr="00F30D75" w:rsidRDefault="00FB6AD0" w:rsidP="00BC703D">
            <w:pPr>
              <w:keepNext/>
              <w:keepLines/>
              <w:tabs>
                <w:tab w:val="left" w:pos="285"/>
              </w:tabs>
              <w:spacing w:before="200" w:after="0" w:line="240" w:lineRule="auto"/>
              <w:outlineLvl w:val="7"/>
              <w:rPr>
                <w:rFonts w:cs="Calibri"/>
                <w:b/>
                <w:szCs w:val="22"/>
                <w:lang w:val="en-GB"/>
              </w:rPr>
            </w:pPr>
            <w:r w:rsidRPr="00F30D75">
              <w:rPr>
                <w:rFonts w:cs="Calibri"/>
                <w:b/>
                <w:iCs/>
                <w:lang w:val="en-GB"/>
              </w:rPr>
              <w:t xml:space="preserve">No. </w:t>
            </w:r>
            <w:r w:rsidRPr="00F30D75">
              <w:rPr>
                <w:rFonts w:cs="Calibri"/>
                <w:b/>
                <w:lang w:val="en-GB"/>
              </w:rPr>
              <w:t>hospital admissions</w:t>
            </w:r>
          </w:p>
        </w:tc>
        <w:tc>
          <w:tcPr>
            <w:tcW w:w="1929" w:type="dxa"/>
            <w:tcBorders>
              <w:top w:val="nil"/>
              <w:left w:val="nil"/>
              <w:bottom w:val="nil"/>
              <w:right w:val="nil"/>
            </w:tcBorders>
          </w:tcPr>
          <w:p w14:paraId="61D4B1A3" w14:textId="77777777" w:rsidR="00FB6AD0" w:rsidRPr="00C61784" w:rsidRDefault="00FB6AD0" w:rsidP="00BC703D">
            <w:pPr>
              <w:spacing w:after="0" w:line="240" w:lineRule="auto"/>
              <w:jc w:val="center"/>
              <w:rPr>
                <w:rFonts w:cs="Calibri"/>
                <w:szCs w:val="22"/>
                <w:lang w:val="en-GB"/>
              </w:rPr>
            </w:pPr>
            <w:r w:rsidRPr="00C61784">
              <w:rPr>
                <w:rFonts w:cs="Calibri"/>
                <w:szCs w:val="22"/>
                <w:lang w:val="en-GB"/>
              </w:rPr>
              <w:t>223</w:t>
            </w:r>
          </w:p>
        </w:tc>
        <w:tc>
          <w:tcPr>
            <w:tcW w:w="1736" w:type="dxa"/>
            <w:tcBorders>
              <w:top w:val="nil"/>
              <w:left w:val="nil"/>
              <w:bottom w:val="nil"/>
              <w:right w:val="nil"/>
            </w:tcBorders>
          </w:tcPr>
          <w:p w14:paraId="37AFB40D" w14:textId="77777777" w:rsidR="00FB6AD0" w:rsidRPr="00C61784" w:rsidRDefault="00FB6AD0" w:rsidP="00BC703D">
            <w:pPr>
              <w:spacing w:after="0" w:line="240" w:lineRule="auto"/>
              <w:jc w:val="center"/>
              <w:rPr>
                <w:rFonts w:cs="Calibri"/>
                <w:szCs w:val="22"/>
                <w:lang w:val="en-GB"/>
              </w:rPr>
            </w:pPr>
            <w:r w:rsidRPr="00C61784">
              <w:rPr>
                <w:rFonts w:cs="Calibri"/>
                <w:szCs w:val="22"/>
                <w:lang w:val="en-GB"/>
              </w:rPr>
              <w:t>487</w:t>
            </w:r>
          </w:p>
        </w:tc>
        <w:tc>
          <w:tcPr>
            <w:tcW w:w="1737" w:type="dxa"/>
            <w:tcBorders>
              <w:top w:val="nil"/>
              <w:left w:val="nil"/>
              <w:bottom w:val="nil"/>
              <w:right w:val="nil"/>
            </w:tcBorders>
          </w:tcPr>
          <w:p w14:paraId="6A9B1789" w14:textId="77777777" w:rsidR="00FB6AD0" w:rsidRPr="00C61784" w:rsidRDefault="00FB6AD0" w:rsidP="00BC703D">
            <w:pPr>
              <w:spacing w:after="0" w:line="240" w:lineRule="auto"/>
              <w:jc w:val="center"/>
              <w:rPr>
                <w:rFonts w:cs="Calibri"/>
                <w:szCs w:val="22"/>
                <w:lang w:val="en-GB"/>
              </w:rPr>
            </w:pPr>
            <w:r w:rsidRPr="00C61784">
              <w:rPr>
                <w:rFonts w:cs="Calibri"/>
                <w:szCs w:val="22"/>
                <w:lang w:val="en-GB"/>
              </w:rPr>
              <w:t>212</w:t>
            </w:r>
          </w:p>
        </w:tc>
        <w:tc>
          <w:tcPr>
            <w:tcW w:w="1543" w:type="dxa"/>
            <w:tcBorders>
              <w:top w:val="nil"/>
              <w:left w:val="nil"/>
              <w:bottom w:val="nil"/>
              <w:right w:val="nil"/>
            </w:tcBorders>
          </w:tcPr>
          <w:p w14:paraId="5AE2C12E" w14:textId="77777777" w:rsidR="00FB6AD0" w:rsidRPr="00C61784" w:rsidRDefault="00FB6AD0" w:rsidP="00BC703D">
            <w:pPr>
              <w:spacing w:after="0" w:line="240" w:lineRule="auto"/>
              <w:jc w:val="center"/>
              <w:rPr>
                <w:rFonts w:cs="Calibri"/>
                <w:szCs w:val="22"/>
                <w:lang w:val="en-GB"/>
              </w:rPr>
            </w:pPr>
            <w:r w:rsidRPr="00C61784">
              <w:rPr>
                <w:rFonts w:cs="Calibri"/>
                <w:szCs w:val="22"/>
                <w:lang w:val="en-GB"/>
              </w:rPr>
              <w:t>448</w:t>
            </w:r>
          </w:p>
        </w:tc>
      </w:tr>
      <w:tr w:rsidR="00FB6AD0" w:rsidRPr="00C61784" w14:paraId="7379FE82" w14:textId="77777777" w:rsidTr="00F30D75">
        <w:tc>
          <w:tcPr>
            <w:tcW w:w="2694" w:type="dxa"/>
            <w:tcBorders>
              <w:top w:val="nil"/>
              <w:left w:val="nil"/>
              <w:bottom w:val="single" w:sz="4" w:space="0" w:color="auto"/>
              <w:right w:val="nil"/>
            </w:tcBorders>
          </w:tcPr>
          <w:p w14:paraId="22450AB1" w14:textId="77777777" w:rsidR="00FB6AD0" w:rsidRPr="00C61784" w:rsidRDefault="00FB6AD0" w:rsidP="00BC703D">
            <w:pPr>
              <w:tabs>
                <w:tab w:val="left" w:pos="285"/>
              </w:tabs>
              <w:spacing w:after="0" w:line="240" w:lineRule="auto"/>
              <w:rPr>
                <w:rFonts w:cs="Calibri"/>
                <w:szCs w:val="22"/>
                <w:lang w:val="en-GB"/>
              </w:rPr>
            </w:pPr>
            <w:r>
              <w:rPr>
                <w:rFonts w:cs="Calibri"/>
                <w:iCs/>
                <w:szCs w:val="22"/>
                <w:lang w:val="en-GB"/>
              </w:rPr>
              <w:t> </w:t>
            </w:r>
            <w:r w:rsidRPr="000E2B86">
              <w:rPr>
                <w:rFonts w:cs="Calibri"/>
                <w:iCs/>
                <w:szCs w:val="22"/>
                <w:lang w:val="en-GB"/>
              </w:rPr>
              <w:t xml:space="preserve">No. </w:t>
            </w:r>
            <w:r>
              <w:rPr>
                <w:rFonts w:cs="Calibri"/>
                <w:szCs w:val="22"/>
                <w:lang w:val="en-GB"/>
              </w:rPr>
              <w:t>(</w:t>
            </w:r>
            <w:r w:rsidRPr="00C61784">
              <w:rPr>
                <w:rFonts w:cs="Calibri"/>
                <w:szCs w:val="22"/>
                <w:lang w:val="en-GB"/>
              </w:rPr>
              <w:t>%</w:t>
            </w:r>
            <w:r>
              <w:rPr>
                <w:rFonts w:cs="Calibri"/>
                <w:szCs w:val="22"/>
                <w:lang w:val="en-GB"/>
              </w:rPr>
              <w:t>)</w:t>
            </w:r>
            <w:r w:rsidRPr="00C61784">
              <w:rPr>
                <w:rFonts w:cs="Calibri"/>
                <w:szCs w:val="22"/>
                <w:lang w:val="en-GB"/>
              </w:rPr>
              <w:t xml:space="preserve"> with cost data</w:t>
            </w:r>
          </w:p>
        </w:tc>
        <w:tc>
          <w:tcPr>
            <w:tcW w:w="1929" w:type="dxa"/>
            <w:tcBorders>
              <w:top w:val="nil"/>
              <w:left w:val="nil"/>
              <w:bottom w:val="single" w:sz="4" w:space="0" w:color="auto"/>
              <w:right w:val="nil"/>
            </w:tcBorders>
          </w:tcPr>
          <w:p w14:paraId="4DB7E704" w14:textId="77777777" w:rsidR="00FB6AD0" w:rsidRPr="00C61784" w:rsidRDefault="00FB6AD0">
            <w:pPr>
              <w:spacing w:after="0" w:line="240" w:lineRule="auto"/>
              <w:jc w:val="center"/>
              <w:rPr>
                <w:rFonts w:asciiTheme="minorHAnsi" w:eastAsiaTheme="minorHAnsi" w:hAnsiTheme="minorHAnsi" w:cs="Calibri"/>
                <w:sz w:val="22"/>
                <w:szCs w:val="22"/>
                <w:lang w:val="en-GB" w:eastAsia="en-US"/>
              </w:rPr>
            </w:pPr>
            <w:r w:rsidRPr="00C61784">
              <w:rPr>
                <w:rFonts w:cs="Calibri"/>
                <w:szCs w:val="22"/>
                <w:lang w:val="en-GB"/>
              </w:rPr>
              <w:t>223 (100)</w:t>
            </w:r>
          </w:p>
        </w:tc>
        <w:tc>
          <w:tcPr>
            <w:tcW w:w="1736" w:type="dxa"/>
            <w:tcBorders>
              <w:top w:val="nil"/>
              <w:left w:val="nil"/>
              <w:bottom w:val="single" w:sz="4" w:space="0" w:color="auto"/>
              <w:right w:val="nil"/>
            </w:tcBorders>
          </w:tcPr>
          <w:p w14:paraId="23265F91" w14:textId="77777777" w:rsidR="00FB6AD0" w:rsidRPr="00C61784" w:rsidRDefault="00FB6AD0" w:rsidP="00F30D75">
            <w:pPr>
              <w:spacing w:after="0" w:line="240" w:lineRule="auto"/>
              <w:jc w:val="center"/>
              <w:rPr>
                <w:rFonts w:asciiTheme="majorHAnsi" w:eastAsiaTheme="majorEastAsia" w:hAnsiTheme="majorHAnsi" w:cs="Calibri"/>
                <w:color w:val="404040" w:themeColor="text1" w:themeTint="BF"/>
                <w:szCs w:val="22"/>
                <w:lang w:val="en-GB" w:eastAsia="en-US"/>
              </w:rPr>
            </w:pPr>
            <w:r w:rsidRPr="00C61784">
              <w:rPr>
                <w:rFonts w:cs="Calibri"/>
                <w:szCs w:val="22"/>
                <w:lang w:val="en-GB"/>
              </w:rPr>
              <w:t>266 (75.4)</w:t>
            </w:r>
          </w:p>
        </w:tc>
        <w:tc>
          <w:tcPr>
            <w:tcW w:w="1737" w:type="dxa"/>
            <w:tcBorders>
              <w:top w:val="nil"/>
              <w:left w:val="nil"/>
              <w:bottom w:val="single" w:sz="4" w:space="0" w:color="auto"/>
              <w:right w:val="nil"/>
            </w:tcBorders>
          </w:tcPr>
          <w:p w14:paraId="122D12B9" w14:textId="77777777" w:rsidR="00FB6AD0" w:rsidRPr="00C61784" w:rsidRDefault="00FB6AD0" w:rsidP="00F30D75">
            <w:pPr>
              <w:spacing w:after="0" w:line="240" w:lineRule="auto"/>
              <w:jc w:val="center"/>
              <w:rPr>
                <w:rFonts w:asciiTheme="majorHAnsi" w:eastAsiaTheme="majorEastAsia" w:hAnsiTheme="majorHAnsi" w:cs="Calibri"/>
                <w:color w:val="404040" w:themeColor="text1" w:themeTint="BF"/>
                <w:szCs w:val="22"/>
                <w:lang w:val="en-GB" w:eastAsia="en-US"/>
              </w:rPr>
            </w:pPr>
            <w:r w:rsidRPr="00C61784">
              <w:rPr>
                <w:rFonts w:cs="Calibri"/>
                <w:szCs w:val="22"/>
                <w:lang w:val="en-GB"/>
              </w:rPr>
              <w:t>209 (98.6)</w:t>
            </w:r>
          </w:p>
        </w:tc>
        <w:tc>
          <w:tcPr>
            <w:tcW w:w="1543" w:type="dxa"/>
            <w:tcBorders>
              <w:top w:val="nil"/>
              <w:left w:val="nil"/>
              <w:bottom w:val="single" w:sz="4" w:space="0" w:color="auto"/>
              <w:right w:val="nil"/>
            </w:tcBorders>
          </w:tcPr>
          <w:p w14:paraId="6633FCE6" w14:textId="77777777" w:rsidR="00FB6AD0" w:rsidRPr="00C61784" w:rsidRDefault="00FB6AD0" w:rsidP="00F30D75">
            <w:pPr>
              <w:spacing w:after="0" w:line="240" w:lineRule="auto"/>
              <w:jc w:val="center"/>
              <w:rPr>
                <w:rFonts w:asciiTheme="majorHAnsi" w:eastAsiaTheme="majorEastAsia" w:hAnsiTheme="majorHAnsi" w:cs="Calibri"/>
                <w:color w:val="404040" w:themeColor="text1" w:themeTint="BF"/>
                <w:szCs w:val="22"/>
                <w:lang w:val="en-GB" w:eastAsia="en-US"/>
              </w:rPr>
            </w:pPr>
            <w:r w:rsidRPr="00C61784">
              <w:rPr>
                <w:rFonts w:cs="Calibri"/>
                <w:szCs w:val="22"/>
                <w:lang w:val="en-GB"/>
              </w:rPr>
              <w:t>222 (73.9)</w:t>
            </w:r>
          </w:p>
        </w:tc>
      </w:tr>
    </w:tbl>
    <w:p w14:paraId="2A25C434" w14:textId="77777777" w:rsidR="00FB6AD0" w:rsidRPr="00C61784" w:rsidRDefault="00FB6AD0" w:rsidP="00BC703D">
      <w:pPr>
        <w:spacing w:after="0" w:line="240" w:lineRule="auto"/>
        <w:rPr>
          <w:rFonts w:ascii="Calibri" w:eastAsia="Times New Roman" w:hAnsi="Calibri" w:cs="Calibri"/>
          <w:color w:val="000000"/>
          <w:lang w:val="en-GB" w:eastAsia="en-AU"/>
        </w:rPr>
      </w:pPr>
    </w:p>
    <w:p w14:paraId="05E4C5DA" w14:textId="77777777" w:rsidR="00FB6AD0" w:rsidRPr="00C61784" w:rsidRDefault="00FB6AD0" w:rsidP="00BC703D">
      <w:pPr>
        <w:autoSpaceDE w:val="0"/>
        <w:autoSpaceDN w:val="0"/>
        <w:adjustRightInd w:val="0"/>
        <w:spacing w:after="0" w:line="240" w:lineRule="auto"/>
        <w:rPr>
          <w:rFonts w:ascii="Calibri" w:eastAsia="Times New Roman" w:hAnsi="Calibri" w:cs="Calibri"/>
          <w:b/>
          <w:color w:val="000000"/>
          <w:lang w:val="en-GB" w:eastAsia="en-AU"/>
        </w:rPr>
      </w:pPr>
      <w:r w:rsidRPr="00C61784">
        <w:rPr>
          <w:rFonts w:ascii="Calibri" w:eastAsia="Times New Roman" w:hAnsi="Calibri" w:cs="Calibri"/>
          <w:b/>
          <w:color w:val="000000"/>
          <w:lang w:val="en-GB" w:eastAsia="en-AU"/>
        </w:rPr>
        <w:t>Analytical methods</w:t>
      </w:r>
    </w:p>
    <w:p w14:paraId="3486F032"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Analyses were conducted in MS Excel and Stata version 17.0</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p>
    <w:p w14:paraId="37B98A40"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p>
    <w:p w14:paraId="63F99C27"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b/>
          <w:bCs/>
          <w:color w:val="000000"/>
          <w:lang w:val="en-GB" w:eastAsia="en-AU"/>
        </w:rPr>
      </w:pPr>
      <w:r w:rsidRPr="00C61784">
        <w:rPr>
          <w:rFonts w:ascii="Calibri" w:eastAsia="Times New Roman" w:hAnsi="Calibri" w:cs="Calibri"/>
          <w:b/>
          <w:bCs/>
          <w:color w:val="000000"/>
          <w:lang w:val="en-GB" w:eastAsia="en-AU"/>
        </w:rPr>
        <w:t>Base case analysis</w:t>
      </w:r>
    </w:p>
    <w:p w14:paraId="79E87B60"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 xml:space="preserve">The primary outcome was calculated using responses to the EQ-5D-5L questionnaire. Patients did not complete EQ-5D-5L questionnaires at 24 months; 12-month responses were extrapolated to 24 months, </w:t>
      </w:r>
      <w:proofErr w:type="gramStart"/>
      <w:r w:rsidRPr="00C61784">
        <w:rPr>
          <w:rFonts w:ascii="Calibri" w:eastAsia="Times New Roman" w:hAnsi="Calibri" w:cs="Calibri"/>
          <w:color w:val="000000"/>
          <w:lang w:val="en-GB" w:eastAsia="en-AU"/>
        </w:rPr>
        <w:t>assuming that</w:t>
      </w:r>
      <w:proofErr w:type="gramEnd"/>
      <w:r w:rsidRPr="00C61784">
        <w:rPr>
          <w:rFonts w:ascii="Calibri" w:eastAsia="Times New Roman" w:hAnsi="Calibri" w:cs="Calibri"/>
          <w:color w:val="000000"/>
          <w:lang w:val="en-GB" w:eastAsia="en-AU"/>
        </w:rPr>
        <w:t xml:space="preserve"> the effectiveness or intervention gains at 12 months were sustained at 24 months. In line with EQ-5D conventions, </w:t>
      </w:r>
      <w:r>
        <w:rPr>
          <w:rFonts w:ascii="Calibri" w:eastAsia="Times New Roman" w:hAnsi="Calibri" w:cs="Calibri"/>
          <w:color w:val="000000"/>
          <w:lang w:val="en-GB" w:eastAsia="en-AU"/>
        </w:rPr>
        <w:t xml:space="preserve">people who were </w:t>
      </w:r>
      <w:r w:rsidRPr="00C61784">
        <w:rPr>
          <w:rFonts w:ascii="Calibri" w:eastAsia="Times New Roman" w:hAnsi="Calibri" w:cs="Calibri"/>
          <w:color w:val="000000"/>
          <w:lang w:val="en-GB" w:eastAsia="en-AU"/>
        </w:rPr>
        <w:t xml:space="preserve">deceased at </w:t>
      </w:r>
      <w:r>
        <w:rPr>
          <w:rFonts w:ascii="Calibri" w:eastAsia="Times New Roman" w:hAnsi="Calibri" w:cs="Calibri"/>
          <w:color w:val="000000"/>
          <w:lang w:val="en-GB" w:eastAsia="en-AU"/>
        </w:rPr>
        <w:t xml:space="preserve">the </w:t>
      </w:r>
      <w:r w:rsidRPr="00C61784">
        <w:rPr>
          <w:rFonts w:ascii="Calibri" w:eastAsia="Times New Roman" w:hAnsi="Calibri" w:cs="Calibri"/>
          <w:color w:val="000000"/>
          <w:lang w:val="en-GB" w:eastAsia="en-AU"/>
        </w:rPr>
        <w:t xml:space="preserve">24-month follow-up were assigned a score of </w:t>
      </w:r>
      <w:r>
        <w:rPr>
          <w:rFonts w:ascii="Calibri" w:eastAsia="Times New Roman" w:hAnsi="Calibri" w:cs="Calibri"/>
          <w:color w:val="000000"/>
          <w:lang w:val="en-GB" w:eastAsia="en-AU"/>
        </w:rPr>
        <w:t>0</w:t>
      </w:r>
      <w:r w:rsidRPr="00C61784">
        <w:rPr>
          <w:rFonts w:ascii="Calibri" w:eastAsia="Times New Roman" w:hAnsi="Calibri" w:cs="Calibri"/>
          <w:color w:val="000000"/>
          <w:lang w:val="en-GB" w:eastAsia="en-AU"/>
        </w:rPr>
        <w:t xml:space="preserve">. Patients in the child cohort (who completed the proxy or youth versions of the EQ-5D questionnaire) were not included in the analysis. Best practice economic evaluation was conducted to establish whether the intervention was value for money compared </w:t>
      </w:r>
      <w:r>
        <w:rPr>
          <w:rFonts w:ascii="Calibri" w:eastAsia="Times New Roman" w:hAnsi="Calibri" w:cs="Calibri"/>
          <w:color w:val="000000"/>
          <w:lang w:val="en-GB" w:eastAsia="en-AU"/>
        </w:rPr>
        <w:t>with</w:t>
      </w:r>
      <w:r w:rsidRPr="00C61784">
        <w:rPr>
          <w:rFonts w:ascii="Calibri" w:eastAsia="Times New Roman" w:hAnsi="Calibri" w:cs="Calibri"/>
          <w:color w:val="000000"/>
          <w:lang w:val="en-GB" w:eastAsia="en-AU"/>
        </w:rPr>
        <w:t xml:space="preserve"> usual care. An incremental approach was used to determine, where appropriate, the incremental cost-effectiveness ratios (ICERs)</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expressed as the incremental cost per QALY gained. ICERs were calculated by dividing the difference in total costs (incremental costs) by the difference in the QALY gains (incremental effect) </w:t>
      </w:r>
      <w:r w:rsidRPr="00C61784">
        <w:rPr>
          <w:rFonts w:ascii="Calibri" w:eastAsia="Times New Roman" w:hAnsi="Calibri" w:cs="Calibri"/>
          <w:noProof/>
          <w:color w:val="000000"/>
          <w:lang w:val="en-GB" w:eastAsia="en-AU"/>
        </w:rPr>
        <w:t>[</w:t>
      </w:r>
      <w:r>
        <w:rPr>
          <w:rFonts w:ascii="Calibri" w:eastAsia="Times New Roman" w:hAnsi="Calibri" w:cs="Calibri"/>
          <w:noProof/>
          <w:color w:val="000000"/>
          <w:lang w:val="en-GB" w:eastAsia="en-AU"/>
        </w:rPr>
        <w:t>3</w:t>
      </w:r>
      <w:r w:rsidRPr="00C61784">
        <w:rPr>
          <w:rFonts w:ascii="Calibri" w:eastAsia="Times New Roman" w:hAnsi="Calibri" w:cs="Calibri"/>
          <w:noProof/>
          <w:color w:val="000000"/>
          <w:lang w:val="en-GB" w:eastAsia="en-AU"/>
        </w:rPr>
        <w:t>]</w:t>
      </w:r>
      <w:r w:rsidRPr="00C61784">
        <w:rPr>
          <w:rFonts w:ascii="Calibri" w:eastAsia="Times New Roman" w:hAnsi="Calibri" w:cs="Calibri"/>
          <w:color w:val="000000"/>
          <w:lang w:val="en-GB" w:eastAsia="en-AU"/>
        </w:rPr>
        <w:t xml:space="preserve">. An intention-to-treat approach </w:t>
      </w:r>
      <w:r w:rsidRPr="00C61784">
        <w:rPr>
          <w:rFonts w:ascii="Calibri" w:eastAsia="Times New Roman" w:hAnsi="Calibri" w:cs="Calibri"/>
          <w:noProof/>
          <w:color w:val="000000"/>
          <w:lang w:val="en-GB" w:eastAsia="en-AU"/>
        </w:rPr>
        <w:t>[</w:t>
      </w:r>
      <w:r>
        <w:rPr>
          <w:rFonts w:ascii="Calibri" w:eastAsia="Times New Roman" w:hAnsi="Calibri" w:cs="Calibri"/>
          <w:noProof/>
          <w:color w:val="000000"/>
          <w:lang w:val="en-GB" w:eastAsia="en-AU"/>
        </w:rPr>
        <w:t>1</w:t>
      </w:r>
      <w:r w:rsidRPr="00C61784">
        <w:rPr>
          <w:rFonts w:ascii="Calibri" w:eastAsia="Times New Roman" w:hAnsi="Calibri" w:cs="Calibri"/>
          <w:noProof/>
          <w:color w:val="000000"/>
          <w:lang w:val="en-GB" w:eastAsia="en-AU"/>
        </w:rPr>
        <w:t>]</w:t>
      </w:r>
      <w:r w:rsidRPr="00C61784">
        <w:rPr>
          <w:rFonts w:ascii="Calibri" w:eastAsia="Times New Roman" w:hAnsi="Calibri" w:cs="Calibri"/>
          <w:color w:val="000000"/>
          <w:lang w:val="en-GB" w:eastAsia="en-AU"/>
        </w:rPr>
        <w:t xml:space="preserve"> was taken in the analysis. </w:t>
      </w:r>
    </w:p>
    <w:p w14:paraId="66D211B3"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p>
    <w:p w14:paraId="23FDFBBC"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 xml:space="preserve">The statistical analysis was based on a linear mixed model (LMM) and assumed that any missing data were missing at random </w:t>
      </w:r>
      <w:r w:rsidRPr="00C61784">
        <w:rPr>
          <w:rFonts w:ascii="Calibri" w:eastAsia="Times New Roman" w:hAnsi="Calibri" w:cs="Calibri"/>
          <w:noProof/>
          <w:color w:val="000000"/>
          <w:lang w:val="en-GB" w:eastAsia="en-AU"/>
        </w:rPr>
        <w:t>[1</w:t>
      </w:r>
      <w:r>
        <w:rPr>
          <w:rFonts w:ascii="Calibri" w:eastAsia="Times New Roman" w:hAnsi="Calibri" w:cs="Calibri"/>
          <w:noProof/>
          <w:color w:val="000000"/>
          <w:lang w:val="en-GB" w:eastAsia="en-AU"/>
        </w:rPr>
        <w:t>0</w:t>
      </w:r>
      <w:r w:rsidRPr="00C61784">
        <w:rPr>
          <w:rFonts w:ascii="Calibri" w:eastAsia="Times New Roman" w:hAnsi="Calibri" w:cs="Calibri"/>
          <w:noProof/>
          <w:color w:val="000000"/>
          <w:lang w:val="en-GB" w:eastAsia="en-AU"/>
        </w:rPr>
        <w:t>]</w:t>
      </w:r>
      <w:r w:rsidRPr="00C61784">
        <w:rPr>
          <w:rFonts w:ascii="Calibri" w:eastAsia="Times New Roman" w:hAnsi="Calibri" w:cs="Calibri"/>
          <w:color w:val="000000"/>
          <w:lang w:val="en-GB" w:eastAsia="en-AU"/>
        </w:rPr>
        <w:t xml:space="preserve">. Inferences based on the LMM are valid when data are assumed to be missing at random. Analyses comparing QALY gains over the trial period also controlled for baseline differences in EQ-5D-5L utility </w:t>
      </w:r>
      <w:r w:rsidRPr="00C61784">
        <w:rPr>
          <w:rFonts w:ascii="Calibri" w:eastAsia="Times New Roman" w:hAnsi="Calibri" w:cs="Calibri"/>
          <w:noProof/>
          <w:color w:val="000000"/>
          <w:lang w:val="en-GB" w:eastAsia="en-AU"/>
        </w:rPr>
        <w:t>[1</w:t>
      </w:r>
      <w:r>
        <w:rPr>
          <w:rFonts w:ascii="Calibri" w:eastAsia="Times New Roman" w:hAnsi="Calibri" w:cs="Calibri"/>
          <w:noProof/>
          <w:color w:val="000000"/>
          <w:lang w:val="en-GB" w:eastAsia="en-AU"/>
        </w:rPr>
        <w:t>1</w:t>
      </w:r>
      <w:r w:rsidRPr="00C61784">
        <w:rPr>
          <w:rFonts w:ascii="Calibri" w:eastAsia="Times New Roman" w:hAnsi="Calibri" w:cs="Calibri"/>
          <w:noProof/>
          <w:color w:val="000000"/>
          <w:lang w:val="en-GB" w:eastAsia="en-AU"/>
        </w:rPr>
        <w:t>]</w:t>
      </w:r>
      <w:r w:rsidRPr="00C61784">
        <w:rPr>
          <w:rFonts w:ascii="Calibri" w:eastAsia="Times New Roman" w:hAnsi="Calibri" w:cs="Calibri"/>
          <w:color w:val="000000"/>
          <w:lang w:val="en-GB" w:eastAsia="en-AU"/>
        </w:rPr>
        <w:t xml:space="preserve"> within the LMM by including the baseline EQ-5D-5L score as a covariate. </w:t>
      </w:r>
    </w:p>
    <w:p w14:paraId="61AF30DD"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p>
    <w:p w14:paraId="18F278C3"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 xml:space="preserve">Within-trial economic evaluation with respect to QALYs was conducted, allowing for bivariate uncertainty with bootstrapping of patient costs and effects to maintain the covariance structure. Mean (standard error) and mean differences in costs and outcomes are reported with 95% bootstrapped confidence intervals (CI). Non-parametric bootstrapping </w:t>
      </w:r>
      <w:r w:rsidRPr="00C61784">
        <w:rPr>
          <w:rFonts w:ascii="Calibri" w:eastAsia="Times New Roman" w:hAnsi="Calibri" w:cs="Calibri"/>
          <w:noProof/>
          <w:color w:val="000000"/>
          <w:lang w:val="en-GB" w:eastAsia="en-AU"/>
        </w:rPr>
        <w:t>[1</w:t>
      </w:r>
      <w:r>
        <w:rPr>
          <w:rFonts w:ascii="Calibri" w:eastAsia="Times New Roman" w:hAnsi="Calibri" w:cs="Calibri"/>
          <w:noProof/>
          <w:color w:val="000000"/>
          <w:lang w:val="en-GB" w:eastAsia="en-AU"/>
        </w:rPr>
        <w:t>2</w:t>
      </w:r>
      <w:r w:rsidRPr="00C61784">
        <w:rPr>
          <w:rFonts w:ascii="Calibri" w:eastAsia="Times New Roman" w:hAnsi="Calibri" w:cs="Calibri"/>
          <w:noProof/>
          <w:color w:val="000000"/>
          <w:lang w:val="en-GB" w:eastAsia="en-AU"/>
        </w:rPr>
        <w:t>]</w:t>
      </w:r>
      <w:r w:rsidRPr="00C61784">
        <w:rPr>
          <w:rFonts w:ascii="Calibri" w:eastAsia="Times New Roman" w:hAnsi="Calibri" w:cs="Calibri"/>
          <w:color w:val="000000"/>
          <w:lang w:val="en-GB" w:eastAsia="en-AU"/>
        </w:rPr>
        <w:t xml:space="preserve"> was used to determine </w:t>
      </w:r>
      <w:r w:rsidRPr="00C61784">
        <w:rPr>
          <w:rFonts w:ascii="Calibri" w:eastAsia="Times New Roman" w:hAnsi="Calibri" w:cs="Calibri"/>
          <w:color w:val="000000"/>
          <w:lang w:val="en-GB" w:eastAsia="en-AU"/>
        </w:rPr>
        <w:lastRenderedPageBreak/>
        <w:t xml:space="preserve">1000 paired estimates of mean differences in costs and outcomes from patient-level data. These bootstrapped pairs are presented as cost-effectiveness planes (CEPs) </w:t>
      </w:r>
      <w:r w:rsidRPr="00C61784">
        <w:rPr>
          <w:rFonts w:ascii="Calibri" w:eastAsia="Times New Roman" w:hAnsi="Calibri" w:cs="Calibri"/>
          <w:noProof/>
          <w:color w:val="000000"/>
          <w:lang w:val="en-GB" w:eastAsia="en-AU"/>
        </w:rPr>
        <w:t>[1</w:t>
      </w:r>
      <w:r>
        <w:rPr>
          <w:rFonts w:ascii="Calibri" w:eastAsia="Times New Roman" w:hAnsi="Calibri" w:cs="Calibri"/>
          <w:noProof/>
          <w:color w:val="000000"/>
          <w:lang w:val="en-GB" w:eastAsia="en-AU"/>
        </w:rPr>
        <w:t>3</w:t>
      </w:r>
      <w:r w:rsidRPr="00C61784">
        <w:rPr>
          <w:rFonts w:ascii="Calibri" w:eastAsia="Times New Roman" w:hAnsi="Calibri" w:cs="Calibri"/>
          <w:noProof/>
          <w:color w:val="000000"/>
          <w:lang w:val="en-GB" w:eastAsia="en-AU"/>
        </w:rPr>
        <w:t>]</w:t>
      </w:r>
      <w:r w:rsidRPr="00C61784">
        <w:rPr>
          <w:rFonts w:ascii="Calibri" w:eastAsia="Times New Roman" w:hAnsi="Calibri" w:cs="Calibri"/>
          <w:color w:val="000000"/>
          <w:lang w:val="en-GB" w:eastAsia="en-AU"/>
        </w:rPr>
        <w:t xml:space="preserve">. </w:t>
      </w:r>
    </w:p>
    <w:p w14:paraId="290F8897"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p>
    <w:p w14:paraId="53F7C1BA"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 xml:space="preserve">To further characterise the uncertainty in the economic evaluation results, cost-effectiveness acceptability curves (CEACs) were constructed. CEACs show the probability of the intervention arm being cost-effective compared </w:t>
      </w:r>
      <w:r>
        <w:rPr>
          <w:rFonts w:ascii="Calibri" w:eastAsia="Times New Roman" w:hAnsi="Calibri" w:cs="Calibri"/>
          <w:color w:val="000000"/>
          <w:lang w:val="en-GB" w:eastAsia="en-AU"/>
        </w:rPr>
        <w:t>with</w:t>
      </w:r>
      <w:r w:rsidRPr="00C61784">
        <w:rPr>
          <w:rFonts w:ascii="Calibri" w:eastAsia="Times New Roman" w:hAnsi="Calibri" w:cs="Calibri"/>
          <w:color w:val="000000"/>
          <w:lang w:val="en-GB" w:eastAsia="en-AU"/>
        </w:rPr>
        <w:t xml:space="preserve"> the control arm at different willingness-to-pay (WTP) thresholds. A WTP threshold of A$50,000 per QALY gained was used. This is the implicit criterion for assessing the cost-effectiveness of new pharmaceuticals and medical services in Australia </w:t>
      </w:r>
      <w:r w:rsidRPr="00C61784">
        <w:rPr>
          <w:rFonts w:ascii="Calibri" w:eastAsia="Times New Roman" w:hAnsi="Calibri" w:cs="Calibri"/>
          <w:noProof/>
          <w:color w:val="000000"/>
          <w:lang w:val="en-GB" w:eastAsia="en-AU"/>
        </w:rPr>
        <w:t>[1</w:t>
      </w:r>
      <w:r>
        <w:rPr>
          <w:rFonts w:ascii="Calibri" w:eastAsia="Times New Roman" w:hAnsi="Calibri" w:cs="Calibri"/>
          <w:noProof/>
          <w:color w:val="000000"/>
          <w:lang w:val="en-GB" w:eastAsia="en-AU"/>
        </w:rPr>
        <w:t>4</w:t>
      </w:r>
      <w:r w:rsidRPr="00C61784">
        <w:rPr>
          <w:rFonts w:ascii="Calibri" w:eastAsia="Times New Roman" w:hAnsi="Calibri" w:cs="Calibri"/>
          <w:noProof/>
          <w:color w:val="000000"/>
          <w:lang w:val="en-GB" w:eastAsia="en-AU"/>
        </w:rPr>
        <w:t>]</w:t>
      </w:r>
      <w:r w:rsidRPr="00C61784">
        <w:rPr>
          <w:rFonts w:ascii="Calibri" w:eastAsia="Times New Roman" w:hAnsi="Calibri" w:cs="Calibri"/>
          <w:color w:val="000000"/>
          <w:lang w:val="en-GB" w:eastAsia="en-AU"/>
        </w:rPr>
        <w:t xml:space="preserve">. </w:t>
      </w:r>
    </w:p>
    <w:p w14:paraId="62CFD13D"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p>
    <w:p w14:paraId="599AF4BD"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i/>
          <w:iCs/>
          <w:color w:val="000000"/>
          <w:lang w:val="en-GB" w:eastAsia="en-AU"/>
        </w:rPr>
      </w:pPr>
      <w:r w:rsidRPr="00C61784">
        <w:rPr>
          <w:rFonts w:ascii="Calibri" w:eastAsia="Times New Roman" w:hAnsi="Calibri" w:cs="Calibri"/>
          <w:i/>
          <w:iCs/>
          <w:color w:val="000000"/>
          <w:lang w:val="en-GB" w:eastAsia="en-AU"/>
        </w:rPr>
        <w:t>Subgroup analyses</w:t>
      </w:r>
    </w:p>
    <w:p w14:paraId="28ABDFDC"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Subgroup analyses were performed for the cohorts of adults (patients between 18</w:t>
      </w:r>
      <w:r>
        <w:rPr>
          <w:rFonts w:ascii="Calibri" w:eastAsia="Times New Roman" w:hAnsi="Calibri" w:cs="Calibri"/>
          <w:color w:val="000000"/>
          <w:lang w:val="en-GB" w:eastAsia="en-AU"/>
        </w:rPr>
        <w:t xml:space="preserve"> and </w:t>
      </w:r>
      <w:r w:rsidRPr="00C61784">
        <w:rPr>
          <w:rFonts w:ascii="Calibri" w:eastAsia="Times New Roman" w:hAnsi="Calibri" w:cs="Calibri"/>
          <w:color w:val="000000"/>
          <w:lang w:val="en-GB" w:eastAsia="en-AU"/>
        </w:rPr>
        <w:t xml:space="preserve">64 years </w:t>
      </w:r>
      <w:r>
        <w:rPr>
          <w:rFonts w:ascii="Calibri" w:eastAsia="Times New Roman" w:hAnsi="Calibri" w:cs="Calibri"/>
          <w:color w:val="000000"/>
          <w:lang w:val="en-GB" w:eastAsia="en-AU"/>
        </w:rPr>
        <w:t xml:space="preserve">of age </w:t>
      </w:r>
      <w:r w:rsidRPr="00C61784">
        <w:rPr>
          <w:rFonts w:ascii="Calibri" w:eastAsia="Times New Roman" w:hAnsi="Calibri" w:cs="Calibri"/>
          <w:color w:val="000000"/>
          <w:lang w:val="en-GB" w:eastAsia="en-AU"/>
        </w:rPr>
        <w:t>with two or more chronic illnesses</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sidRPr="00C61784">
        <w:rPr>
          <w:rFonts w:ascii="Calibri" w:eastAsia="Times New Roman" w:hAnsi="Calibri" w:cs="Calibri"/>
          <w:i/>
          <w:iCs/>
          <w:color w:val="000000"/>
          <w:lang w:val="en-GB" w:eastAsia="en-AU"/>
        </w:rPr>
        <w:t>n</w:t>
      </w:r>
      <w:r w:rsidRPr="00C61784">
        <w:rPr>
          <w:rFonts w:ascii="Calibri" w:eastAsia="Times New Roman" w:hAnsi="Calibri" w:cs="Calibri"/>
          <w:color w:val="000000"/>
          <w:lang w:val="en-GB" w:eastAsia="en-AU"/>
        </w:rPr>
        <w:t xml:space="preserve"> = 315) and older adults (patients aged </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65 years</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sidRPr="00C61784">
        <w:rPr>
          <w:rFonts w:ascii="Calibri" w:eastAsia="Times New Roman" w:hAnsi="Calibri" w:cs="Calibri"/>
          <w:i/>
          <w:iCs/>
          <w:color w:val="000000"/>
          <w:lang w:val="en-GB" w:eastAsia="en-AU"/>
        </w:rPr>
        <w:t>n</w:t>
      </w:r>
      <w:r w:rsidRPr="00C61784">
        <w:rPr>
          <w:rFonts w:ascii="Calibri" w:eastAsia="Times New Roman" w:hAnsi="Calibri" w:cs="Calibri"/>
          <w:color w:val="000000"/>
          <w:lang w:val="en-GB" w:eastAsia="en-AU"/>
        </w:rPr>
        <w:t xml:space="preserve"> = 671).</w:t>
      </w:r>
    </w:p>
    <w:p w14:paraId="64B7D5A8"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p>
    <w:p w14:paraId="7B8C8CF5"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i/>
          <w:iCs/>
          <w:color w:val="000000"/>
          <w:lang w:val="en-GB" w:eastAsia="en-AU"/>
        </w:rPr>
      </w:pPr>
      <w:r w:rsidRPr="00C61784">
        <w:rPr>
          <w:rFonts w:ascii="Calibri" w:eastAsia="Times New Roman" w:hAnsi="Calibri" w:cs="Calibri"/>
          <w:i/>
          <w:iCs/>
          <w:color w:val="000000"/>
          <w:lang w:val="en-GB" w:eastAsia="en-AU"/>
        </w:rPr>
        <w:t>Sensitivity analyses</w:t>
      </w:r>
    </w:p>
    <w:p w14:paraId="5A0887AA" w14:textId="77777777" w:rsidR="00FB6AD0" w:rsidRPr="00C61784" w:rsidRDefault="00FB6AD0" w:rsidP="00724406">
      <w:pPr>
        <w:autoSpaceDE w:val="0"/>
        <w:autoSpaceDN w:val="0"/>
        <w:adjustRightInd w:val="0"/>
        <w:spacing w:after="0" w:line="240" w:lineRule="auto"/>
        <w:jc w:val="both"/>
        <w:rPr>
          <w:rFonts w:ascii="Calibri" w:eastAsia="Times New Roman" w:hAnsi="Calibri" w:cs="Calibri"/>
          <w:lang w:val="en-GB" w:eastAsia="en-AU"/>
        </w:rPr>
      </w:pPr>
      <w:bookmarkStart w:id="5" w:name="_Hlk117514556"/>
      <w:r w:rsidRPr="00C61784">
        <w:rPr>
          <w:rFonts w:ascii="Calibri" w:eastAsia="Times New Roman" w:hAnsi="Calibri" w:cs="Calibri"/>
          <w:lang w:val="en-GB" w:eastAsia="en-AU"/>
        </w:rPr>
        <w:t xml:space="preserve">Two sensitivity analyses examined the impact of varying intervention effectiveness assumptions while costs remained unchanged. The first examined the impact of assuming a 5% drop in the effectiveness of the intervention at the 24-month follow-up. The second considered a more significant drop in the effectiveness of 25%. For postintervention periods, costs comprised just those for hospital, </w:t>
      </w:r>
      <w:proofErr w:type="gramStart"/>
      <w:r w:rsidRPr="00C61784">
        <w:rPr>
          <w:rFonts w:ascii="Calibri" w:eastAsia="Times New Roman" w:hAnsi="Calibri" w:cs="Calibri"/>
          <w:lang w:val="en-GB" w:eastAsia="en-AU"/>
        </w:rPr>
        <w:t>Medicare</w:t>
      </w:r>
      <w:proofErr w:type="gramEnd"/>
      <w:r w:rsidRPr="00C61784">
        <w:rPr>
          <w:rFonts w:ascii="Calibri" w:eastAsia="Times New Roman" w:hAnsi="Calibri" w:cs="Calibri"/>
          <w:lang w:val="en-GB" w:eastAsia="en-AU"/>
        </w:rPr>
        <w:t xml:space="preserve"> and PBS resource use. Post-baseline </w:t>
      </w:r>
      <w:r>
        <w:rPr>
          <w:rFonts w:ascii="Calibri" w:eastAsia="Times New Roman" w:hAnsi="Calibri" w:cs="Calibri"/>
          <w:lang w:val="en-GB" w:eastAsia="en-AU"/>
        </w:rPr>
        <w:t>two</w:t>
      </w:r>
      <w:r w:rsidRPr="00C61784">
        <w:rPr>
          <w:rFonts w:ascii="Calibri" w:eastAsia="Times New Roman" w:hAnsi="Calibri" w:cs="Calibri"/>
          <w:lang w:val="en-GB" w:eastAsia="en-AU"/>
        </w:rPr>
        <w:t xml:space="preserve">-year costs and QALYs were discounted at 5% per Australian recommendations </w:t>
      </w:r>
      <w:bookmarkEnd w:id="5"/>
      <w:r w:rsidRPr="00C61784">
        <w:rPr>
          <w:rFonts w:ascii="Calibri" w:eastAsia="Times New Roman" w:hAnsi="Calibri" w:cs="Calibri"/>
          <w:noProof/>
          <w:lang w:val="en-GB" w:eastAsia="en-AU"/>
        </w:rPr>
        <w:t>[</w:t>
      </w:r>
      <w:r>
        <w:rPr>
          <w:rFonts w:ascii="Calibri" w:eastAsia="Times New Roman" w:hAnsi="Calibri" w:cs="Calibri"/>
          <w:noProof/>
          <w:lang w:val="en-GB" w:eastAsia="en-AU"/>
        </w:rPr>
        <w:t>2</w:t>
      </w:r>
      <w:r w:rsidRPr="00C61784">
        <w:rPr>
          <w:rFonts w:ascii="Calibri" w:eastAsia="Times New Roman" w:hAnsi="Calibri" w:cs="Calibri"/>
          <w:noProof/>
          <w:lang w:val="en-GB" w:eastAsia="en-AU"/>
        </w:rPr>
        <w:t>]</w:t>
      </w:r>
      <w:r w:rsidRPr="00C61784">
        <w:rPr>
          <w:rFonts w:ascii="Calibri" w:eastAsia="Times New Roman" w:hAnsi="Calibri" w:cs="Calibri"/>
          <w:lang w:val="en-GB" w:eastAsia="en-AU"/>
        </w:rPr>
        <w:t xml:space="preserve">. </w:t>
      </w:r>
    </w:p>
    <w:p w14:paraId="14497DEB" w14:textId="77777777" w:rsidR="00FB6AD0" w:rsidRPr="00C61784" w:rsidRDefault="00FB6AD0" w:rsidP="00BC703D">
      <w:pPr>
        <w:autoSpaceDE w:val="0"/>
        <w:autoSpaceDN w:val="0"/>
        <w:adjustRightInd w:val="0"/>
        <w:spacing w:after="0" w:line="240" w:lineRule="auto"/>
        <w:jc w:val="both"/>
        <w:rPr>
          <w:rFonts w:ascii="Calibri" w:eastAsia="Times New Roman" w:hAnsi="Calibri" w:cs="Calibri"/>
          <w:color w:val="000000"/>
          <w:lang w:val="en-GB" w:eastAsia="en-AU"/>
        </w:rPr>
      </w:pPr>
    </w:p>
    <w:p w14:paraId="62706F32" w14:textId="77777777" w:rsidR="00FB6AD0" w:rsidRPr="00C61784" w:rsidRDefault="00FB6AD0" w:rsidP="00BC703D">
      <w:pPr>
        <w:spacing w:after="0" w:line="240" w:lineRule="auto"/>
        <w:rPr>
          <w:rFonts w:ascii="Calibri" w:eastAsia="Times New Roman" w:hAnsi="Calibri" w:cs="Times New Roman"/>
          <w:b/>
          <w:bCs/>
          <w:szCs w:val="24"/>
          <w:lang w:val="en-GB" w:eastAsia="en-AU"/>
        </w:rPr>
      </w:pPr>
      <w:bookmarkStart w:id="6" w:name="_Toc50963364"/>
      <w:r w:rsidRPr="00C61784">
        <w:rPr>
          <w:rFonts w:ascii="Calibri" w:eastAsia="Times New Roman" w:hAnsi="Calibri" w:cs="Times New Roman"/>
          <w:b/>
          <w:bCs/>
          <w:szCs w:val="24"/>
          <w:lang w:val="en-GB" w:eastAsia="en-AU"/>
        </w:rPr>
        <w:t>Results</w:t>
      </w:r>
      <w:bookmarkEnd w:id="6"/>
    </w:p>
    <w:p w14:paraId="0E66AE4E"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p>
    <w:p w14:paraId="14399159"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r w:rsidRPr="00C61784">
        <w:rPr>
          <w:rFonts w:ascii="Calibri" w:eastAsia="Times New Roman" w:hAnsi="Calibri" w:cs="Calibri"/>
          <w:b/>
          <w:i/>
          <w:iCs/>
          <w:color w:val="000000"/>
          <w:lang w:val="en-GB" w:eastAsia="en-AU"/>
        </w:rPr>
        <w:t>Incremental costs and outcomes</w:t>
      </w:r>
    </w:p>
    <w:p w14:paraId="7F89C0D8" w14:textId="77777777" w:rsidR="00FB6AD0" w:rsidRPr="00C61784" w:rsidRDefault="00FB6AD0" w:rsidP="00BC703D">
      <w:pPr>
        <w:autoSpaceDE w:val="0"/>
        <w:autoSpaceDN w:val="0"/>
        <w:adjustRightInd w:val="0"/>
        <w:spacing w:after="0" w:line="240" w:lineRule="auto"/>
        <w:rPr>
          <w:rFonts w:ascii="Calibri" w:eastAsia="Times New Roman" w:hAnsi="Calibri" w:cs="Calibri"/>
          <w:bCs/>
          <w:color w:val="000000"/>
          <w:lang w:val="en-GB" w:eastAsia="en-AU"/>
        </w:rPr>
      </w:pPr>
    </w:p>
    <w:p w14:paraId="62B8238A" w14:textId="77777777" w:rsidR="00FB6AD0" w:rsidRPr="00C61784" w:rsidRDefault="00FB6AD0" w:rsidP="00BC703D">
      <w:pPr>
        <w:autoSpaceDE w:val="0"/>
        <w:autoSpaceDN w:val="0"/>
        <w:adjustRightInd w:val="0"/>
        <w:spacing w:after="0" w:line="240" w:lineRule="auto"/>
        <w:rPr>
          <w:rFonts w:ascii="Calibri" w:eastAsia="Times New Roman" w:hAnsi="Calibri" w:cs="Calibri"/>
          <w:bCs/>
          <w:i/>
          <w:iCs/>
          <w:color w:val="000000"/>
          <w:lang w:val="en-GB" w:eastAsia="en-AU"/>
        </w:rPr>
      </w:pPr>
      <w:bookmarkStart w:id="7" w:name="_Hlk116912849"/>
      <w:r w:rsidRPr="00C61784">
        <w:rPr>
          <w:rFonts w:ascii="Calibri" w:eastAsia="Times New Roman" w:hAnsi="Calibri" w:cs="Calibri"/>
          <w:bCs/>
          <w:i/>
          <w:iCs/>
          <w:color w:val="000000"/>
          <w:lang w:val="en-GB" w:eastAsia="en-AU"/>
        </w:rPr>
        <w:t>Base case analysis</w:t>
      </w:r>
    </w:p>
    <w:p w14:paraId="4D3855C0"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bookmarkStart w:id="8" w:name="_Hlk116996719"/>
      <w:r w:rsidRPr="00C61784">
        <w:rPr>
          <w:rFonts w:ascii="Calibri" w:eastAsia="Times New Roman" w:hAnsi="Calibri" w:cs="Calibri"/>
          <w:color w:val="000000"/>
          <w:lang w:val="en-GB" w:eastAsia="en-AU"/>
        </w:rPr>
        <w:t>At the 24-month follow-up (Main Paper, Table 4), the mean per</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patient total costs were higher in the intervention group </w:t>
      </w:r>
      <w:r>
        <w:rPr>
          <w:rFonts w:ascii="Calibri" w:eastAsia="Times New Roman" w:hAnsi="Calibri" w:cs="Calibri"/>
          <w:color w:val="000000"/>
          <w:lang w:val="en-GB" w:eastAsia="en-AU"/>
        </w:rPr>
        <w:t>than in</w:t>
      </w:r>
      <w:r w:rsidRPr="00C61784">
        <w:rPr>
          <w:rFonts w:ascii="Calibri" w:eastAsia="Times New Roman" w:hAnsi="Calibri" w:cs="Calibri"/>
          <w:color w:val="000000"/>
          <w:lang w:val="en-GB" w:eastAsia="en-AU"/>
        </w:rPr>
        <w:t xml:space="preserve"> the control group (by A$1237 per patient). This difference was not statistically significant (95% CI </w:t>
      </w:r>
      <w:r w:rsidRPr="008565CF">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A$4249 to A$6722</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sidRPr="00F30D75">
        <w:rPr>
          <w:rFonts w:ascii="Calibri" w:eastAsia="Times New Roman" w:hAnsi="Calibri" w:cs="Calibri"/>
          <w:i/>
          <w:color w:val="000000"/>
          <w:lang w:val="en-GB" w:eastAsia="en-AU"/>
        </w:rPr>
        <w:t>p</w:t>
      </w:r>
      <w:r w:rsidRPr="00C61784">
        <w:rPr>
          <w:rFonts w:ascii="Calibri" w:eastAsia="Times New Roman" w:hAnsi="Calibri" w:cs="Calibri"/>
          <w:color w:val="000000"/>
          <w:lang w:val="en-GB" w:eastAsia="en-AU"/>
        </w:rPr>
        <w:t xml:space="preserve"> = 0.659). The major cost drivers of the difference were intervention costs ($1026 per patient) and Medicare costs (higher by A$189 per patient in the intervention group</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95%</w:t>
      </w:r>
      <w:r>
        <w:rPr>
          <w:rFonts w:ascii="Calibri" w:eastAsia="Times New Roman" w:hAnsi="Calibri" w:cs="Calibri"/>
          <w:color w:val="000000"/>
          <w:lang w:val="en-GB" w:eastAsia="en-AU"/>
        </w:rPr>
        <w:t xml:space="preserve"> </w:t>
      </w:r>
      <w:r w:rsidRPr="00C61784">
        <w:rPr>
          <w:rFonts w:ascii="Calibri" w:eastAsia="Times New Roman" w:hAnsi="Calibri" w:cs="Calibri"/>
          <w:color w:val="000000"/>
          <w:lang w:val="en-GB" w:eastAsia="en-AU"/>
        </w:rPr>
        <w:t xml:space="preserve">CI </w:t>
      </w:r>
      <w:r w:rsidRPr="001C79A6">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A$115 to A$492). However, hospital costs were lower in the intervention group. Pharmaceutical (PBS) costs were higher in the intervention group by $95 per patient</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Pr>
          <w:rFonts w:ascii="Calibri" w:eastAsia="Times New Roman" w:hAnsi="Calibri" w:cs="Calibri"/>
          <w:color w:val="000000"/>
          <w:lang w:val="en-GB" w:eastAsia="en-AU"/>
        </w:rPr>
        <w:t>al</w:t>
      </w:r>
      <w:r w:rsidRPr="00C61784">
        <w:rPr>
          <w:rFonts w:ascii="Calibri" w:eastAsia="Times New Roman" w:hAnsi="Calibri" w:cs="Calibri"/>
          <w:color w:val="000000"/>
          <w:lang w:val="en-GB" w:eastAsia="en-AU"/>
        </w:rPr>
        <w:t xml:space="preserve">though this difference was not statistically significant (95% </w:t>
      </w:r>
      <w:r>
        <w:rPr>
          <w:rFonts w:ascii="Calibri" w:eastAsia="Times New Roman" w:hAnsi="Calibri" w:cs="Calibri"/>
          <w:color w:val="000000"/>
          <w:lang w:val="en-GB" w:eastAsia="en-AU"/>
        </w:rPr>
        <w:t>CI</w:t>
      </w:r>
      <w:r w:rsidRPr="00C61784">
        <w:rPr>
          <w:rFonts w:ascii="Calibri" w:eastAsia="Times New Roman" w:hAnsi="Calibri" w:cs="Calibri"/>
          <w:color w:val="000000"/>
          <w:lang w:val="en-GB" w:eastAsia="en-AU"/>
        </w:rPr>
        <w:t xml:space="preserve"> </w:t>
      </w:r>
      <w:r w:rsidRPr="001C79A6">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A$1334 to A$1524). </w:t>
      </w:r>
      <w:bookmarkEnd w:id="7"/>
      <w:r w:rsidRPr="00C61784">
        <w:rPr>
          <w:rFonts w:ascii="Calibri" w:eastAsia="Times New Roman" w:hAnsi="Calibri" w:cs="Calibri"/>
          <w:color w:val="000000"/>
          <w:lang w:val="en-GB" w:eastAsia="en-AU"/>
        </w:rPr>
        <w:t xml:space="preserve">The intervention was more effective than usual care in terms of EQ-5D-5L-based QALYs </w:t>
      </w:r>
      <w:r w:rsidRPr="00AE3426">
        <w:rPr>
          <w:rFonts w:ascii="Calibri" w:eastAsia="Times New Roman" w:hAnsi="Calibri" w:cs="Calibri"/>
          <w:color w:val="000000"/>
          <w:lang w:val="en-GB" w:eastAsia="en-AU"/>
        </w:rPr>
        <w:t>because</w:t>
      </w:r>
      <w:r w:rsidRPr="00C61784">
        <w:rPr>
          <w:rFonts w:ascii="Calibri" w:eastAsia="Times New Roman" w:hAnsi="Calibri" w:cs="Calibri"/>
          <w:color w:val="000000"/>
          <w:lang w:val="en-GB" w:eastAsia="en-AU"/>
        </w:rPr>
        <w:t xml:space="preserve"> it was associated with 0.068 more QALYs gained per patient, but this difference was not statistically significant (95% </w:t>
      </w:r>
      <w:r>
        <w:rPr>
          <w:rFonts w:ascii="Calibri" w:eastAsia="Times New Roman" w:hAnsi="Calibri" w:cs="Calibri"/>
          <w:color w:val="000000"/>
          <w:lang w:val="en-GB" w:eastAsia="en-AU"/>
        </w:rPr>
        <w:t>CI</w:t>
      </w:r>
      <w:r w:rsidRPr="00C61784">
        <w:rPr>
          <w:rFonts w:ascii="Calibri" w:eastAsia="Times New Roman" w:hAnsi="Calibri" w:cs="Calibri"/>
          <w:color w:val="000000"/>
          <w:lang w:val="en-GB" w:eastAsia="en-AU"/>
        </w:rPr>
        <w:t xml:space="preserve"> </w:t>
      </w:r>
      <w:r w:rsidRPr="00AE3426">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0.014 to 0.150</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sidRPr="00F30D75">
        <w:rPr>
          <w:rFonts w:ascii="Calibri" w:eastAsia="Times New Roman" w:hAnsi="Calibri" w:cs="Calibri"/>
          <w:i/>
          <w:color w:val="000000"/>
          <w:lang w:val="en-GB" w:eastAsia="en-AU"/>
        </w:rPr>
        <w:t>p</w:t>
      </w:r>
      <w:r w:rsidRPr="00C61784">
        <w:rPr>
          <w:rFonts w:ascii="Calibri" w:eastAsia="Times New Roman" w:hAnsi="Calibri" w:cs="Calibri"/>
          <w:color w:val="000000"/>
          <w:lang w:val="en-GB" w:eastAsia="en-AU"/>
        </w:rPr>
        <w:t xml:space="preserve"> = 0.104). The resulting ICER was estimated at A$18,211 per QALY gained (95% </w:t>
      </w:r>
      <w:r>
        <w:rPr>
          <w:rFonts w:ascii="Calibri" w:eastAsia="Times New Roman" w:hAnsi="Calibri" w:cs="Calibri"/>
          <w:color w:val="000000"/>
          <w:lang w:val="en-GB" w:eastAsia="en-AU"/>
        </w:rPr>
        <w:t>CI</w:t>
      </w:r>
      <w:r w:rsidRPr="00C61784">
        <w:rPr>
          <w:rFonts w:ascii="Calibri" w:eastAsia="Times New Roman" w:hAnsi="Calibri" w:cs="Calibri"/>
          <w:color w:val="000000"/>
          <w:lang w:val="en-GB" w:eastAsia="en-AU"/>
        </w:rPr>
        <w:t xml:space="preserve"> A$11,844 to A$24,578), which is below the 'A$50,000 per QALYs gained' threshold for determining cost-effectiveness in Australia</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therefore</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the intervention was cost-effective for the total sample. </w:t>
      </w:r>
    </w:p>
    <w:p w14:paraId="053E80D1" w14:textId="77777777" w:rsidR="00FB6AD0" w:rsidRPr="00C61784" w:rsidRDefault="00FB6AD0" w:rsidP="00BC703D">
      <w:pPr>
        <w:spacing w:after="0" w:line="240" w:lineRule="auto"/>
        <w:rPr>
          <w:rFonts w:ascii="Calibri" w:eastAsia="Times New Roman" w:hAnsi="Calibri" w:cs="Calibri"/>
          <w:color w:val="000000"/>
          <w:lang w:val="en-GB" w:eastAsia="en-AU"/>
        </w:rPr>
      </w:pPr>
    </w:p>
    <w:p w14:paraId="49E09224"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In the CEP (</w:t>
      </w:r>
      <w:r w:rsidRPr="00BA41A6">
        <w:t>Supplementary</w:t>
      </w:r>
      <w:r>
        <w:rPr>
          <w:b/>
          <w:bCs/>
        </w:rPr>
        <w:t xml:space="preserve"> </w:t>
      </w:r>
      <w:r w:rsidRPr="00C61784">
        <w:rPr>
          <w:lang w:val="en-GB"/>
        </w:rPr>
        <w:t>Figure 1</w:t>
      </w:r>
      <w:r w:rsidRPr="00C61784">
        <w:rPr>
          <w:rFonts w:ascii="Calibri" w:eastAsia="Times New Roman" w:hAnsi="Calibri" w:cs="Calibri"/>
          <w:color w:val="000000"/>
          <w:lang w:val="en-GB" w:eastAsia="en-AU"/>
        </w:rPr>
        <w:t>), the bootstrapped paired estimates of mean differences in costs and QALY scores appear in all four quadrants, with most of them in the north-east quadrant</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indicating that the intervention was associated with both higher costs and </w:t>
      </w:r>
      <w:r>
        <w:rPr>
          <w:rFonts w:ascii="Calibri" w:eastAsia="Times New Roman" w:hAnsi="Calibri" w:cs="Calibri"/>
          <w:color w:val="000000"/>
          <w:lang w:val="en-GB" w:eastAsia="en-AU"/>
        </w:rPr>
        <w:t xml:space="preserve">higher </w:t>
      </w:r>
      <w:r w:rsidRPr="00C61784">
        <w:rPr>
          <w:rFonts w:ascii="Calibri" w:eastAsia="Times New Roman" w:hAnsi="Calibri" w:cs="Calibri"/>
          <w:color w:val="000000"/>
          <w:lang w:val="en-GB" w:eastAsia="en-AU"/>
        </w:rPr>
        <w:t xml:space="preserve">effectiveness. The CEAC </w:t>
      </w:r>
      <w:r w:rsidRPr="00DA040E">
        <w:rPr>
          <w:rFonts w:ascii="Calibri" w:eastAsia="Times New Roman" w:hAnsi="Calibri" w:cs="Calibri"/>
          <w:lang w:val="en-GB" w:eastAsia="en-AU"/>
        </w:rPr>
        <w:t xml:space="preserve">in </w:t>
      </w:r>
      <w:r w:rsidRPr="00BA41A6">
        <w:t>Supplementary</w:t>
      </w:r>
      <w:r>
        <w:rPr>
          <w:b/>
          <w:bCs/>
        </w:rPr>
        <w:t xml:space="preserve"> </w:t>
      </w:r>
      <w:r w:rsidRPr="00C61784">
        <w:rPr>
          <w:lang w:val="en-GB"/>
        </w:rPr>
        <w:t xml:space="preserve">Figure </w:t>
      </w:r>
      <w:r w:rsidRPr="00DA040E">
        <w:rPr>
          <w:rFonts w:ascii="Calibri" w:eastAsia="Times New Roman" w:hAnsi="Calibri" w:cs="Calibri"/>
          <w:lang w:val="en-GB" w:eastAsia="en-AU"/>
        </w:rPr>
        <w:t xml:space="preserve">2 </w:t>
      </w:r>
      <w:r>
        <w:rPr>
          <w:rFonts w:ascii="Calibri" w:eastAsia="Times New Roman" w:hAnsi="Calibri" w:cs="Calibri"/>
          <w:color w:val="000000"/>
          <w:lang w:val="en-GB" w:eastAsia="en-AU"/>
        </w:rPr>
        <w:t>shows</w:t>
      </w:r>
      <w:r w:rsidRPr="00C61784">
        <w:rPr>
          <w:rFonts w:ascii="Calibri" w:eastAsia="Times New Roman" w:hAnsi="Calibri" w:cs="Calibri"/>
          <w:color w:val="000000"/>
          <w:lang w:val="en-GB" w:eastAsia="en-AU"/>
        </w:rPr>
        <w:t xml:space="preserve"> the probability of the intervention being the cost-effective option compared </w:t>
      </w:r>
      <w:r>
        <w:rPr>
          <w:rFonts w:ascii="Calibri" w:eastAsia="Times New Roman" w:hAnsi="Calibri" w:cs="Calibri"/>
          <w:color w:val="000000"/>
          <w:lang w:val="en-GB" w:eastAsia="en-AU"/>
        </w:rPr>
        <w:t>with</w:t>
      </w:r>
      <w:r w:rsidRPr="00C61784">
        <w:rPr>
          <w:rFonts w:ascii="Calibri" w:eastAsia="Times New Roman" w:hAnsi="Calibri" w:cs="Calibri"/>
          <w:color w:val="000000"/>
          <w:lang w:val="en-GB" w:eastAsia="en-AU"/>
        </w:rPr>
        <w:t xml:space="preserve"> usual care. At 24 months, the probability of the intervention being the cost-effective option compared </w:t>
      </w:r>
      <w:r>
        <w:rPr>
          <w:rFonts w:ascii="Calibri" w:eastAsia="Times New Roman" w:hAnsi="Calibri" w:cs="Calibri"/>
          <w:color w:val="000000"/>
          <w:lang w:val="en-GB" w:eastAsia="en-AU"/>
        </w:rPr>
        <w:t>with</w:t>
      </w:r>
      <w:r w:rsidRPr="00C61784">
        <w:rPr>
          <w:rFonts w:ascii="Calibri" w:eastAsia="Times New Roman" w:hAnsi="Calibri" w:cs="Calibri"/>
          <w:color w:val="000000"/>
          <w:lang w:val="en-GB" w:eastAsia="en-AU"/>
        </w:rPr>
        <w:t xml:space="preserve"> usual care at a WTP threshold of A$50,000 per QALY gained was </w:t>
      </w:r>
      <w:r w:rsidRPr="00AE3426">
        <w:rPr>
          <w:rFonts w:ascii="Calibri" w:eastAsia="Times New Roman" w:hAnsi="Calibri" w:cs="Calibri"/>
          <w:color w:val="000000"/>
          <w:lang w:val="en-GB" w:eastAsia="en-AU"/>
        </w:rPr>
        <w:t>approximately</w:t>
      </w:r>
      <w:r w:rsidRPr="00C61784">
        <w:rPr>
          <w:rFonts w:ascii="Calibri" w:eastAsia="Times New Roman" w:hAnsi="Calibri" w:cs="Calibri"/>
          <w:color w:val="000000"/>
          <w:lang w:val="en-GB" w:eastAsia="en-AU"/>
        </w:rPr>
        <w:t xml:space="preserve"> 80%. This probability rose to over 90% at a WTP threshold of A$100,000 per QALY gained. </w:t>
      </w:r>
    </w:p>
    <w:p w14:paraId="47533C1B"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p>
    <w:p w14:paraId="5F35A728"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r w:rsidRPr="00C61784">
        <w:rPr>
          <w:rFonts w:ascii="Calibri" w:eastAsia="Times New Roman" w:hAnsi="Calibri" w:cs="Calibri"/>
          <w:i/>
          <w:iCs/>
          <w:color w:val="000000"/>
          <w:lang w:val="en-GB" w:eastAsia="en-AU"/>
        </w:rPr>
        <w:t>Subgroup analysis</w:t>
      </w:r>
    </w:p>
    <w:p w14:paraId="285A9115"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p>
    <w:p w14:paraId="357CAD85"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bookmarkStart w:id="9" w:name="_Hlk117514138"/>
      <w:r w:rsidRPr="00C61784">
        <w:rPr>
          <w:rFonts w:ascii="Calibri" w:eastAsia="Times New Roman" w:hAnsi="Calibri" w:cs="Calibri"/>
          <w:color w:val="000000"/>
          <w:lang w:val="en-GB" w:eastAsia="en-AU"/>
        </w:rPr>
        <w:lastRenderedPageBreak/>
        <w:t>By cohort, the intervention was even more expensive than the control by A$5458 per patient in the adult cohort (</w:t>
      </w:r>
      <w:r>
        <w:rPr>
          <w:rFonts w:ascii="Calibri" w:eastAsia="Times New Roman" w:hAnsi="Calibri" w:cs="Calibri"/>
          <w:color w:val="000000"/>
          <w:lang w:val="en-GB" w:eastAsia="en-AU"/>
        </w:rPr>
        <w:t xml:space="preserve">Supplementary </w:t>
      </w:r>
      <w:r w:rsidRPr="00DA040E">
        <w:rPr>
          <w:rFonts w:ascii="Calibri" w:eastAsia="Times New Roman" w:hAnsi="Calibri" w:cs="Calibri"/>
          <w:lang w:val="en-GB" w:eastAsia="en-AU"/>
        </w:rPr>
        <w:t xml:space="preserve">Table </w:t>
      </w:r>
      <w:r>
        <w:rPr>
          <w:rFonts w:ascii="Calibri" w:eastAsia="Times New Roman" w:hAnsi="Calibri" w:cs="Calibri"/>
          <w:lang w:val="en-GB" w:eastAsia="en-AU"/>
        </w:rPr>
        <w:t>5</w:t>
      </w:r>
      <w:r w:rsidRPr="00C61784">
        <w:rPr>
          <w:rFonts w:ascii="Calibri" w:eastAsia="Times New Roman" w:hAnsi="Calibri" w:cs="Calibri"/>
          <w:color w:val="000000"/>
          <w:lang w:val="en-GB" w:eastAsia="en-AU"/>
        </w:rPr>
        <w:t>). This cost difference was not statistically significant (</w:t>
      </w:r>
      <w:bookmarkStart w:id="10" w:name="_Hlk117514209"/>
      <w:r w:rsidRPr="00C61784">
        <w:rPr>
          <w:rFonts w:ascii="Calibri" w:eastAsia="Times New Roman" w:hAnsi="Calibri" w:cs="Calibri"/>
          <w:color w:val="000000"/>
          <w:lang w:val="en-GB" w:eastAsia="en-AU"/>
        </w:rPr>
        <w:t xml:space="preserve">95% </w:t>
      </w:r>
      <w:r>
        <w:rPr>
          <w:rFonts w:ascii="Calibri" w:eastAsia="Times New Roman" w:hAnsi="Calibri" w:cs="Calibri"/>
          <w:color w:val="000000"/>
          <w:lang w:val="en-GB" w:eastAsia="en-AU"/>
        </w:rPr>
        <w:t>CI</w:t>
      </w:r>
      <w:r w:rsidRPr="00C61784">
        <w:rPr>
          <w:rFonts w:ascii="Calibri" w:eastAsia="Times New Roman" w:hAnsi="Calibri" w:cs="Calibri"/>
          <w:color w:val="000000"/>
          <w:lang w:val="en-GB" w:eastAsia="en-AU"/>
        </w:rPr>
        <w:t xml:space="preserve"> </w:t>
      </w:r>
      <w:r w:rsidRPr="00AE3426">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A$6101 to A$17,017</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sidRPr="00F30D75">
        <w:rPr>
          <w:rFonts w:ascii="Calibri" w:eastAsia="Times New Roman" w:hAnsi="Calibri" w:cs="Calibri"/>
          <w:i/>
          <w:color w:val="000000"/>
          <w:lang w:val="en-GB" w:eastAsia="en-AU"/>
        </w:rPr>
        <w:t>p</w:t>
      </w:r>
      <w:r w:rsidRPr="00C61784">
        <w:rPr>
          <w:rFonts w:ascii="Calibri" w:eastAsia="Times New Roman" w:hAnsi="Calibri" w:cs="Calibri"/>
          <w:color w:val="000000"/>
          <w:lang w:val="en-GB" w:eastAsia="en-AU"/>
        </w:rPr>
        <w:t xml:space="preserve"> = 0.355</w:t>
      </w:r>
      <w:bookmarkEnd w:id="10"/>
      <w:r w:rsidRPr="00C61784">
        <w:rPr>
          <w:rFonts w:ascii="Calibri" w:eastAsia="Times New Roman" w:hAnsi="Calibri" w:cs="Calibri"/>
          <w:color w:val="000000"/>
          <w:lang w:val="en-GB" w:eastAsia="en-AU"/>
        </w:rPr>
        <w:t xml:space="preserve">). The intervention was more effective than usual care in terms of EQ-5D-5L-based QALYs </w:t>
      </w:r>
      <w:r w:rsidRPr="00AE3426">
        <w:rPr>
          <w:rFonts w:ascii="Calibri" w:eastAsia="Times New Roman" w:hAnsi="Calibri" w:cs="Calibri"/>
          <w:color w:val="000000"/>
          <w:lang w:val="en-GB" w:eastAsia="en-AU"/>
        </w:rPr>
        <w:t>because</w:t>
      </w:r>
      <w:r w:rsidRPr="00C61784">
        <w:rPr>
          <w:rFonts w:ascii="Calibri" w:eastAsia="Times New Roman" w:hAnsi="Calibri" w:cs="Calibri"/>
          <w:color w:val="000000"/>
          <w:lang w:val="en-GB" w:eastAsia="en-AU"/>
        </w:rPr>
        <w:t xml:space="preserve"> it was associated with 0.026 more QALYs gained per patient, but this difference was not statistically significant (95% </w:t>
      </w:r>
      <w:r>
        <w:rPr>
          <w:rFonts w:ascii="Calibri" w:eastAsia="Times New Roman" w:hAnsi="Calibri" w:cs="Calibri"/>
          <w:color w:val="000000"/>
          <w:lang w:val="en-GB" w:eastAsia="en-AU"/>
        </w:rPr>
        <w:t>CI</w:t>
      </w:r>
      <w:r w:rsidRPr="00C61784">
        <w:rPr>
          <w:rFonts w:ascii="Calibri" w:eastAsia="Times New Roman" w:hAnsi="Calibri" w:cs="Calibri"/>
          <w:color w:val="000000"/>
          <w:lang w:val="en-GB" w:eastAsia="en-AU"/>
        </w:rPr>
        <w:t xml:space="preserve"> </w:t>
      </w:r>
      <w:r w:rsidRPr="00AE3426">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0.020 to 0.072</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sidRPr="00F30D75">
        <w:rPr>
          <w:rFonts w:ascii="Calibri" w:eastAsia="Times New Roman" w:hAnsi="Calibri" w:cs="Calibri"/>
          <w:i/>
          <w:color w:val="000000"/>
          <w:lang w:val="en-GB" w:eastAsia="en-AU"/>
        </w:rPr>
        <w:t>p</w:t>
      </w:r>
      <w:r w:rsidRPr="00C61784">
        <w:rPr>
          <w:rFonts w:ascii="Calibri" w:eastAsia="Times New Roman" w:hAnsi="Calibri" w:cs="Calibri"/>
          <w:color w:val="000000"/>
          <w:lang w:val="en-GB" w:eastAsia="en-AU"/>
        </w:rPr>
        <w:t xml:space="preserve"> = 0.273). The resulting ICER was estimated at A$212,462 per QALY gained (95% </w:t>
      </w:r>
      <w:r>
        <w:rPr>
          <w:rFonts w:ascii="Calibri" w:eastAsia="Times New Roman" w:hAnsi="Calibri" w:cs="Calibri"/>
          <w:color w:val="000000"/>
          <w:lang w:val="en-GB" w:eastAsia="en-AU"/>
        </w:rPr>
        <w:t>CI</w:t>
      </w:r>
      <w:r w:rsidRPr="00C61784">
        <w:rPr>
          <w:rFonts w:ascii="Calibri" w:eastAsia="Times New Roman" w:hAnsi="Calibri" w:cs="Calibri"/>
          <w:color w:val="000000"/>
          <w:lang w:val="en-GB" w:eastAsia="en-AU"/>
        </w:rPr>
        <w:t xml:space="preserve"> $205,559 to $219,364), which is higher than the A$50,000 per QALY gained threshold for determining cost-effectiveness in Australia. </w:t>
      </w:r>
    </w:p>
    <w:bookmarkEnd w:id="9"/>
    <w:p w14:paraId="0B198775"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p>
    <w:p w14:paraId="6D6E598F"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The CEP (</w:t>
      </w:r>
      <w:r w:rsidRPr="00BA41A6">
        <w:t>Supplementary</w:t>
      </w:r>
      <w:r>
        <w:rPr>
          <w:b/>
          <w:bCs/>
        </w:rPr>
        <w:t xml:space="preserve"> </w:t>
      </w:r>
      <w:r w:rsidRPr="00C61784">
        <w:rPr>
          <w:lang w:val="en-GB"/>
        </w:rPr>
        <w:t xml:space="preserve">Figure </w:t>
      </w:r>
      <w:r>
        <w:rPr>
          <w:lang w:val="en-GB"/>
        </w:rPr>
        <w:t>3</w:t>
      </w:r>
      <w:r w:rsidRPr="00C61784">
        <w:rPr>
          <w:rFonts w:ascii="Calibri" w:eastAsia="Times New Roman" w:hAnsi="Calibri" w:cs="Calibri"/>
          <w:color w:val="000000"/>
          <w:lang w:val="en-GB" w:eastAsia="en-AU"/>
        </w:rPr>
        <w:t>) for the adult cohort suggested even greater uncertainty than the base case analysis</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with the bootstrapped paired estimates of mean differences in costs and QALY scores spread more sparsely in all four quadrants. The CEAC in </w:t>
      </w:r>
      <w:r w:rsidRPr="00BA41A6">
        <w:t>Supplementary</w:t>
      </w:r>
      <w:r>
        <w:rPr>
          <w:b/>
          <w:bCs/>
        </w:rPr>
        <w:t xml:space="preserve"> </w:t>
      </w:r>
      <w:r w:rsidRPr="00C61784">
        <w:rPr>
          <w:lang w:val="en-GB"/>
        </w:rPr>
        <w:t xml:space="preserve">Figure </w:t>
      </w:r>
      <w:r>
        <w:rPr>
          <w:lang w:val="en-GB"/>
        </w:rPr>
        <w:t xml:space="preserve">4 </w:t>
      </w:r>
      <w:r w:rsidRPr="00C61784">
        <w:rPr>
          <w:rFonts w:ascii="Calibri" w:eastAsia="Times New Roman" w:hAnsi="Calibri" w:cs="Calibri"/>
          <w:color w:val="000000"/>
          <w:lang w:val="en-GB" w:eastAsia="en-AU"/>
        </w:rPr>
        <w:t>shows that</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at 24 months, the probability of the intervention being the cost-effective option compared </w:t>
      </w:r>
      <w:r>
        <w:rPr>
          <w:rFonts w:ascii="Calibri" w:eastAsia="Times New Roman" w:hAnsi="Calibri" w:cs="Calibri"/>
          <w:color w:val="000000"/>
          <w:lang w:val="en-GB" w:eastAsia="en-AU"/>
        </w:rPr>
        <w:t>with</w:t>
      </w:r>
      <w:r w:rsidRPr="00C61784">
        <w:rPr>
          <w:rFonts w:ascii="Calibri" w:eastAsia="Times New Roman" w:hAnsi="Calibri" w:cs="Calibri"/>
          <w:color w:val="000000"/>
          <w:lang w:val="en-GB" w:eastAsia="en-AU"/>
        </w:rPr>
        <w:t xml:space="preserve"> usual care at a WTP threshold of A$50,000 per QALY gained was only </w:t>
      </w:r>
      <w:r w:rsidRPr="00AE3426">
        <w:rPr>
          <w:rFonts w:ascii="Calibri" w:eastAsia="Times New Roman" w:hAnsi="Calibri" w:cs="Calibri"/>
          <w:color w:val="000000"/>
          <w:lang w:val="en-GB" w:eastAsia="en-AU"/>
        </w:rPr>
        <w:t>approximately</w:t>
      </w:r>
      <w:r w:rsidRPr="00C61784">
        <w:rPr>
          <w:rFonts w:ascii="Calibri" w:eastAsia="Times New Roman" w:hAnsi="Calibri" w:cs="Calibri"/>
          <w:color w:val="000000"/>
          <w:lang w:val="en-GB" w:eastAsia="en-AU"/>
        </w:rPr>
        <w:t xml:space="preserve"> 45%. </w:t>
      </w:r>
    </w:p>
    <w:p w14:paraId="3D6EBCC8"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p>
    <w:p w14:paraId="5C4D2BFB"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bookmarkStart w:id="11" w:name="_Hlk117514362"/>
      <w:r w:rsidRPr="00C61784">
        <w:rPr>
          <w:rFonts w:ascii="Calibri" w:eastAsia="Times New Roman" w:hAnsi="Calibri" w:cs="Calibri"/>
          <w:color w:val="000000"/>
          <w:lang w:val="en-GB" w:eastAsia="en-AU"/>
        </w:rPr>
        <w:t>For the older adults cohort, the intervention was cheaper than usual care by A$540 per patient</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Pr>
          <w:rFonts w:ascii="Calibri" w:eastAsia="Times New Roman" w:hAnsi="Calibri" w:cs="Calibri"/>
          <w:color w:val="000000"/>
          <w:lang w:val="en-GB" w:eastAsia="en-AU"/>
        </w:rPr>
        <w:t>al</w:t>
      </w:r>
      <w:r w:rsidRPr="00C61784">
        <w:rPr>
          <w:rFonts w:ascii="Calibri" w:eastAsia="Times New Roman" w:hAnsi="Calibri" w:cs="Calibri"/>
          <w:color w:val="000000"/>
          <w:lang w:val="en-GB" w:eastAsia="en-AU"/>
        </w:rPr>
        <w:t xml:space="preserve">though this difference was not statistically significant (95% </w:t>
      </w:r>
      <w:r>
        <w:rPr>
          <w:rFonts w:ascii="Calibri" w:eastAsia="Times New Roman" w:hAnsi="Calibri" w:cs="Calibri"/>
          <w:color w:val="000000"/>
          <w:lang w:val="en-GB" w:eastAsia="en-AU"/>
        </w:rPr>
        <w:t>CI</w:t>
      </w:r>
      <w:r w:rsidRPr="00C61784">
        <w:rPr>
          <w:rFonts w:ascii="Calibri" w:eastAsia="Times New Roman" w:hAnsi="Calibri" w:cs="Calibri"/>
          <w:color w:val="000000"/>
          <w:lang w:val="en-GB" w:eastAsia="en-AU"/>
        </w:rPr>
        <w:t xml:space="preserve"> </w:t>
      </w:r>
      <w:r w:rsidRPr="00AE3426">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A$3412 to A$2331</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sidRPr="00F30D75">
        <w:rPr>
          <w:rFonts w:ascii="Calibri" w:eastAsia="Times New Roman" w:hAnsi="Calibri" w:cs="Calibri"/>
          <w:i/>
          <w:color w:val="000000"/>
          <w:lang w:val="en-GB" w:eastAsia="en-AU"/>
        </w:rPr>
        <w:t>p</w:t>
      </w:r>
      <w:r w:rsidRPr="00C61784">
        <w:rPr>
          <w:rFonts w:ascii="Calibri" w:eastAsia="Times New Roman" w:hAnsi="Calibri" w:cs="Calibri"/>
          <w:color w:val="000000"/>
          <w:lang w:val="en-GB" w:eastAsia="en-AU"/>
        </w:rPr>
        <w:t xml:space="preserve"> = 0.712</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Pr>
          <w:rFonts w:ascii="Calibri" w:eastAsia="Times New Roman" w:hAnsi="Calibri" w:cs="Calibri"/>
          <w:color w:val="000000"/>
          <w:lang w:val="en-GB" w:eastAsia="en-AU"/>
        </w:rPr>
        <w:t xml:space="preserve">Supplementary </w:t>
      </w:r>
      <w:r w:rsidRPr="00DA040E">
        <w:rPr>
          <w:rFonts w:ascii="Calibri" w:eastAsia="Times New Roman" w:hAnsi="Calibri" w:cs="Calibri"/>
          <w:lang w:val="en-GB" w:eastAsia="en-AU"/>
        </w:rPr>
        <w:t xml:space="preserve">Table </w:t>
      </w:r>
      <w:r>
        <w:rPr>
          <w:rFonts w:ascii="Calibri" w:eastAsia="Times New Roman" w:hAnsi="Calibri" w:cs="Calibri"/>
          <w:lang w:val="en-GB" w:eastAsia="en-AU"/>
        </w:rPr>
        <w:t>5</w:t>
      </w:r>
      <w:r w:rsidRPr="00C61784">
        <w:rPr>
          <w:rFonts w:ascii="Calibri" w:eastAsia="Times New Roman" w:hAnsi="Calibri" w:cs="Calibri"/>
          <w:color w:val="000000"/>
          <w:lang w:val="en-GB" w:eastAsia="en-AU"/>
        </w:rPr>
        <w:t>). The reduced costs occurred primarily through lower hospital (</w:t>
      </w:r>
      <w:r w:rsidRPr="00AE3426">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A$1070; 95% </w:t>
      </w:r>
      <w:r>
        <w:rPr>
          <w:rFonts w:ascii="Calibri" w:eastAsia="Times New Roman" w:hAnsi="Calibri" w:cs="Calibri"/>
          <w:color w:val="000000"/>
          <w:lang w:val="en-GB" w:eastAsia="en-AU"/>
        </w:rPr>
        <w:t>CI</w:t>
      </w:r>
      <w:r w:rsidRPr="00C61784">
        <w:rPr>
          <w:rFonts w:ascii="Calibri" w:eastAsia="Times New Roman" w:hAnsi="Calibri" w:cs="Calibri"/>
          <w:color w:val="000000"/>
          <w:lang w:val="en-GB" w:eastAsia="en-AU"/>
        </w:rPr>
        <w:t xml:space="preserve"> </w:t>
      </w:r>
      <w:r w:rsidRPr="00AE3426">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A3732 to A$1592</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sidRPr="00F30D75">
        <w:rPr>
          <w:rFonts w:ascii="Calibri" w:eastAsia="Times New Roman" w:hAnsi="Calibri" w:cs="Calibri"/>
          <w:i/>
          <w:color w:val="000000"/>
          <w:lang w:val="en-GB" w:eastAsia="en-AU"/>
        </w:rPr>
        <w:t>p</w:t>
      </w:r>
      <w:r w:rsidRPr="00C61784">
        <w:rPr>
          <w:rFonts w:ascii="Calibri" w:eastAsia="Times New Roman" w:hAnsi="Calibri" w:cs="Calibri"/>
          <w:color w:val="000000"/>
          <w:lang w:val="en-GB" w:eastAsia="en-AU"/>
        </w:rPr>
        <w:t xml:space="preserve"> = 0.431) and Medicare (</w:t>
      </w:r>
      <w:r w:rsidRPr="00AE3426">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A$298; $95% </w:t>
      </w:r>
      <w:r>
        <w:rPr>
          <w:rFonts w:ascii="Calibri" w:eastAsia="Times New Roman" w:hAnsi="Calibri" w:cs="Calibri"/>
          <w:color w:val="000000"/>
          <w:lang w:val="en-GB" w:eastAsia="en-AU"/>
        </w:rPr>
        <w:t>CI</w:t>
      </w:r>
      <w:r w:rsidRPr="00C61784">
        <w:rPr>
          <w:rFonts w:ascii="Calibri" w:eastAsia="Times New Roman" w:hAnsi="Calibri" w:cs="Calibri"/>
          <w:color w:val="000000"/>
          <w:lang w:val="en-GB" w:eastAsia="en-AU"/>
        </w:rPr>
        <w:t xml:space="preserve"> </w:t>
      </w:r>
      <w:r w:rsidRPr="00AE3426">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A$1389 to A$793</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sidRPr="00F30D75">
        <w:rPr>
          <w:rFonts w:ascii="Calibri" w:eastAsia="Times New Roman" w:hAnsi="Calibri" w:cs="Calibri"/>
          <w:i/>
          <w:color w:val="000000"/>
          <w:lang w:val="en-GB" w:eastAsia="en-AU"/>
        </w:rPr>
        <w:t>p</w:t>
      </w:r>
      <w:r w:rsidRPr="00C61784">
        <w:rPr>
          <w:rFonts w:ascii="Calibri" w:eastAsia="Times New Roman" w:hAnsi="Calibri" w:cs="Calibri"/>
          <w:color w:val="000000"/>
          <w:lang w:val="en-GB" w:eastAsia="en-AU"/>
        </w:rPr>
        <w:t xml:space="preserve"> = 0.592)</w:t>
      </w:r>
      <w:r w:rsidRPr="00AE3426">
        <w:rPr>
          <w:rFonts w:ascii="Calibri" w:eastAsia="Times New Roman" w:hAnsi="Calibri" w:cs="Calibri"/>
          <w:color w:val="000000"/>
          <w:lang w:val="en-GB" w:eastAsia="en-AU"/>
        </w:rPr>
        <w:t xml:space="preserve"> </w:t>
      </w:r>
      <w:r w:rsidRPr="00C61784">
        <w:rPr>
          <w:rFonts w:ascii="Calibri" w:eastAsia="Times New Roman" w:hAnsi="Calibri" w:cs="Calibri"/>
          <w:color w:val="000000"/>
          <w:lang w:val="en-GB" w:eastAsia="en-AU"/>
        </w:rPr>
        <w:t>costs.</w:t>
      </w:r>
      <w:r>
        <w:rPr>
          <w:rFonts w:ascii="Calibri" w:eastAsia="Times New Roman" w:hAnsi="Calibri" w:cs="Calibri"/>
          <w:color w:val="000000"/>
          <w:lang w:val="en-GB" w:eastAsia="en-AU"/>
        </w:rPr>
        <w:t xml:space="preserve"> </w:t>
      </w:r>
      <w:r w:rsidRPr="00C61784">
        <w:rPr>
          <w:rFonts w:ascii="Calibri" w:eastAsia="Times New Roman" w:hAnsi="Calibri" w:cs="Calibri"/>
          <w:color w:val="000000"/>
          <w:lang w:val="en-GB" w:eastAsia="en-AU"/>
        </w:rPr>
        <w:t xml:space="preserve">The intervention was again more effective than usual care in terms of EQ-5D-5L-based QALYs </w:t>
      </w:r>
      <w:r w:rsidRPr="00AE3426">
        <w:rPr>
          <w:rFonts w:ascii="Calibri" w:eastAsia="Times New Roman" w:hAnsi="Calibri" w:cs="Calibri"/>
          <w:color w:val="000000"/>
          <w:lang w:val="en-GB" w:eastAsia="en-AU"/>
        </w:rPr>
        <w:t>because</w:t>
      </w:r>
      <w:r w:rsidRPr="00C61784">
        <w:rPr>
          <w:rFonts w:ascii="Calibri" w:eastAsia="Times New Roman" w:hAnsi="Calibri" w:cs="Calibri"/>
          <w:color w:val="000000"/>
          <w:lang w:val="en-GB" w:eastAsia="en-AU"/>
        </w:rPr>
        <w:t xml:space="preserve"> it was associated with 0.074 more QALYs gained per patient, but this difference was not statistically significant (95% </w:t>
      </w:r>
      <w:r>
        <w:rPr>
          <w:rFonts w:ascii="Calibri" w:eastAsia="Times New Roman" w:hAnsi="Calibri" w:cs="Calibri"/>
          <w:color w:val="000000"/>
          <w:lang w:val="en-GB" w:eastAsia="en-AU"/>
        </w:rPr>
        <w:t>CI</w:t>
      </w:r>
      <w:r w:rsidRPr="00C61784">
        <w:rPr>
          <w:rFonts w:ascii="Calibri" w:eastAsia="Times New Roman" w:hAnsi="Calibri" w:cs="Calibri"/>
          <w:color w:val="000000"/>
          <w:lang w:val="en-GB" w:eastAsia="en-AU"/>
        </w:rPr>
        <w:t xml:space="preserve"> </w:t>
      </w:r>
      <w:r w:rsidRPr="00AE3426">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0.028 to 0.176</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sidRPr="00F30D75">
        <w:rPr>
          <w:rFonts w:ascii="Calibri" w:eastAsia="Times New Roman" w:hAnsi="Calibri" w:cs="Calibri"/>
          <w:i/>
          <w:color w:val="000000"/>
          <w:lang w:val="en-GB" w:eastAsia="en-AU"/>
        </w:rPr>
        <w:t>p</w:t>
      </w:r>
      <w:r w:rsidRPr="00C61784">
        <w:rPr>
          <w:rFonts w:ascii="Calibri" w:eastAsia="Times New Roman" w:hAnsi="Calibri" w:cs="Calibri"/>
          <w:color w:val="000000"/>
          <w:lang w:val="en-GB" w:eastAsia="en-AU"/>
        </w:rPr>
        <w:t xml:space="preserve"> = 0.155</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t>
      </w:r>
      <w:r>
        <w:rPr>
          <w:rFonts w:ascii="Calibri" w:eastAsia="Times New Roman" w:hAnsi="Calibri" w:cs="Calibri"/>
          <w:color w:val="000000"/>
          <w:lang w:val="en-GB" w:eastAsia="en-AU"/>
        </w:rPr>
        <w:t xml:space="preserve">Supplementary </w:t>
      </w:r>
      <w:r w:rsidRPr="00DA040E">
        <w:rPr>
          <w:rFonts w:ascii="Calibri" w:eastAsia="Times New Roman" w:hAnsi="Calibri" w:cs="Calibri"/>
          <w:lang w:val="en-GB" w:eastAsia="en-AU"/>
        </w:rPr>
        <w:t xml:space="preserve">Table </w:t>
      </w:r>
      <w:r>
        <w:rPr>
          <w:rFonts w:ascii="Calibri" w:eastAsia="Times New Roman" w:hAnsi="Calibri" w:cs="Calibri"/>
          <w:lang w:val="en-GB" w:eastAsia="en-AU"/>
        </w:rPr>
        <w:t>5</w:t>
      </w:r>
      <w:r w:rsidRPr="00C61784">
        <w:rPr>
          <w:rFonts w:ascii="Calibri" w:eastAsia="Times New Roman" w:hAnsi="Calibri" w:cs="Calibri"/>
          <w:color w:val="000000"/>
          <w:lang w:val="en-GB" w:eastAsia="en-AU"/>
        </w:rPr>
        <w:t xml:space="preserve">). Therefore, the intervention was both cheaper and more effective than usual care. </w:t>
      </w:r>
    </w:p>
    <w:bookmarkEnd w:id="11"/>
    <w:p w14:paraId="179D2888"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p>
    <w:p w14:paraId="0328B5E9"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The CEP (</w:t>
      </w:r>
      <w:r>
        <w:rPr>
          <w:rFonts w:ascii="Calibri" w:eastAsia="Times New Roman" w:hAnsi="Calibri" w:cs="Calibri"/>
          <w:color w:val="000000"/>
          <w:lang w:val="en-GB" w:eastAsia="en-AU"/>
        </w:rPr>
        <w:t>Supplementary</w:t>
      </w:r>
      <w:r w:rsidRPr="006B1001">
        <w:rPr>
          <w:rFonts w:ascii="Calibri" w:eastAsia="Times New Roman" w:hAnsi="Calibri" w:cs="Calibri"/>
          <w:lang w:val="en-GB" w:eastAsia="en-AU"/>
        </w:rPr>
        <w:t xml:space="preserve"> Figure 5</w:t>
      </w:r>
      <w:r w:rsidRPr="00C61784">
        <w:rPr>
          <w:rFonts w:ascii="Calibri" w:eastAsia="Times New Roman" w:hAnsi="Calibri" w:cs="Calibri"/>
          <w:color w:val="000000"/>
          <w:lang w:val="en-GB" w:eastAsia="en-AU"/>
        </w:rPr>
        <w:t xml:space="preserve">) for the older </w:t>
      </w:r>
      <w:proofErr w:type="gramStart"/>
      <w:r w:rsidRPr="00C61784">
        <w:rPr>
          <w:rFonts w:ascii="Calibri" w:eastAsia="Times New Roman" w:hAnsi="Calibri" w:cs="Calibri"/>
          <w:color w:val="000000"/>
          <w:lang w:val="en-GB" w:eastAsia="en-AU"/>
        </w:rPr>
        <w:t>adults</w:t>
      </w:r>
      <w:proofErr w:type="gramEnd"/>
      <w:r w:rsidRPr="00C61784">
        <w:rPr>
          <w:rFonts w:ascii="Calibri" w:eastAsia="Times New Roman" w:hAnsi="Calibri" w:cs="Calibri"/>
          <w:color w:val="000000"/>
          <w:lang w:val="en-GB" w:eastAsia="en-AU"/>
        </w:rPr>
        <w:t xml:space="preserve"> cohort suggested some uncertainty, with only </w:t>
      </w:r>
      <w:r w:rsidRPr="00AE3426">
        <w:rPr>
          <w:rFonts w:ascii="Calibri" w:eastAsia="Times New Roman" w:hAnsi="Calibri" w:cs="Calibri"/>
          <w:color w:val="000000"/>
          <w:lang w:val="en-GB" w:eastAsia="en-AU"/>
        </w:rPr>
        <w:t>approximately</w:t>
      </w:r>
      <w:r w:rsidRPr="00C61784">
        <w:rPr>
          <w:rFonts w:ascii="Calibri" w:eastAsia="Times New Roman" w:hAnsi="Calibri" w:cs="Calibri"/>
          <w:color w:val="000000"/>
          <w:lang w:val="en-GB" w:eastAsia="en-AU"/>
        </w:rPr>
        <w:t xml:space="preserve"> 69% of the bootstrapped paired estimates of mean differences in costs and QALY scores being in the south-east quadrant, representing scenarios where the intervention is both cheaper and more effective than usual care. This result is depicted further in the CEAC (</w:t>
      </w:r>
      <w:r>
        <w:rPr>
          <w:rFonts w:ascii="Calibri" w:eastAsia="Times New Roman" w:hAnsi="Calibri" w:cs="Calibri"/>
          <w:color w:val="000000"/>
          <w:lang w:val="en-GB" w:eastAsia="en-AU"/>
        </w:rPr>
        <w:t>Supplementary</w:t>
      </w:r>
      <w:r w:rsidRPr="006B1001">
        <w:rPr>
          <w:rFonts w:ascii="Calibri" w:eastAsia="Times New Roman" w:hAnsi="Calibri" w:cs="Calibri"/>
          <w:lang w:val="en-GB" w:eastAsia="en-AU"/>
        </w:rPr>
        <w:t xml:space="preserve"> Figure 6</w:t>
      </w:r>
      <w:r w:rsidRPr="00C61784">
        <w:rPr>
          <w:rFonts w:ascii="Calibri" w:eastAsia="Times New Roman" w:hAnsi="Calibri" w:cs="Calibri"/>
          <w:color w:val="000000"/>
          <w:lang w:val="en-GB" w:eastAsia="en-AU"/>
        </w:rPr>
        <w:t>), which shows that</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at 24 months, the probability of the intervention being the cost-effective option compared </w:t>
      </w:r>
      <w:r>
        <w:rPr>
          <w:rFonts w:ascii="Calibri" w:eastAsia="Times New Roman" w:hAnsi="Calibri" w:cs="Calibri"/>
          <w:color w:val="000000"/>
          <w:lang w:val="en-GB" w:eastAsia="en-AU"/>
        </w:rPr>
        <w:t>with</w:t>
      </w:r>
      <w:r w:rsidRPr="00C61784">
        <w:rPr>
          <w:rFonts w:ascii="Calibri" w:eastAsia="Times New Roman" w:hAnsi="Calibri" w:cs="Calibri"/>
          <w:color w:val="000000"/>
          <w:lang w:val="en-GB" w:eastAsia="en-AU"/>
        </w:rPr>
        <w:t xml:space="preserve"> usual care at a WTP threshold of A$50,000 per QALY gained was </w:t>
      </w:r>
      <w:r w:rsidRPr="00C37BF5">
        <w:rPr>
          <w:rFonts w:ascii="Calibri" w:eastAsia="Times New Roman" w:hAnsi="Calibri" w:cs="Calibri"/>
          <w:color w:val="000000"/>
          <w:lang w:val="en-GB" w:eastAsia="en-AU"/>
        </w:rPr>
        <w:t>approximately</w:t>
      </w:r>
      <w:r w:rsidRPr="00C61784">
        <w:rPr>
          <w:rFonts w:ascii="Calibri" w:eastAsia="Times New Roman" w:hAnsi="Calibri" w:cs="Calibri"/>
          <w:color w:val="000000"/>
          <w:lang w:val="en-GB" w:eastAsia="en-AU"/>
        </w:rPr>
        <w:t xml:space="preserve"> 94%. </w:t>
      </w:r>
    </w:p>
    <w:p w14:paraId="4BD77094" w14:textId="77777777" w:rsidR="00FB6AD0" w:rsidRPr="00C61784" w:rsidRDefault="00FB6AD0" w:rsidP="00BC703D">
      <w:pPr>
        <w:autoSpaceDE w:val="0"/>
        <w:autoSpaceDN w:val="0"/>
        <w:adjustRightInd w:val="0"/>
        <w:spacing w:after="0" w:line="240" w:lineRule="auto"/>
        <w:rPr>
          <w:rFonts w:ascii="Calibri" w:eastAsia="Times New Roman" w:hAnsi="Calibri" w:cs="Calibri"/>
          <w:b/>
          <w:iCs/>
          <w:color w:val="000000"/>
          <w:lang w:val="en-GB" w:eastAsia="en-AU"/>
        </w:rPr>
      </w:pPr>
    </w:p>
    <w:p w14:paraId="2306BBCE" w14:textId="77777777" w:rsidR="00FB6AD0" w:rsidRPr="00C61784" w:rsidRDefault="00FB6AD0" w:rsidP="00BC703D">
      <w:pPr>
        <w:autoSpaceDE w:val="0"/>
        <w:autoSpaceDN w:val="0"/>
        <w:adjustRightInd w:val="0"/>
        <w:spacing w:after="0" w:line="240" w:lineRule="auto"/>
        <w:rPr>
          <w:rFonts w:ascii="Calibri" w:eastAsia="Times New Roman" w:hAnsi="Calibri" w:cs="Calibri"/>
          <w:bCs/>
          <w:i/>
          <w:color w:val="000000"/>
          <w:lang w:val="en-GB" w:eastAsia="en-AU"/>
        </w:rPr>
      </w:pPr>
      <w:bookmarkStart w:id="12" w:name="_Hlk117515044"/>
      <w:r w:rsidRPr="00C61784">
        <w:rPr>
          <w:rFonts w:ascii="Calibri" w:eastAsia="Times New Roman" w:hAnsi="Calibri" w:cs="Calibri"/>
          <w:bCs/>
          <w:i/>
          <w:color w:val="000000"/>
          <w:lang w:val="en-GB" w:eastAsia="en-AU"/>
        </w:rPr>
        <w:t>Sensitivity analyses</w:t>
      </w:r>
    </w:p>
    <w:p w14:paraId="545F96BE" w14:textId="77777777" w:rsidR="00FB6AD0" w:rsidRPr="00C61784" w:rsidRDefault="00FB6AD0" w:rsidP="00BC703D">
      <w:pPr>
        <w:autoSpaceDE w:val="0"/>
        <w:autoSpaceDN w:val="0"/>
        <w:adjustRightInd w:val="0"/>
        <w:spacing w:after="0" w:line="240" w:lineRule="auto"/>
        <w:rPr>
          <w:rFonts w:ascii="Calibri" w:eastAsia="Times New Roman" w:hAnsi="Calibri" w:cs="Calibri"/>
          <w:bCs/>
          <w:iCs/>
          <w:color w:val="000000"/>
          <w:lang w:val="en-GB" w:eastAsia="en-AU"/>
        </w:rPr>
      </w:pPr>
    </w:p>
    <w:p w14:paraId="7226C6BF" w14:textId="77777777" w:rsidR="00FB6AD0" w:rsidRPr="00C61784" w:rsidRDefault="00FB6AD0" w:rsidP="00BC703D">
      <w:pPr>
        <w:autoSpaceDE w:val="0"/>
        <w:autoSpaceDN w:val="0"/>
        <w:adjustRightInd w:val="0"/>
        <w:spacing w:after="0" w:line="240" w:lineRule="auto"/>
        <w:rPr>
          <w:rFonts w:ascii="Calibri" w:eastAsia="Times New Roman" w:hAnsi="Calibri" w:cs="Calibri"/>
          <w:bCs/>
          <w:iCs/>
          <w:color w:val="000000"/>
          <w:lang w:val="en-GB" w:eastAsia="en-AU"/>
        </w:rPr>
      </w:pPr>
      <w:bookmarkStart w:id="13" w:name="_Hlk116652669"/>
      <w:bookmarkStart w:id="14" w:name="_Hlk117514493"/>
      <w:r w:rsidRPr="00C61784">
        <w:rPr>
          <w:rFonts w:ascii="Calibri" w:eastAsia="Times New Roman" w:hAnsi="Calibri" w:cs="Calibri"/>
          <w:bCs/>
          <w:iCs/>
          <w:color w:val="000000"/>
          <w:lang w:val="en-GB" w:eastAsia="en-AU"/>
        </w:rPr>
        <w:t>If costs remain unchanged and the incremental effectiveness of the intervention in the entire cohort decline</w:t>
      </w:r>
      <w:r>
        <w:rPr>
          <w:rFonts w:ascii="Calibri" w:eastAsia="Times New Roman" w:hAnsi="Calibri" w:cs="Calibri"/>
          <w:bCs/>
          <w:iCs/>
          <w:color w:val="000000"/>
          <w:lang w:val="en-GB" w:eastAsia="en-AU"/>
        </w:rPr>
        <w:t>d</w:t>
      </w:r>
      <w:r w:rsidRPr="00C61784">
        <w:rPr>
          <w:rFonts w:ascii="Calibri" w:eastAsia="Times New Roman" w:hAnsi="Calibri" w:cs="Calibri"/>
          <w:bCs/>
          <w:iCs/>
          <w:color w:val="000000"/>
          <w:lang w:val="en-GB" w:eastAsia="en-AU"/>
        </w:rPr>
        <w:t xml:space="preserve"> by 5% at the 24-month time point (i.e. if it were still associated with 0.066 QALYs gain</w:t>
      </w:r>
      <w:r>
        <w:rPr>
          <w:rFonts w:ascii="Calibri" w:eastAsia="Times New Roman" w:hAnsi="Calibri" w:cs="Calibri"/>
          <w:bCs/>
          <w:iCs/>
          <w:color w:val="000000"/>
          <w:lang w:val="en-GB" w:eastAsia="en-AU"/>
        </w:rPr>
        <w:t>ed</w:t>
      </w:r>
      <w:r w:rsidRPr="00C61784">
        <w:rPr>
          <w:rFonts w:ascii="Calibri" w:eastAsia="Times New Roman" w:hAnsi="Calibri" w:cs="Calibri"/>
          <w:bCs/>
          <w:iCs/>
          <w:color w:val="000000"/>
          <w:lang w:val="en-GB" w:eastAsia="en-AU"/>
        </w:rPr>
        <w:t xml:space="preserve"> per patient</w:t>
      </w:r>
      <w:r>
        <w:rPr>
          <w:rFonts w:ascii="Calibri" w:eastAsia="Times New Roman" w:hAnsi="Calibri" w:cs="Calibri"/>
          <w:bCs/>
          <w:iCs/>
          <w:color w:val="000000"/>
          <w:lang w:val="en-GB" w:eastAsia="en-AU"/>
        </w:rPr>
        <w:t>)</w:t>
      </w:r>
      <w:r w:rsidRPr="00C61784">
        <w:rPr>
          <w:rFonts w:ascii="Calibri" w:eastAsia="Times New Roman" w:hAnsi="Calibri" w:cs="Calibri"/>
          <w:bCs/>
          <w:iCs/>
          <w:color w:val="000000"/>
          <w:lang w:val="en-GB" w:eastAsia="en-AU"/>
        </w:rPr>
        <w:t xml:space="preserve">, the intervention would be associated with an ICER of A$18,646 per patient (95% </w:t>
      </w:r>
      <w:r>
        <w:rPr>
          <w:rFonts w:ascii="Calibri" w:eastAsia="Times New Roman" w:hAnsi="Calibri" w:cs="Calibri"/>
          <w:bCs/>
          <w:iCs/>
          <w:color w:val="000000"/>
          <w:lang w:val="en-GB" w:eastAsia="en-AU"/>
        </w:rPr>
        <w:t>CI</w:t>
      </w:r>
      <w:r w:rsidRPr="00C61784">
        <w:rPr>
          <w:rFonts w:ascii="Calibri" w:eastAsia="Times New Roman" w:hAnsi="Calibri" w:cs="Calibri"/>
          <w:bCs/>
          <w:iCs/>
          <w:color w:val="000000"/>
          <w:lang w:val="en-GB" w:eastAsia="en-AU"/>
        </w:rPr>
        <w:t xml:space="preserve"> A$12,116 to A$25,176)</w:t>
      </w:r>
      <w:r>
        <w:rPr>
          <w:rFonts w:ascii="Calibri" w:eastAsia="Times New Roman" w:hAnsi="Calibri" w:cs="Calibri"/>
          <w:bCs/>
          <w:iCs/>
          <w:color w:val="000000"/>
          <w:lang w:val="en-GB" w:eastAsia="en-AU"/>
        </w:rPr>
        <w:t>,</w:t>
      </w:r>
      <w:r w:rsidRPr="00C61784">
        <w:rPr>
          <w:rFonts w:ascii="Calibri" w:eastAsia="Times New Roman" w:hAnsi="Calibri" w:cs="Calibri"/>
          <w:bCs/>
          <w:iCs/>
          <w:color w:val="000000"/>
          <w:lang w:val="en-GB" w:eastAsia="en-AU"/>
        </w:rPr>
        <w:t xml:space="preserve"> which is still lower than the WTP threshold of A$50,000 per QALY gained. The corresponding QALY gains and ICER per patient in the adult cohorts were 0.025 (95% </w:t>
      </w:r>
      <w:r>
        <w:rPr>
          <w:rFonts w:ascii="Calibri" w:eastAsia="Times New Roman" w:hAnsi="Calibri" w:cs="Calibri"/>
          <w:bCs/>
          <w:iCs/>
          <w:color w:val="000000"/>
          <w:lang w:val="en-GB" w:eastAsia="en-AU"/>
        </w:rPr>
        <w:t>CI</w:t>
      </w:r>
      <w:r w:rsidRPr="00C61784">
        <w:rPr>
          <w:rFonts w:ascii="Calibri" w:eastAsia="Times New Roman" w:hAnsi="Calibri" w:cs="Calibri"/>
          <w:bCs/>
          <w:iCs/>
          <w:color w:val="000000"/>
          <w:lang w:val="en-GB" w:eastAsia="en-AU"/>
        </w:rPr>
        <w:t xml:space="preserve"> </w:t>
      </w:r>
      <w:r w:rsidRPr="00C37BF5">
        <w:rPr>
          <w:rFonts w:ascii="Calibri" w:eastAsia="Times New Roman" w:hAnsi="Calibri" w:cs="Calibri"/>
          <w:bCs/>
          <w:iCs/>
          <w:color w:val="000000"/>
          <w:lang w:val="en-GB" w:eastAsia="en-AU"/>
        </w:rPr>
        <w:t>–</w:t>
      </w:r>
      <w:r w:rsidRPr="00C61784">
        <w:rPr>
          <w:rFonts w:ascii="Calibri" w:eastAsia="Times New Roman" w:hAnsi="Calibri" w:cs="Calibri"/>
          <w:bCs/>
          <w:iCs/>
          <w:color w:val="000000"/>
          <w:lang w:val="en-GB" w:eastAsia="en-AU"/>
        </w:rPr>
        <w:t>0.020 to 0.070)</w:t>
      </w:r>
      <w:r w:rsidRPr="00C61784">
        <w:rPr>
          <w:rFonts w:ascii="Calibri" w:eastAsia="Times New Roman" w:hAnsi="Calibri" w:cs="Times New Roman"/>
          <w:szCs w:val="24"/>
          <w:lang w:val="en-GB" w:eastAsia="en-AU"/>
        </w:rPr>
        <w:t xml:space="preserve"> </w:t>
      </w:r>
      <w:r w:rsidRPr="00C61784">
        <w:rPr>
          <w:rFonts w:ascii="Calibri" w:eastAsia="Times New Roman" w:hAnsi="Calibri" w:cs="Calibri"/>
          <w:bCs/>
          <w:iCs/>
          <w:color w:val="000000"/>
          <w:lang w:val="en-GB" w:eastAsia="en-AU"/>
        </w:rPr>
        <w:t xml:space="preserve">and A$218,164 (95% </w:t>
      </w:r>
      <w:r>
        <w:rPr>
          <w:rFonts w:ascii="Calibri" w:eastAsia="Times New Roman" w:hAnsi="Calibri" w:cs="Calibri"/>
          <w:bCs/>
          <w:iCs/>
          <w:color w:val="000000"/>
          <w:lang w:val="en-GB" w:eastAsia="en-AU"/>
        </w:rPr>
        <w:t>CI</w:t>
      </w:r>
      <w:r w:rsidRPr="00C61784">
        <w:rPr>
          <w:rFonts w:ascii="Calibri" w:eastAsia="Times New Roman" w:hAnsi="Calibri" w:cs="Calibri"/>
          <w:bCs/>
          <w:iCs/>
          <w:color w:val="000000"/>
          <w:lang w:val="en-GB" w:eastAsia="en-AU"/>
        </w:rPr>
        <w:t xml:space="preserve"> A$211,093 to A$225,236), respectively</w:t>
      </w:r>
      <w:r>
        <w:rPr>
          <w:rFonts w:ascii="Calibri" w:eastAsia="Times New Roman" w:hAnsi="Calibri" w:cs="Calibri"/>
          <w:bCs/>
          <w:iCs/>
          <w:color w:val="000000"/>
          <w:lang w:val="en-GB" w:eastAsia="en-AU"/>
        </w:rPr>
        <w:t>.</w:t>
      </w:r>
      <w:r w:rsidRPr="00C61784">
        <w:rPr>
          <w:rFonts w:ascii="Calibri" w:eastAsia="Times New Roman" w:hAnsi="Calibri" w:cs="Calibri"/>
          <w:bCs/>
          <w:iCs/>
          <w:color w:val="000000"/>
          <w:lang w:val="en-GB" w:eastAsia="en-AU"/>
        </w:rPr>
        <w:t xml:space="preserve"> In the older adults cohort, the intervention was still cheaper and more effective (by 0.072</w:t>
      </w:r>
      <w:r>
        <w:rPr>
          <w:rFonts w:ascii="Calibri" w:eastAsia="Times New Roman" w:hAnsi="Calibri" w:cs="Calibri"/>
          <w:bCs/>
          <w:iCs/>
          <w:color w:val="000000"/>
          <w:lang w:val="en-GB" w:eastAsia="en-AU"/>
        </w:rPr>
        <w:t>;</w:t>
      </w:r>
      <w:r w:rsidRPr="00C61784">
        <w:rPr>
          <w:rFonts w:ascii="Calibri" w:eastAsia="Times New Roman" w:hAnsi="Calibri" w:cs="Calibri"/>
          <w:bCs/>
          <w:iCs/>
          <w:color w:val="000000"/>
          <w:lang w:val="en-GB" w:eastAsia="en-AU"/>
        </w:rPr>
        <w:t xml:space="preserve"> 95% CI </w:t>
      </w:r>
      <w:r w:rsidRPr="00C37BF5">
        <w:rPr>
          <w:rFonts w:ascii="Calibri" w:eastAsia="Times New Roman" w:hAnsi="Calibri" w:cs="Calibri"/>
          <w:bCs/>
          <w:iCs/>
          <w:color w:val="000000"/>
          <w:lang w:val="en-GB" w:eastAsia="en-AU"/>
        </w:rPr>
        <w:t>–</w:t>
      </w:r>
      <w:r w:rsidRPr="00C61784">
        <w:rPr>
          <w:rFonts w:ascii="Calibri" w:eastAsia="Times New Roman" w:hAnsi="Calibri" w:cs="Calibri"/>
          <w:bCs/>
          <w:iCs/>
          <w:color w:val="000000"/>
          <w:lang w:val="en-GB" w:eastAsia="en-AU"/>
        </w:rPr>
        <w:t xml:space="preserve">0.027 to 0.171) than usual care. Therefore, in the older adults cohort the intervention remained </w:t>
      </w:r>
      <w:r w:rsidRPr="00C61784">
        <w:rPr>
          <w:rFonts w:ascii="Calibri" w:eastAsia="Times New Roman" w:hAnsi="Calibri" w:cs="Calibri"/>
          <w:color w:val="000000"/>
          <w:lang w:val="en-GB" w:eastAsia="en-AU"/>
        </w:rPr>
        <w:t>both cheaper and more effective than usual care.</w:t>
      </w:r>
    </w:p>
    <w:bookmarkEnd w:id="13"/>
    <w:p w14:paraId="54A3716A" w14:textId="77777777" w:rsidR="00FB6AD0" w:rsidRPr="00C61784" w:rsidRDefault="00FB6AD0" w:rsidP="00BC703D">
      <w:pPr>
        <w:autoSpaceDE w:val="0"/>
        <w:autoSpaceDN w:val="0"/>
        <w:adjustRightInd w:val="0"/>
        <w:spacing w:after="0" w:line="240" w:lineRule="auto"/>
        <w:rPr>
          <w:rFonts w:ascii="Calibri" w:eastAsia="Times New Roman" w:hAnsi="Calibri" w:cs="Calibri"/>
          <w:bCs/>
          <w:iCs/>
          <w:color w:val="000000"/>
          <w:lang w:val="en-GB" w:eastAsia="en-AU"/>
        </w:rPr>
      </w:pPr>
    </w:p>
    <w:p w14:paraId="1D42DC3B" w14:textId="77777777" w:rsidR="00FB6AD0" w:rsidRPr="00C61784" w:rsidRDefault="00FB6AD0" w:rsidP="00BC703D">
      <w:pPr>
        <w:autoSpaceDE w:val="0"/>
        <w:autoSpaceDN w:val="0"/>
        <w:adjustRightInd w:val="0"/>
        <w:spacing w:after="0" w:line="240" w:lineRule="auto"/>
        <w:rPr>
          <w:rFonts w:ascii="Calibri" w:eastAsia="Times New Roman" w:hAnsi="Calibri" w:cs="Calibri"/>
          <w:bCs/>
          <w:iCs/>
          <w:color w:val="000000"/>
          <w:lang w:val="en-GB" w:eastAsia="en-AU"/>
        </w:rPr>
      </w:pPr>
      <w:r w:rsidRPr="00C61784">
        <w:rPr>
          <w:rFonts w:ascii="Calibri" w:eastAsia="Times New Roman" w:hAnsi="Calibri" w:cs="Calibri"/>
          <w:bCs/>
          <w:iCs/>
          <w:color w:val="000000"/>
          <w:lang w:val="en-GB" w:eastAsia="en-AU"/>
        </w:rPr>
        <w:t>If costs remain unchanged and the incremental effectiveness of the intervention in the entire cohort declined by 25% at the 24-month time point (i.e. if it were still associated with 0.066 QALYs gain</w:t>
      </w:r>
      <w:r>
        <w:rPr>
          <w:rFonts w:ascii="Calibri" w:eastAsia="Times New Roman" w:hAnsi="Calibri" w:cs="Calibri"/>
          <w:bCs/>
          <w:iCs/>
          <w:color w:val="000000"/>
          <w:lang w:val="en-GB" w:eastAsia="en-AU"/>
        </w:rPr>
        <w:t>ed</w:t>
      </w:r>
      <w:r w:rsidRPr="00C61784">
        <w:rPr>
          <w:rFonts w:ascii="Calibri" w:eastAsia="Times New Roman" w:hAnsi="Calibri" w:cs="Calibri"/>
          <w:bCs/>
          <w:iCs/>
          <w:color w:val="000000"/>
          <w:lang w:val="en-GB" w:eastAsia="en-AU"/>
        </w:rPr>
        <w:t xml:space="preserve"> per patient</w:t>
      </w:r>
      <w:r>
        <w:rPr>
          <w:rFonts w:ascii="Calibri" w:eastAsia="Times New Roman" w:hAnsi="Calibri" w:cs="Calibri"/>
          <w:bCs/>
          <w:iCs/>
          <w:color w:val="000000"/>
          <w:lang w:val="en-GB" w:eastAsia="en-AU"/>
        </w:rPr>
        <w:t>),</w:t>
      </w:r>
      <w:r w:rsidRPr="00C61784">
        <w:rPr>
          <w:rFonts w:ascii="Calibri" w:eastAsia="Times New Roman" w:hAnsi="Calibri" w:cs="Calibri"/>
          <w:bCs/>
          <w:iCs/>
          <w:color w:val="000000"/>
          <w:lang w:val="en-GB" w:eastAsia="en-AU"/>
        </w:rPr>
        <w:t xml:space="preserve"> the intervention costs would be associated with an ICER of A$20,616 per patient (95% </w:t>
      </w:r>
      <w:r>
        <w:rPr>
          <w:rFonts w:ascii="Calibri" w:eastAsia="Times New Roman" w:hAnsi="Calibri" w:cs="Calibri"/>
          <w:bCs/>
          <w:iCs/>
          <w:color w:val="000000"/>
          <w:lang w:val="en-GB" w:eastAsia="en-AU"/>
        </w:rPr>
        <w:t>CI</w:t>
      </w:r>
      <w:r w:rsidRPr="00C61784">
        <w:rPr>
          <w:rFonts w:ascii="Calibri" w:eastAsia="Times New Roman" w:hAnsi="Calibri" w:cs="Calibri"/>
          <w:bCs/>
          <w:iCs/>
          <w:color w:val="000000"/>
          <w:lang w:val="en-GB" w:eastAsia="en-AU"/>
        </w:rPr>
        <w:t xml:space="preserve"> A$13,342 to A$27,890)</w:t>
      </w:r>
      <w:r>
        <w:rPr>
          <w:rFonts w:ascii="Calibri" w:eastAsia="Times New Roman" w:hAnsi="Calibri" w:cs="Calibri"/>
          <w:bCs/>
          <w:iCs/>
          <w:color w:val="000000"/>
          <w:lang w:val="en-GB" w:eastAsia="en-AU"/>
        </w:rPr>
        <w:t>,</w:t>
      </w:r>
      <w:r w:rsidRPr="00C61784">
        <w:rPr>
          <w:rFonts w:ascii="Calibri" w:eastAsia="Times New Roman" w:hAnsi="Calibri" w:cs="Calibri"/>
          <w:bCs/>
          <w:iCs/>
          <w:color w:val="000000"/>
          <w:lang w:val="en-GB" w:eastAsia="en-AU"/>
        </w:rPr>
        <w:t xml:space="preserve"> which is still lower than the WTP threshold of A$50,000 per QALY gained. </w:t>
      </w:r>
      <w:bookmarkEnd w:id="12"/>
      <w:r w:rsidRPr="00C61784">
        <w:rPr>
          <w:rFonts w:ascii="Calibri" w:eastAsia="Times New Roman" w:hAnsi="Calibri" w:cs="Calibri"/>
          <w:bCs/>
          <w:iCs/>
          <w:color w:val="000000"/>
          <w:lang w:val="en-GB" w:eastAsia="en-AU"/>
        </w:rPr>
        <w:t xml:space="preserve">The corresponding QALY gains and ICER per patient in the adult cohorts were 0.022 (95% </w:t>
      </w:r>
      <w:r>
        <w:rPr>
          <w:rFonts w:ascii="Calibri" w:eastAsia="Times New Roman" w:hAnsi="Calibri" w:cs="Calibri"/>
          <w:bCs/>
          <w:iCs/>
          <w:color w:val="000000"/>
          <w:lang w:val="en-GB" w:eastAsia="en-AU"/>
        </w:rPr>
        <w:t>CI</w:t>
      </w:r>
      <w:r w:rsidRPr="00C61784">
        <w:rPr>
          <w:rFonts w:ascii="Calibri" w:eastAsia="Times New Roman" w:hAnsi="Calibri" w:cs="Calibri"/>
          <w:bCs/>
          <w:iCs/>
          <w:color w:val="000000"/>
          <w:lang w:val="en-GB" w:eastAsia="en-AU"/>
        </w:rPr>
        <w:t xml:space="preserve"> </w:t>
      </w:r>
      <w:r w:rsidRPr="00C37BF5">
        <w:rPr>
          <w:rFonts w:ascii="Calibri" w:eastAsia="Times New Roman" w:hAnsi="Calibri" w:cs="Calibri"/>
          <w:bCs/>
          <w:iCs/>
          <w:color w:val="000000"/>
          <w:lang w:val="en-GB" w:eastAsia="en-AU"/>
        </w:rPr>
        <w:t>–</w:t>
      </w:r>
      <w:r w:rsidRPr="00C61784">
        <w:rPr>
          <w:rFonts w:ascii="Calibri" w:eastAsia="Times New Roman" w:hAnsi="Calibri" w:cs="Calibri"/>
          <w:bCs/>
          <w:iCs/>
          <w:color w:val="000000"/>
          <w:lang w:val="en-GB" w:eastAsia="en-AU"/>
        </w:rPr>
        <w:t>0.018, 0.062)</w:t>
      </w:r>
      <w:r w:rsidRPr="00C61784">
        <w:rPr>
          <w:rFonts w:ascii="Calibri" w:eastAsia="Times New Roman" w:hAnsi="Calibri" w:cs="Times New Roman"/>
          <w:szCs w:val="24"/>
          <w:lang w:val="en-GB" w:eastAsia="en-AU"/>
        </w:rPr>
        <w:t xml:space="preserve"> </w:t>
      </w:r>
      <w:r w:rsidRPr="00C61784">
        <w:rPr>
          <w:rFonts w:ascii="Calibri" w:eastAsia="Times New Roman" w:hAnsi="Calibri" w:cs="Calibri"/>
          <w:bCs/>
          <w:iCs/>
          <w:color w:val="000000"/>
          <w:lang w:val="en-GB" w:eastAsia="en-AU"/>
        </w:rPr>
        <w:t>and A$244,405 (95% CI A$236,568 to A$252,242), respectively. In the older adults cohort, the intervention was still cheaper and more effective (by 0.066</w:t>
      </w:r>
      <w:r>
        <w:rPr>
          <w:rFonts w:ascii="Calibri" w:eastAsia="Times New Roman" w:hAnsi="Calibri" w:cs="Calibri"/>
          <w:bCs/>
          <w:iCs/>
          <w:color w:val="000000"/>
          <w:lang w:val="en-GB" w:eastAsia="en-AU"/>
        </w:rPr>
        <w:t>;</w:t>
      </w:r>
      <w:r w:rsidRPr="00C61784">
        <w:rPr>
          <w:rFonts w:ascii="Calibri" w:eastAsia="Times New Roman" w:hAnsi="Calibri" w:cs="Calibri"/>
          <w:bCs/>
          <w:iCs/>
          <w:color w:val="000000"/>
          <w:lang w:val="en-GB" w:eastAsia="en-AU"/>
        </w:rPr>
        <w:t xml:space="preserve"> 95% </w:t>
      </w:r>
      <w:r>
        <w:rPr>
          <w:rFonts w:ascii="Calibri" w:eastAsia="Times New Roman" w:hAnsi="Calibri" w:cs="Calibri"/>
          <w:bCs/>
          <w:iCs/>
          <w:color w:val="000000"/>
          <w:lang w:val="en-GB" w:eastAsia="en-AU"/>
        </w:rPr>
        <w:t>CI</w:t>
      </w:r>
      <w:r w:rsidRPr="00C61784">
        <w:rPr>
          <w:rFonts w:ascii="Calibri" w:eastAsia="Times New Roman" w:hAnsi="Calibri" w:cs="Calibri"/>
          <w:bCs/>
          <w:iCs/>
          <w:color w:val="000000"/>
          <w:lang w:val="en-GB" w:eastAsia="en-AU"/>
        </w:rPr>
        <w:t xml:space="preserve"> </w:t>
      </w:r>
      <w:r w:rsidRPr="00C37BF5">
        <w:rPr>
          <w:rFonts w:ascii="Calibri" w:eastAsia="Times New Roman" w:hAnsi="Calibri" w:cs="Calibri"/>
          <w:bCs/>
          <w:iCs/>
          <w:color w:val="000000"/>
          <w:lang w:val="en-GB" w:eastAsia="en-AU"/>
        </w:rPr>
        <w:t>–</w:t>
      </w:r>
      <w:r w:rsidRPr="00C61784">
        <w:rPr>
          <w:rFonts w:ascii="Calibri" w:eastAsia="Times New Roman" w:hAnsi="Calibri" w:cs="Calibri"/>
          <w:bCs/>
          <w:iCs/>
          <w:color w:val="000000"/>
          <w:lang w:val="en-GB" w:eastAsia="en-AU"/>
        </w:rPr>
        <w:t xml:space="preserve">0.023 to 0.154) than usual care. </w:t>
      </w:r>
    </w:p>
    <w:bookmarkEnd w:id="14"/>
    <w:p w14:paraId="29078C6A" w14:textId="77777777" w:rsidR="00FB6AD0" w:rsidRPr="00C61784" w:rsidRDefault="00FB6AD0" w:rsidP="00BC703D">
      <w:pPr>
        <w:autoSpaceDE w:val="0"/>
        <w:autoSpaceDN w:val="0"/>
        <w:adjustRightInd w:val="0"/>
        <w:spacing w:after="0" w:line="240" w:lineRule="auto"/>
        <w:rPr>
          <w:rFonts w:ascii="Calibri" w:eastAsia="Times New Roman" w:hAnsi="Calibri" w:cs="Calibri"/>
          <w:bCs/>
          <w:iCs/>
          <w:color w:val="000000"/>
          <w:lang w:val="en-GB" w:eastAsia="en-AU"/>
        </w:rPr>
      </w:pPr>
    </w:p>
    <w:p w14:paraId="21A29534" w14:textId="77777777" w:rsidR="00FB6AD0" w:rsidRPr="00C61784" w:rsidRDefault="00FB6AD0" w:rsidP="00BC703D">
      <w:pPr>
        <w:spacing w:after="0" w:line="240" w:lineRule="auto"/>
        <w:rPr>
          <w:rFonts w:ascii="Calibri" w:eastAsia="Times New Roman" w:hAnsi="Calibri" w:cs="Times New Roman"/>
          <w:b/>
          <w:bCs/>
          <w:szCs w:val="24"/>
          <w:lang w:val="en-GB" w:eastAsia="en-AU"/>
        </w:rPr>
      </w:pPr>
      <w:bookmarkStart w:id="15" w:name="_Toc50963365"/>
      <w:bookmarkEnd w:id="8"/>
      <w:r w:rsidRPr="00C61784">
        <w:rPr>
          <w:rFonts w:ascii="Calibri" w:eastAsia="Times New Roman" w:hAnsi="Calibri" w:cs="Times New Roman"/>
          <w:b/>
          <w:bCs/>
          <w:szCs w:val="24"/>
          <w:lang w:val="en-GB" w:eastAsia="en-AU"/>
        </w:rPr>
        <w:lastRenderedPageBreak/>
        <w:t>Discussion</w:t>
      </w:r>
      <w:bookmarkEnd w:id="15"/>
      <w:r w:rsidRPr="00C61784">
        <w:rPr>
          <w:rFonts w:ascii="Calibri" w:eastAsia="Times New Roman" w:hAnsi="Calibri" w:cs="Times New Roman"/>
          <w:b/>
          <w:bCs/>
          <w:szCs w:val="24"/>
          <w:lang w:val="en-GB" w:eastAsia="en-AU"/>
        </w:rPr>
        <w:t xml:space="preserve"> of economic evaluation results</w:t>
      </w:r>
    </w:p>
    <w:p w14:paraId="7542A56F"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p>
    <w:p w14:paraId="18D18059" w14:textId="77777777" w:rsidR="00FB6AD0" w:rsidRPr="00C61784" w:rsidRDefault="00FB6AD0" w:rsidP="00BC703D">
      <w:pPr>
        <w:autoSpaceDE w:val="0"/>
        <w:autoSpaceDN w:val="0"/>
        <w:adjustRightInd w:val="0"/>
        <w:spacing w:after="0" w:line="240" w:lineRule="auto"/>
        <w:textAlignment w:val="baseline"/>
        <w:rPr>
          <w:rFonts w:ascii="Calibri" w:eastAsia="Times New Roman" w:hAnsi="Calibri" w:cs="Calibri"/>
          <w:color w:val="000000"/>
          <w:lang w:val="en-GB" w:eastAsia="en-AU"/>
        </w:rPr>
      </w:pPr>
      <w:bookmarkStart w:id="16" w:name="_Hlk118190814"/>
      <w:r w:rsidRPr="00C61784">
        <w:rPr>
          <w:rFonts w:ascii="Calibri" w:eastAsia="Times New Roman" w:hAnsi="Calibri" w:cs="Calibri"/>
          <w:color w:val="000000"/>
          <w:lang w:val="en-GB" w:eastAsia="en-AU"/>
        </w:rPr>
        <w:t xml:space="preserve">These results indicate that in adults identified by their </w:t>
      </w:r>
      <w:r>
        <w:rPr>
          <w:rFonts w:ascii="Calibri" w:eastAsia="Times New Roman" w:hAnsi="Calibri" w:cs="Calibri"/>
          <w:color w:val="000000"/>
          <w:lang w:val="en-GB" w:eastAsia="en-AU"/>
        </w:rPr>
        <w:t>GP</w:t>
      </w:r>
      <w:r w:rsidRPr="00C61784">
        <w:rPr>
          <w:rFonts w:ascii="Calibri" w:eastAsia="Times New Roman" w:hAnsi="Calibri" w:cs="Calibri"/>
          <w:color w:val="000000"/>
          <w:lang w:val="en-GB" w:eastAsia="en-AU"/>
        </w:rPr>
        <w:t xml:space="preserve"> as being at high risk of poor health outcomes and likely to benefit from the multicomponent intervention, there was a tendency for higher health costs and higher QALY gains among those who received the intervention compared </w:t>
      </w:r>
      <w:r>
        <w:rPr>
          <w:rFonts w:ascii="Calibri" w:eastAsia="Times New Roman" w:hAnsi="Calibri" w:cs="Calibri"/>
          <w:color w:val="000000"/>
          <w:lang w:val="en-GB" w:eastAsia="en-AU"/>
        </w:rPr>
        <w:t>with</w:t>
      </w:r>
      <w:r w:rsidRPr="00C61784">
        <w:rPr>
          <w:rFonts w:ascii="Calibri" w:eastAsia="Times New Roman" w:hAnsi="Calibri" w:cs="Calibri"/>
          <w:color w:val="000000"/>
          <w:lang w:val="en-GB" w:eastAsia="en-AU"/>
        </w:rPr>
        <w:t xml:space="preserve"> usual care. </w:t>
      </w:r>
      <w:bookmarkStart w:id="17" w:name="_Hlk118466492"/>
      <w:r>
        <w:rPr>
          <w:rFonts w:ascii="Calibri" w:eastAsia="Times New Roman" w:hAnsi="Calibri" w:cs="Calibri"/>
          <w:color w:val="000000"/>
          <w:lang w:val="en-GB" w:eastAsia="en-AU"/>
        </w:rPr>
        <w:t>Alth</w:t>
      </w:r>
      <w:r w:rsidRPr="00C61784">
        <w:rPr>
          <w:rFonts w:ascii="Calibri" w:eastAsia="Times New Roman" w:hAnsi="Calibri" w:cs="Calibri"/>
          <w:color w:val="000000"/>
          <w:lang w:val="en-GB" w:eastAsia="en-AU"/>
        </w:rPr>
        <w:t xml:space="preserve">ough some of the differences in costs and outcomes were not statistically significant, it is worth noting that economic evaluation focuses on the likelihood of an intervention being cost-effective as opposed to hypothesis testing on whether or not differences in costs and/or outcomes are statistically significant </w:t>
      </w:r>
      <w:r>
        <w:rPr>
          <w:rFonts w:ascii="Calibri" w:eastAsia="Times New Roman" w:hAnsi="Calibri" w:cs="Calibri"/>
          <w:noProof/>
          <w:color w:val="000000"/>
          <w:lang w:val="en-GB" w:eastAsia="en-AU"/>
        </w:rPr>
        <w:t>[15, 16]</w:t>
      </w:r>
      <w:r w:rsidRPr="00C61784">
        <w:rPr>
          <w:rFonts w:ascii="Calibri" w:eastAsia="Times New Roman" w:hAnsi="Calibri" w:cs="Calibri"/>
          <w:color w:val="000000"/>
          <w:lang w:val="en-GB" w:eastAsia="en-AU"/>
        </w:rPr>
        <w:t xml:space="preserve">. </w:t>
      </w:r>
      <w:bookmarkEnd w:id="17"/>
    </w:p>
    <w:p w14:paraId="383594E6"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p>
    <w:p w14:paraId="7A9E08BA"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r w:rsidRPr="00C61784">
        <w:rPr>
          <w:rFonts w:ascii="Calibri" w:eastAsia="Times New Roman" w:hAnsi="Calibri" w:cs="Calibri"/>
          <w:color w:val="000000"/>
          <w:lang w:val="en-GB" w:eastAsia="en-AU"/>
        </w:rPr>
        <w:t xml:space="preserve">When the results of this analysis are expressed in the form of a CEAC for the combined adults and older adults cohorts, the intervention was shown to have a more than even (80%) likelihood of being cost-effective when assessed against the implicit cost-effectiveness threshold of A$50,000 per QALY. Further, the intervention was associated with an ICER of A$18,211 per QALY gained. </w:t>
      </w:r>
      <w:r w:rsidRPr="00C87AB4">
        <w:rPr>
          <w:rFonts w:ascii="Calibri" w:eastAsia="Times New Roman" w:hAnsi="Calibri" w:cs="Calibri"/>
          <w:color w:val="000000"/>
          <w:lang w:val="en-GB" w:eastAsia="en-AU"/>
        </w:rPr>
        <w:t>Because</w:t>
      </w:r>
      <w:r w:rsidRPr="00C61784">
        <w:rPr>
          <w:rFonts w:ascii="Calibri" w:eastAsia="Times New Roman" w:hAnsi="Calibri" w:cs="Calibri"/>
          <w:color w:val="000000"/>
          <w:lang w:val="en-GB" w:eastAsia="en-AU"/>
        </w:rPr>
        <w:t xml:space="preserve"> this ICER is lower than the implicit threshold for determining cost-effectiveness in Australia (A$50,000 per QALY gained </w:t>
      </w:r>
      <w:r w:rsidRPr="00C61784">
        <w:rPr>
          <w:rFonts w:ascii="Calibri" w:eastAsia="Times New Roman" w:hAnsi="Calibri" w:cs="Calibri"/>
          <w:noProof/>
          <w:color w:val="000000"/>
          <w:lang w:val="en-GB" w:eastAsia="en-AU"/>
        </w:rPr>
        <w:t>[1</w:t>
      </w:r>
      <w:r>
        <w:rPr>
          <w:rFonts w:ascii="Calibri" w:eastAsia="Times New Roman" w:hAnsi="Calibri" w:cs="Calibri"/>
          <w:noProof/>
          <w:color w:val="000000"/>
          <w:lang w:val="en-GB" w:eastAsia="en-AU"/>
        </w:rPr>
        <w:t>4</w:t>
      </w:r>
      <w:r w:rsidRPr="00C61784">
        <w:rPr>
          <w:rFonts w:ascii="Calibri" w:eastAsia="Times New Roman" w:hAnsi="Calibri" w:cs="Calibri"/>
          <w:noProof/>
          <w:color w:val="000000"/>
          <w:lang w:val="en-GB" w:eastAsia="en-AU"/>
        </w:rPr>
        <w:t>]</w:t>
      </w:r>
      <w:r w:rsidRPr="00C61784">
        <w:rPr>
          <w:rFonts w:ascii="Calibri" w:eastAsia="Times New Roman" w:hAnsi="Calibri" w:cs="Calibri"/>
          <w:color w:val="000000"/>
          <w:lang w:val="en-GB" w:eastAsia="en-AU"/>
        </w:rPr>
        <w:t xml:space="preserve">), it can be concluded that the intervention (for the adults and older adults cohorts combined) at 24 months was cost-effective. </w:t>
      </w:r>
    </w:p>
    <w:p w14:paraId="1BC1CB39"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p>
    <w:p w14:paraId="749E02B9"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bookmarkStart w:id="18" w:name="_Hlk132707655"/>
      <w:r w:rsidRPr="00C61784">
        <w:rPr>
          <w:rFonts w:ascii="Calibri" w:eastAsia="Times New Roman" w:hAnsi="Calibri" w:cs="Calibri"/>
          <w:color w:val="000000"/>
          <w:lang w:val="en-GB" w:eastAsia="en-AU"/>
        </w:rPr>
        <w:t xml:space="preserve">However, the cost-effectiveness of the intervention was shown to differ by cohort. For the adult cohort, the intervention was shown to be more expensive (by A$5458 per patient) compared </w:t>
      </w:r>
      <w:r>
        <w:rPr>
          <w:rFonts w:ascii="Calibri" w:eastAsia="Times New Roman" w:hAnsi="Calibri" w:cs="Calibri"/>
          <w:color w:val="000000"/>
          <w:lang w:val="en-GB" w:eastAsia="en-AU"/>
        </w:rPr>
        <w:t>with</w:t>
      </w:r>
      <w:r w:rsidRPr="00C61784">
        <w:rPr>
          <w:rFonts w:ascii="Calibri" w:eastAsia="Times New Roman" w:hAnsi="Calibri" w:cs="Calibri"/>
          <w:color w:val="000000"/>
          <w:lang w:val="en-GB" w:eastAsia="en-AU"/>
        </w:rPr>
        <w:t xml:space="preserve"> the whole cohort, where the intervention was only </w:t>
      </w:r>
      <w:r>
        <w:rPr>
          <w:rFonts w:ascii="Calibri" w:eastAsia="Times New Roman" w:hAnsi="Calibri" w:cs="Calibri"/>
          <w:color w:val="000000"/>
          <w:lang w:val="en-GB" w:eastAsia="en-AU"/>
        </w:rPr>
        <w:t xml:space="preserve">more </w:t>
      </w:r>
      <w:r w:rsidRPr="00C61784">
        <w:rPr>
          <w:rFonts w:ascii="Calibri" w:eastAsia="Times New Roman" w:hAnsi="Calibri" w:cs="Calibri"/>
          <w:color w:val="000000"/>
          <w:lang w:val="en-GB" w:eastAsia="en-AU"/>
        </w:rPr>
        <w:t xml:space="preserve">expensive by A$1237 per patient. Correspondingly, the intervention was associated with lower QALY gains in this group (0.026 QALYs gained per patient) compared </w:t>
      </w:r>
      <w:r>
        <w:rPr>
          <w:rFonts w:ascii="Calibri" w:eastAsia="Times New Roman" w:hAnsi="Calibri" w:cs="Calibri"/>
          <w:color w:val="000000"/>
          <w:lang w:val="en-GB" w:eastAsia="en-AU"/>
        </w:rPr>
        <w:t>with</w:t>
      </w:r>
      <w:r w:rsidRPr="00C61784">
        <w:rPr>
          <w:rFonts w:ascii="Calibri" w:eastAsia="Times New Roman" w:hAnsi="Calibri" w:cs="Calibri"/>
          <w:color w:val="000000"/>
          <w:lang w:val="en-GB" w:eastAsia="en-AU"/>
        </w:rPr>
        <w:t xml:space="preserve"> the entire cohort (0.068 QALYs gained per patient). The resulting ICER was nearly five</w:t>
      </w:r>
      <w:r>
        <w:rPr>
          <w:rFonts w:ascii="Calibri" w:eastAsia="Times New Roman" w:hAnsi="Calibri" w:cs="Calibri"/>
          <w:color w:val="000000"/>
          <w:lang w:val="en-GB" w:eastAsia="en-AU"/>
        </w:rPr>
        <w:t>fold</w:t>
      </w:r>
      <w:r w:rsidRPr="00C61784">
        <w:rPr>
          <w:rFonts w:ascii="Calibri" w:eastAsia="Times New Roman" w:hAnsi="Calibri" w:cs="Calibri"/>
          <w:color w:val="000000"/>
          <w:lang w:val="en-GB" w:eastAsia="en-AU"/>
        </w:rPr>
        <w:t xml:space="preserve"> larger than the Australian implicit cost-effectiveness threshold. Consequently, the intervention in the adult cohort was associated with a less-than-even likelihood (45%) of being cost-effective compared </w:t>
      </w:r>
      <w:r>
        <w:rPr>
          <w:rFonts w:ascii="Calibri" w:eastAsia="Times New Roman" w:hAnsi="Calibri" w:cs="Calibri"/>
          <w:color w:val="000000"/>
          <w:lang w:val="en-GB" w:eastAsia="en-AU"/>
        </w:rPr>
        <w:t>with</w:t>
      </w:r>
      <w:r w:rsidRPr="00C61784">
        <w:rPr>
          <w:rFonts w:ascii="Calibri" w:eastAsia="Times New Roman" w:hAnsi="Calibri" w:cs="Calibri"/>
          <w:color w:val="000000"/>
          <w:lang w:val="en-GB" w:eastAsia="en-AU"/>
        </w:rPr>
        <w:t xml:space="preserve"> usual care at this threshold. </w:t>
      </w:r>
    </w:p>
    <w:p w14:paraId="6CDB7C2C" w14:textId="77777777" w:rsidR="00FB6AD0" w:rsidRPr="00C61784" w:rsidRDefault="00FB6AD0" w:rsidP="00BC703D">
      <w:pPr>
        <w:autoSpaceDE w:val="0"/>
        <w:autoSpaceDN w:val="0"/>
        <w:adjustRightInd w:val="0"/>
        <w:spacing w:after="0" w:line="240" w:lineRule="auto"/>
        <w:rPr>
          <w:rFonts w:ascii="Calibri" w:eastAsia="Times New Roman" w:hAnsi="Calibri" w:cs="Calibri"/>
          <w:color w:val="000000"/>
          <w:lang w:val="en-GB" w:eastAsia="en-AU"/>
        </w:rPr>
      </w:pPr>
    </w:p>
    <w:p w14:paraId="3B37A5B0" w14:textId="77777777" w:rsidR="00FB6AD0" w:rsidRPr="00C61784" w:rsidRDefault="00FB6AD0" w:rsidP="00BC703D">
      <w:pPr>
        <w:autoSpaceDE w:val="0"/>
        <w:autoSpaceDN w:val="0"/>
        <w:adjustRightInd w:val="0"/>
        <w:spacing w:after="0" w:line="240" w:lineRule="auto"/>
        <w:rPr>
          <w:rFonts w:ascii="Calibri" w:eastAsia="Times New Roman" w:hAnsi="Calibri" w:cs="Calibri"/>
          <w:b/>
          <w:color w:val="000000"/>
          <w:lang w:val="en-GB" w:eastAsia="en-AU"/>
        </w:rPr>
      </w:pPr>
      <w:r w:rsidRPr="00C61784">
        <w:rPr>
          <w:rFonts w:ascii="Calibri" w:eastAsia="Times New Roman" w:hAnsi="Calibri" w:cs="Calibri"/>
          <w:color w:val="000000"/>
          <w:lang w:val="en-GB" w:eastAsia="en-AU"/>
        </w:rPr>
        <w:t>For the older adults cohort, the intervention was cheaper (by A$540 per patient) and marginally more effective (by 0.074 QALYs gained per patient). The intervention in this cohort dominated usual care</w:t>
      </w:r>
      <w:r>
        <w:rPr>
          <w:rFonts w:ascii="Calibri" w:eastAsia="Times New Roman" w:hAnsi="Calibri" w:cs="Calibri"/>
          <w:color w:val="000000"/>
          <w:lang w:val="en-GB" w:eastAsia="en-AU"/>
        </w:rPr>
        <w:t>,</w:t>
      </w:r>
      <w:r w:rsidRPr="00C61784">
        <w:rPr>
          <w:rFonts w:ascii="Calibri" w:eastAsia="Times New Roman" w:hAnsi="Calibri" w:cs="Calibri"/>
          <w:color w:val="000000"/>
          <w:lang w:val="en-GB" w:eastAsia="en-AU"/>
        </w:rPr>
        <w:t xml:space="preserve"> with cost savings due to lower incremental hospital costs and increased effectiveness. </w:t>
      </w:r>
    </w:p>
    <w:bookmarkEnd w:id="16"/>
    <w:bookmarkEnd w:id="18"/>
    <w:p w14:paraId="60DC1499" w14:textId="77777777" w:rsidR="00FB6AD0" w:rsidRPr="00C61784" w:rsidRDefault="00FB6AD0" w:rsidP="00BC703D">
      <w:pPr>
        <w:spacing w:after="0" w:line="240" w:lineRule="auto"/>
        <w:rPr>
          <w:rFonts w:ascii="Calibri" w:eastAsia="Times New Roman" w:hAnsi="Calibri" w:cs="Calibri"/>
          <w:b/>
          <w:color w:val="000000"/>
          <w:lang w:val="en-GB" w:eastAsia="en-AU"/>
        </w:rPr>
      </w:pPr>
    </w:p>
    <w:p w14:paraId="760F0C3E" w14:textId="77777777" w:rsidR="00FB6AD0" w:rsidRPr="00C61784" w:rsidRDefault="00FB6AD0" w:rsidP="00BC703D">
      <w:pPr>
        <w:spacing w:after="0" w:line="240" w:lineRule="auto"/>
        <w:rPr>
          <w:rFonts w:ascii="Calibri" w:eastAsia="Times New Roman" w:hAnsi="Calibri" w:cs="Calibri"/>
          <w:bCs/>
          <w:color w:val="000000"/>
          <w:lang w:val="en-GB" w:eastAsia="en-AU"/>
        </w:rPr>
      </w:pPr>
      <w:proofErr w:type="gramStart"/>
      <w:r w:rsidRPr="00C61784">
        <w:rPr>
          <w:rFonts w:ascii="Calibri" w:eastAsia="Times New Roman" w:hAnsi="Calibri" w:cs="Calibri"/>
          <w:bCs/>
          <w:color w:val="000000"/>
          <w:lang w:val="en-GB" w:eastAsia="en-AU"/>
        </w:rPr>
        <w:t>Assuming that</w:t>
      </w:r>
      <w:proofErr w:type="gramEnd"/>
      <w:r w:rsidRPr="00C61784">
        <w:rPr>
          <w:rFonts w:ascii="Calibri" w:eastAsia="Times New Roman" w:hAnsi="Calibri" w:cs="Calibri"/>
          <w:bCs/>
          <w:color w:val="000000"/>
          <w:lang w:val="en-GB" w:eastAsia="en-AU"/>
        </w:rPr>
        <w:t xml:space="preserve"> costs remain unchanged and the incremental effectiveness of the intervention in the entire cohort declined by between 5% and 25% at the 24-month time point did not significantly change the results </w:t>
      </w:r>
      <w:r>
        <w:rPr>
          <w:rFonts w:ascii="Calibri" w:eastAsia="Times New Roman" w:hAnsi="Calibri" w:cs="Calibri"/>
          <w:bCs/>
          <w:color w:val="000000"/>
          <w:lang w:val="en-GB" w:eastAsia="en-AU"/>
        </w:rPr>
        <w:t xml:space="preserve">of the </w:t>
      </w:r>
      <w:r w:rsidRPr="00C61784">
        <w:rPr>
          <w:rFonts w:ascii="Calibri" w:eastAsia="Times New Roman" w:hAnsi="Calibri" w:cs="Calibri"/>
          <w:bCs/>
          <w:color w:val="000000"/>
          <w:lang w:val="en-GB" w:eastAsia="en-AU"/>
        </w:rPr>
        <w:t>economic evaluation.</w:t>
      </w:r>
    </w:p>
    <w:p w14:paraId="3A559E7C" w14:textId="77777777" w:rsidR="00FB6AD0" w:rsidRPr="00C61784" w:rsidRDefault="00FB6AD0">
      <w:pPr>
        <w:spacing w:after="0" w:line="240" w:lineRule="auto"/>
        <w:rPr>
          <w:rFonts w:ascii="Calibri" w:eastAsia="Times New Roman" w:hAnsi="Calibri" w:cs="Times New Roman"/>
          <w:szCs w:val="24"/>
          <w:lang w:val="en-GB" w:eastAsia="en-AU"/>
        </w:rPr>
      </w:pPr>
    </w:p>
    <w:p w14:paraId="01ADCD8C" w14:textId="77777777" w:rsidR="00FB6AD0" w:rsidRPr="00C61784" w:rsidRDefault="00FB6AD0">
      <w:pPr>
        <w:spacing w:after="0" w:line="240" w:lineRule="auto"/>
        <w:rPr>
          <w:rFonts w:ascii="Calibri" w:eastAsia="Times New Roman" w:hAnsi="Calibri" w:cs="Times New Roman"/>
          <w:szCs w:val="24"/>
          <w:lang w:val="en-GB" w:eastAsia="en-AU"/>
        </w:rPr>
        <w:sectPr w:rsidR="00FB6AD0" w:rsidRPr="00C61784" w:rsidSect="00BC703D">
          <w:footerReference w:type="default" r:id="rId5"/>
          <w:pgSz w:w="11906" w:h="16838"/>
          <w:pgMar w:top="1440" w:right="1440" w:bottom="1440" w:left="1440" w:header="708" w:footer="708" w:gutter="0"/>
          <w:cols w:space="708"/>
          <w:docGrid w:linePitch="360"/>
        </w:sectPr>
      </w:pPr>
    </w:p>
    <w:p w14:paraId="03B326D1" w14:textId="77777777" w:rsidR="00FB6AD0" w:rsidRPr="00F30D75" w:rsidRDefault="00FB6AD0" w:rsidP="003A7E8B">
      <w:pPr>
        <w:spacing w:after="0" w:line="240" w:lineRule="auto"/>
        <w:rPr>
          <w:rFonts w:cstheme="minorHAnsi"/>
          <w:b/>
          <w:lang w:val="en-GB"/>
        </w:rPr>
      </w:pPr>
      <w:bookmarkStart w:id="19" w:name="_Hlk130913457"/>
      <w:bookmarkEnd w:id="0"/>
      <w:bookmarkEnd w:id="1"/>
      <w:bookmarkEnd w:id="2"/>
      <w:r>
        <w:rPr>
          <w:b/>
          <w:bCs/>
        </w:rPr>
        <w:lastRenderedPageBreak/>
        <w:t>Supplementary Table 5</w:t>
      </w:r>
      <w:r w:rsidRPr="00F30D75">
        <w:rPr>
          <w:rFonts w:cstheme="minorHAnsi"/>
          <w:b/>
          <w:lang w:val="en-GB"/>
        </w:rPr>
        <w:t xml:space="preserve"> Mean costs and EQ-5D-5L outcomes per patient by cohort</w:t>
      </w:r>
    </w:p>
    <w:p w14:paraId="0AE4C0D3" w14:textId="77777777" w:rsidR="00FB6AD0" w:rsidRPr="00C61784" w:rsidRDefault="00FB6AD0" w:rsidP="003A7E8B">
      <w:pPr>
        <w:spacing w:after="0" w:line="240" w:lineRule="auto"/>
        <w:rPr>
          <w:rFonts w:cstheme="minorHAnsi"/>
          <w:lang w:val="en-GB"/>
        </w:rPr>
      </w:pP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5"/>
        <w:gridCol w:w="1488"/>
        <w:gridCol w:w="1772"/>
        <w:gridCol w:w="1772"/>
        <w:gridCol w:w="1772"/>
        <w:gridCol w:w="2977"/>
        <w:gridCol w:w="992"/>
      </w:tblGrid>
      <w:tr w:rsidR="00FB6AD0" w:rsidRPr="00246D74" w14:paraId="447195F9" w14:textId="77777777" w:rsidTr="004775E5">
        <w:tc>
          <w:tcPr>
            <w:tcW w:w="2405" w:type="dxa"/>
            <w:tcBorders>
              <w:top w:val="single" w:sz="4" w:space="0" w:color="auto"/>
              <w:left w:val="nil"/>
              <w:bottom w:val="nil"/>
              <w:right w:val="nil"/>
            </w:tcBorders>
            <w:vAlign w:val="center"/>
          </w:tcPr>
          <w:p w14:paraId="04C61F29" w14:textId="77777777" w:rsidR="00FB6AD0" w:rsidRPr="00F30D75" w:rsidRDefault="00FB6AD0" w:rsidP="00BC703D">
            <w:pPr>
              <w:keepNext/>
              <w:keepLines/>
              <w:spacing w:before="200" w:after="0" w:line="240" w:lineRule="auto"/>
              <w:outlineLvl w:val="7"/>
              <w:rPr>
                <w:rFonts w:eastAsia="Times New Roman" w:cstheme="minorHAnsi"/>
                <w:b/>
                <w:sz w:val="20"/>
                <w:szCs w:val="20"/>
                <w:lang w:val="en-GB"/>
              </w:rPr>
            </w:pPr>
          </w:p>
        </w:tc>
        <w:tc>
          <w:tcPr>
            <w:tcW w:w="3260" w:type="dxa"/>
            <w:gridSpan w:val="2"/>
            <w:tcBorders>
              <w:top w:val="single" w:sz="4" w:space="0" w:color="auto"/>
              <w:left w:val="nil"/>
              <w:bottom w:val="nil"/>
              <w:right w:val="nil"/>
            </w:tcBorders>
          </w:tcPr>
          <w:p w14:paraId="3FA61B2D" w14:textId="77777777" w:rsidR="00FB6AD0" w:rsidRPr="00F30D75" w:rsidRDefault="00FB6AD0" w:rsidP="00BC703D">
            <w:pPr>
              <w:spacing w:after="0" w:line="240" w:lineRule="auto"/>
              <w:jc w:val="center"/>
              <w:rPr>
                <w:rFonts w:eastAsia="Times New Roman" w:cstheme="minorHAnsi"/>
                <w:b/>
                <w:sz w:val="20"/>
                <w:szCs w:val="20"/>
                <w:lang w:val="en-GB" w:eastAsia="en-AU"/>
              </w:rPr>
            </w:pPr>
            <w:r w:rsidRPr="00F30D75">
              <w:rPr>
                <w:rFonts w:cstheme="minorHAnsi"/>
                <w:b/>
                <w:sz w:val="20"/>
                <w:szCs w:val="20"/>
                <w:lang w:val="en-GB"/>
              </w:rPr>
              <w:t xml:space="preserve">Control </w:t>
            </w:r>
          </w:p>
        </w:tc>
        <w:tc>
          <w:tcPr>
            <w:tcW w:w="3544" w:type="dxa"/>
            <w:gridSpan w:val="2"/>
            <w:tcBorders>
              <w:top w:val="single" w:sz="4" w:space="0" w:color="auto"/>
              <w:left w:val="nil"/>
              <w:bottom w:val="nil"/>
              <w:right w:val="nil"/>
            </w:tcBorders>
          </w:tcPr>
          <w:p w14:paraId="626D5185" w14:textId="77777777" w:rsidR="00FB6AD0" w:rsidRPr="00F30D75" w:rsidRDefault="00FB6AD0" w:rsidP="00BC703D">
            <w:pPr>
              <w:spacing w:after="0" w:line="240" w:lineRule="auto"/>
              <w:jc w:val="center"/>
              <w:rPr>
                <w:rFonts w:eastAsia="Times New Roman" w:cstheme="minorHAnsi"/>
                <w:b/>
                <w:sz w:val="20"/>
                <w:szCs w:val="20"/>
                <w:lang w:val="en-GB" w:eastAsia="en-AU"/>
              </w:rPr>
            </w:pPr>
            <w:r w:rsidRPr="00F30D75">
              <w:rPr>
                <w:rFonts w:cstheme="minorHAnsi"/>
                <w:b/>
                <w:sz w:val="20"/>
                <w:szCs w:val="20"/>
                <w:lang w:val="en-GB"/>
              </w:rPr>
              <w:t>Intervention</w:t>
            </w:r>
          </w:p>
        </w:tc>
        <w:tc>
          <w:tcPr>
            <w:tcW w:w="3969" w:type="dxa"/>
            <w:gridSpan w:val="2"/>
            <w:tcBorders>
              <w:top w:val="single" w:sz="4" w:space="0" w:color="auto"/>
              <w:left w:val="nil"/>
              <w:bottom w:val="nil"/>
              <w:right w:val="nil"/>
            </w:tcBorders>
          </w:tcPr>
          <w:p w14:paraId="16DD577A" w14:textId="77777777" w:rsidR="00FB6AD0" w:rsidRPr="00F30D75" w:rsidRDefault="00FB6AD0" w:rsidP="00BC703D">
            <w:pPr>
              <w:spacing w:after="0" w:line="240" w:lineRule="auto"/>
              <w:jc w:val="center"/>
              <w:rPr>
                <w:rFonts w:eastAsia="Times New Roman" w:cstheme="minorHAnsi"/>
                <w:b/>
                <w:sz w:val="20"/>
                <w:szCs w:val="20"/>
                <w:lang w:val="en-GB" w:eastAsia="en-AU"/>
              </w:rPr>
            </w:pPr>
            <w:r w:rsidRPr="00F30D75">
              <w:rPr>
                <w:rFonts w:eastAsia="Times New Roman" w:cstheme="minorHAnsi"/>
                <w:b/>
                <w:sz w:val="20"/>
                <w:szCs w:val="20"/>
                <w:lang w:val="en-GB" w:eastAsia="en-AU"/>
              </w:rPr>
              <w:t xml:space="preserve">Intervention </w:t>
            </w:r>
            <w:proofErr w:type="spellStart"/>
            <w:r w:rsidRPr="00F30D75">
              <w:rPr>
                <w:rFonts w:eastAsia="Times New Roman" w:cstheme="minorHAnsi"/>
                <w:b/>
                <w:sz w:val="20"/>
                <w:szCs w:val="20"/>
                <w:lang w:val="en-GB" w:eastAsia="en-AU"/>
              </w:rPr>
              <w:t>effect</w:t>
            </w:r>
            <w:r w:rsidRPr="00F30D75">
              <w:rPr>
                <w:rFonts w:eastAsia="Times New Roman" w:cstheme="minorHAnsi"/>
                <w:b/>
                <w:sz w:val="20"/>
                <w:szCs w:val="20"/>
                <w:vertAlign w:val="superscript"/>
                <w:lang w:val="en-GB" w:eastAsia="en-AU"/>
              </w:rPr>
              <w:t>A</w:t>
            </w:r>
            <w:proofErr w:type="spellEnd"/>
          </w:p>
        </w:tc>
      </w:tr>
      <w:tr w:rsidR="00FB6AD0" w:rsidRPr="00246D74" w14:paraId="65A4DAF1" w14:textId="77777777" w:rsidTr="00BC703D">
        <w:tc>
          <w:tcPr>
            <w:tcW w:w="2405" w:type="dxa"/>
            <w:tcBorders>
              <w:top w:val="nil"/>
              <w:left w:val="nil"/>
              <w:bottom w:val="single" w:sz="4" w:space="0" w:color="auto"/>
              <w:right w:val="nil"/>
            </w:tcBorders>
            <w:shd w:val="clear" w:color="auto" w:fill="auto"/>
          </w:tcPr>
          <w:p w14:paraId="54934334" w14:textId="77777777" w:rsidR="00FB6AD0" w:rsidRPr="00F30D75" w:rsidRDefault="00FB6AD0" w:rsidP="00BC703D">
            <w:pPr>
              <w:keepNext/>
              <w:keepLines/>
              <w:spacing w:before="200" w:after="0" w:line="240" w:lineRule="auto"/>
              <w:outlineLvl w:val="7"/>
              <w:rPr>
                <w:rFonts w:eastAsia="Times New Roman" w:cstheme="minorHAnsi"/>
                <w:b/>
                <w:sz w:val="20"/>
                <w:szCs w:val="20"/>
                <w:lang w:val="en-GB"/>
              </w:rPr>
            </w:pPr>
          </w:p>
        </w:tc>
        <w:tc>
          <w:tcPr>
            <w:tcW w:w="1488" w:type="dxa"/>
            <w:tcBorders>
              <w:top w:val="nil"/>
              <w:left w:val="nil"/>
              <w:bottom w:val="single" w:sz="4" w:space="0" w:color="auto"/>
              <w:right w:val="nil"/>
            </w:tcBorders>
            <w:shd w:val="clear" w:color="auto" w:fill="auto"/>
          </w:tcPr>
          <w:p w14:paraId="30860240" w14:textId="77777777" w:rsidR="00FB6AD0" w:rsidRPr="00F30D75" w:rsidRDefault="00FB6AD0" w:rsidP="00BC703D">
            <w:pPr>
              <w:spacing w:after="0" w:line="240" w:lineRule="auto"/>
              <w:jc w:val="center"/>
              <w:rPr>
                <w:rFonts w:eastAsia="Times New Roman" w:cstheme="minorHAnsi"/>
                <w:b/>
                <w:sz w:val="20"/>
                <w:szCs w:val="20"/>
                <w:lang w:val="en-GB" w:eastAsia="en-AU"/>
              </w:rPr>
            </w:pPr>
            <w:r w:rsidRPr="00F30D75">
              <w:rPr>
                <w:rFonts w:cstheme="minorHAnsi"/>
                <w:b/>
                <w:sz w:val="20"/>
                <w:szCs w:val="20"/>
                <w:lang w:val="en-GB"/>
              </w:rPr>
              <w:t>Baseline</w:t>
            </w:r>
          </w:p>
        </w:tc>
        <w:tc>
          <w:tcPr>
            <w:tcW w:w="1772" w:type="dxa"/>
            <w:tcBorders>
              <w:top w:val="nil"/>
              <w:left w:val="nil"/>
              <w:bottom w:val="single" w:sz="4" w:space="0" w:color="auto"/>
              <w:right w:val="nil"/>
            </w:tcBorders>
            <w:shd w:val="clear" w:color="auto" w:fill="auto"/>
          </w:tcPr>
          <w:p w14:paraId="20111B5B" w14:textId="77777777" w:rsidR="00FB6AD0" w:rsidRPr="00F30D75" w:rsidRDefault="00FB6AD0" w:rsidP="00F30D75">
            <w:pPr>
              <w:spacing w:after="0" w:line="240" w:lineRule="auto"/>
              <w:jc w:val="center"/>
              <w:rPr>
                <w:rFonts w:eastAsia="Times New Roman" w:cstheme="minorHAnsi"/>
                <w:b/>
                <w:sz w:val="20"/>
                <w:szCs w:val="20"/>
                <w:lang w:val="en-GB" w:eastAsia="en-AU"/>
              </w:rPr>
            </w:pPr>
            <w:r w:rsidRPr="00F30D75">
              <w:rPr>
                <w:rFonts w:cstheme="minorHAnsi"/>
                <w:b/>
                <w:sz w:val="20"/>
                <w:szCs w:val="20"/>
                <w:lang w:val="en-GB"/>
              </w:rPr>
              <w:t>24</w:t>
            </w:r>
            <w:r>
              <w:rPr>
                <w:rFonts w:cstheme="minorHAnsi"/>
                <w:b/>
                <w:sz w:val="20"/>
                <w:szCs w:val="20"/>
                <w:lang w:val="en-GB"/>
              </w:rPr>
              <w:t xml:space="preserve"> </w:t>
            </w:r>
            <w:r w:rsidRPr="00F30D75">
              <w:rPr>
                <w:rFonts w:cstheme="minorHAnsi"/>
                <w:b/>
                <w:sz w:val="20"/>
                <w:szCs w:val="20"/>
                <w:lang w:val="en-GB"/>
              </w:rPr>
              <w:t>months</w:t>
            </w:r>
          </w:p>
        </w:tc>
        <w:tc>
          <w:tcPr>
            <w:tcW w:w="1772" w:type="dxa"/>
            <w:tcBorders>
              <w:top w:val="nil"/>
              <w:left w:val="nil"/>
              <w:bottom w:val="single" w:sz="4" w:space="0" w:color="auto"/>
              <w:right w:val="nil"/>
            </w:tcBorders>
            <w:shd w:val="clear" w:color="auto" w:fill="auto"/>
          </w:tcPr>
          <w:p w14:paraId="4B533E2F" w14:textId="77777777" w:rsidR="00FB6AD0" w:rsidRPr="00F30D75" w:rsidRDefault="00FB6AD0" w:rsidP="00BC703D">
            <w:pPr>
              <w:spacing w:after="0" w:line="240" w:lineRule="auto"/>
              <w:jc w:val="center"/>
              <w:rPr>
                <w:rFonts w:eastAsia="Times New Roman" w:cstheme="minorHAnsi"/>
                <w:b/>
                <w:sz w:val="20"/>
                <w:szCs w:val="20"/>
                <w:lang w:val="en-GB" w:eastAsia="en-AU"/>
              </w:rPr>
            </w:pPr>
            <w:r w:rsidRPr="00F30D75">
              <w:rPr>
                <w:rFonts w:cstheme="minorHAnsi"/>
                <w:b/>
                <w:sz w:val="20"/>
                <w:szCs w:val="20"/>
                <w:lang w:val="en-GB"/>
              </w:rPr>
              <w:t>Baseline</w:t>
            </w:r>
          </w:p>
        </w:tc>
        <w:tc>
          <w:tcPr>
            <w:tcW w:w="1772" w:type="dxa"/>
            <w:tcBorders>
              <w:top w:val="nil"/>
              <w:left w:val="nil"/>
              <w:bottom w:val="single" w:sz="4" w:space="0" w:color="auto"/>
              <w:right w:val="nil"/>
            </w:tcBorders>
            <w:shd w:val="clear" w:color="auto" w:fill="auto"/>
          </w:tcPr>
          <w:p w14:paraId="53857FE4" w14:textId="77777777" w:rsidR="00FB6AD0" w:rsidRPr="00F30D75" w:rsidRDefault="00FB6AD0" w:rsidP="00F30D75">
            <w:pPr>
              <w:spacing w:after="0" w:line="240" w:lineRule="auto"/>
              <w:jc w:val="center"/>
              <w:rPr>
                <w:rFonts w:eastAsia="Times New Roman" w:cstheme="minorHAnsi"/>
                <w:b/>
                <w:sz w:val="20"/>
                <w:szCs w:val="20"/>
                <w:lang w:val="en-GB" w:eastAsia="en-AU"/>
              </w:rPr>
            </w:pPr>
            <w:r w:rsidRPr="00F30D75">
              <w:rPr>
                <w:rFonts w:cstheme="minorHAnsi"/>
                <w:b/>
                <w:sz w:val="20"/>
                <w:szCs w:val="20"/>
                <w:lang w:val="en-GB"/>
              </w:rPr>
              <w:t>24</w:t>
            </w:r>
            <w:r>
              <w:rPr>
                <w:rFonts w:cstheme="minorHAnsi"/>
                <w:b/>
                <w:sz w:val="20"/>
                <w:szCs w:val="20"/>
                <w:lang w:val="en-GB"/>
              </w:rPr>
              <w:t xml:space="preserve"> </w:t>
            </w:r>
            <w:r w:rsidRPr="00F30D75">
              <w:rPr>
                <w:rFonts w:cstheme="minorHAnsi"/>
                <w:b/>
                <w:sz w:val="20"/>
                <w:szCs w:val="20"/>
                <w:lang w:val="en-GB"/>
              </w:rPr>
              <w:t>months</w:t>
            </w:r>
          </w:p>
        </w:tc>
        <w:tc>
          <w:tcPr>
            <w:tcW w:w="2977" w:type="dxa"/>
            <w:tcBorders>
              <w:top w:val="nil"/>
              <w:left w:val="nil"/>
              <w:bottom w:val="single" w:sz="4" w:space="0" w:color="auto"/>
              <w:right w:val="nil"/>
            </w:tcBorders>
            <w:shd w:val="clear" w:color="auto" w:fill="auto"/>
          </w:tcPr>
          <w:p w14:paraId="43884078" w14:textId="77777777" w:rsidR="00FB6AD0" w:rsidRPr="00F30D75" w:rsidRDefault="00FB6AD0" w:rsidP="00F30D75">
            <w:pPr>
              <w:spacing w:after="0" w:line="240" w:lineRule="auto"/>
              <w:jc w:val="center"/>
              <w:rPr>
                <w:rFonts w:eastAsia="Times New Roman" w:cstheme="minorHAnsi"/>
                <w:b/>
                <w:sz w:val="20"/>
                <w:szCs w:val="20"/>
                <w:lang w:val="en-GB" w:eastAsia="en-AU"/>
              </w:rPr>
            </w:pPr>
            <w:r w:rsidRPr="00F30D75">
              <w:rPr>
                <w:rFonts w:cstheme="minorHAnsi"/>
                <w:b/>
                <w:sz w:val="20"/>
                <w:szCs w:val="20"/>
                <w:lang w:val="en-GB"/>
              </w:rPr>
              <w:t>Coeff</w:t>
            </w:r>
            <w:r>
              <w:rPr>
                <w:rFonts w:cstheme="minorHAnsi"/>
                <w:b/>
                <w:sz w:val="20"/>
                <w:szCs w:val="20"/>
                <w:lang w:val="en-GB"/>
              </w:rPr>
              <w:t>icient</w:t>
            </w:r>
            <w:r w:rsidRPr="00F30D75">
              <w:rPr>
                <w:rFonts w:cstheme="minorHAnsi"/>
                <w:b/>
                <w:sz w:val="20"/>
                <w:szCs w:val="20"/>
                <w:lang w:val="en-GB"/>
              </w:rPr>
              <w:t xml:space="preserve"> (95%</w:t>
            </w:r>
            <w:r>
              <w:rPr>
                <w:rFonts w:cstheme="minorHAnsi"/>
                <w:b/>
                <w:sz w:val="20"/>
                <w:szCs w:val="20"/>
                <w:lang w:val="en-GB"/>
              </w:rPr>
              <w:t xml:space="preserve"> </w:t>
            </w:r>
            <w:r w:rsidRPr="00F30D75">
              <w:rPr>
                <w:rFonts w:cstheme="minorHAnsi"/>
                <w:b/>
                <w:sz w:val="20"/>
                <w:szCs w:val="20"/>
                <w:lang w:val="en-GB"/>
              </w:rPr>
              <w:t>CI)</w:t>
            </w:r>
          </w:p>
        </w:tc>
        <w:tc>
          <w:tcPr>
            <w:tcW w:w="992" w:type="dxa"/>
            <w:tcBorders>
              <w:top w:val="nil"/>
              <w:left w:val="nil"/>
              <w:bottom w:val="single" w:sz="4" w:space="0" w:color="auto"/>
              <w:right w:val="nil"/>
            </w:tcBorders>
            <w:shd w:val="clear" w:color="auto" w:fill="auto"/>
          </w:tcPr>
          <w:p w14:paraId="5D1E11FC" w14:textId="77777777" w:rsidR="00FB6AD0" w:rsidRPr="00F30D75" w:rsidRDefault="00FB6AD0" w:rsidP="00BC703D">
            <w:pPr>
              <w:spacing w:after="0" w:line="240" w:lineRule="auto"/>
              <w:jc w:val="center"/>
              <w:rPr>
                <w:rFonts w:eastAsia="Times New Roman" w:cstheme="minorHAnsi"/>
                <w:b/>
                <w:sz w:val="20"/>
                <w:szCs w:val="20"/>
                <w:lang w:val="en-GB" w:eastAsia="en-AU"/>
              </w:rPr>
            </w:pPr>
            <w:r w:rsidRPr="00F30D75">
              <w:rPr>
                <w:rFonts w:eastAsia="Times New Roman" w:cstheme="minorHAnsi"/>
                <w:b/>
                <w:i/>
                <w:sz w:val="20"/>
                <w:szCs w:val="20"/>
                <w:lang w:val="en-GB" w:eastAsia="en-AU"/>
              </w:rPr>
              <w:t>P</w:t>
            </w:r>
            <w:r w:rsidRPr="00F30D75">
              <w:rPr>
                <w:rFonts w:eastAsia="Times New Roman" w:cstheme="minorHAnsi"/>
                <w:b/>
                <w:sz w:val="20"/>
                <w:szCs w:val="20"/>
                <w:lang w:val="en-GB" w:eastAsia="en-AU"/>
              </w:rPr>
              <w:t>-value</w:t>
            </w:r>
          </w:p>
        </w:tc>
      </w:tr>
      <w:tr w:rsidR="00FB6AD0" w:rsidRPr="00C61784" w14:paraId="4A715C33" w14:textId="77777777" w:rsidTr="00F30D75">
        <w:tc>
          <w:tcPr>
            <w:tcW w:w="2405" w:type="dxa"/>
            <w:tcBorders>
              <w:top w:val="single" w:sz="4" w:space="0" w:color="auto"/>
              <w:left w:val="nil"/>
              <w:bottom w:val="nil"/>
              <w:right w:val="nil"/>
            </w:tcBorders>
          </w:tcPr>
          <w:p w14:paraId="00704D0F" w14:textId="77777777" w:rsidR="00FB6AD0" w:rsidRPr="00F30D75" w:rsidRDefault="00FB6AD0" w:rsidP="00BC703D">
            <w:pPr>
              <w:spacing w:after="0" w:line="240" w:lineRule="auto"/>
              <w:rPr>
                <w:rFonts w:eastAsia="Times New Roman" w:cstheme="minorHAnsi"/>
                <w:b/>
                <w:sz w:val="20"/>
                <w:szCs w:val="20"/>
                <w:lang w:val="en-GB" w:eastAsia="en-AU"/>
              </w:rPr>
            </w:pPr>
            <w:proofErr w:type="gramStart"/>
            <w:r w:rsidRPr="00F30D75">
              <w:rPr>
                <w:rFonts w:cstheme="minorHAnsi"/>
                <w:b/>
                <w:sz w:val="20"/>
                <w:szCs w:val="20"/>
                <w:lang w:val="en-GB"/>
              </w:rPr>
              <w:t>Adults</w:t>
            </w:r>
            <w:proofErr w:type="gramEnd"/>
            <w:r w:rsidRPr="00F30D75">
              <w:rPr>
                <w:rFonts w:cstheme="minorHAnsi"/>
                <w:b/>
                <w:sz w:val="20"/>
                <w:szCs w:val="20"/>
                <w:lang w:val="en-GB"/>
              </w:rPr>
              <w:t xml:space="preserve"> cohort</w:t>
            </w:r>
          </w:p>
        </w:tc>
        <w:tc>
          <w:tcPr>
            <w:tcW w:w="1488" w:type="dxa"/>
            <w:tcBorders>
              <w:top w:val="single" w:sz="4" w:space="0" w:color="auto"/>
              <w:left w:val="nil"/>
              <w:bottom w:val="nil"/>
              <w:right w:val="nil"/>
            </w:tcBorders>
          </w:tcPr>
          <w:p w14:paraId="6F48F570"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single" w:sz="4" w:space="0" w:color="auto"/>
              <w:left w:val="nil"/>
              <w:bottom w:val="nil"/>
              <w:right w:val="nil"/>
            </w:tcBorders>
          </w:tcPr>
          <w:p w14:paraId="5CFCC458"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single" w:sz="4" w:space="0" w:color="auto"/>
              <w:left w:val="nil"/>
              <w:bottom w:val="nil"/>
              <w:right w:val="nil"/>
            </w:tcBorders>
          </w:tcPr>
          <w:p w14:paraId="680556AF"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single" w:sz="4" w:space="0" w:color="auto"/>
              <w:left w:val="nil"/>
              <w:bottom w:val="nil"/>
              <w:right w:val="nil"/>
            </w:tcBorders>
          </w:tcPr>
          <w:p w14:paraId="2FDB54F0"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2977" w:type="dxa"/>
            <w:tcBorders>
              <w:top w:val="single" w:sz="4" w:space="0" w:color="auto"/>
              <w:left w:val="nil"/>
              <w:bottom w:val="nil"/>
              <w:right w:val="nil"/>
            </w:tcBorders>
          </w:tcPr>
          <w:p w14:paraId="0C563B1B"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992" w:type="dxa"/>
            <w:tcBorders>
              <w:top w:val="single" w:sz="4" w:space="0" w:color="auto"/>
              <w:left w:val="nil"/>
              <w:bottom w:val="nil"/>
              <w:right w:val="nil"/>
            </w:tcBorders>
          </w:tcPr>
          <w:p w14:paraId="63262BF6" w14:textId="77777777" w:rsidR="00FB6AD0" w:rsidRPr="00C61784" w:rsidRDefault="00FB6AD0" w:rsidP="00BC703D">
            <w:pPr>
              <w:spacing w:after="0" w:line="240" w:lineRule="auto"/>
              <w:jc w:val="center"/>
              <w:rPr>
                <w:rFonts w:eastAsia="Times New Roman" w:cstheme="minorHAnsi"/>
                <w:sz w:val="20"/>
                <w:szCs w:val="20"/>
                <w:lang w:val="en-GB" w:eastAsia="en-AU"/>
              </w:rPr>
            </w:pPr>
          </w:p>
        </w:tc>
      </w:tr>
      <w:tr w:rsidR="00FB6AD0" w:rsidRPr="00C61784" w14:paraId="17303062" w14:textId="77777777" w:rsidTr="00BC703D">
        <w:tc>
          <w:tcPr>
            <w:tcW w:w="2405" w:type="dxa"/>
            <w:tcBorders>
              <w:top w:val="nil"/>
              <w:left w:val="nil"/>
              <w:bottom w:val="nil"/>
              <w:right w:val="nil"/>
            </w:tcBorders>
            <w:vAlign w:val="bottom"/>
          </w:tcPr>
          <w:p w14:paraId="79EAF694" w14:textId="77777777" w:rsidR="00FB6AD0" w:rsidRPr="00C61784" w:rsidRDefault="00FB6AD0" w:rsidP="00BC703D">
            <w:pPr>
              <w:spacing w:after="0" w:line="240" w:lineRule="auto"/>
              <w:rPr>
                <w:rFonts w:eastAsia="Times New Roman" w:cstheme="minorHAnsi"/>
                <w:sz w:val="20"/>
                <w:szCs w:val="20"/>
                <w:lang w:val="en-GB" w:eastAsia="en-AU"/>
              </w:rPr>
            </w:pPr>
            <w:r w:rsidRPr="00C61784">
              <w:rPr>
                <w:rFonts w:cstheme="minorHAnsi"/>
                <w:sz w:val="20"/>
                <w:szCs w:val="20"/>
                <w:lang w:val="en-GB"/>
              </w:rPr>
              <w:t xml:space="preserve">Costs </w:t>
            </w:r>
            <w:r>
              <w:rPr>
                <w:rFonts w:cstheme="minorHAnsi"/>
                <w:sz w:val="20"/>
                <w:szCs w:val="20"/>
                <w:lang w:val="en-GB"/>
              </w:rPr>
              <w:t>(A$)</w:t>
            </w:r>
          </w:p>
        </w:tc>
        <w:tc>
          <w:tcPr>
            <w:tcW w:w="1488" w:type="dxa"/>
            <w:tcBorders>
              <w:top w:val="nil"/>
              <w:left w:val="nil"/>
              <w:bottom w:val="nil"/>
              <w:right w:val="nil"/>
            </w:tcBorders>
          </w:tcPr>
          <w:p w14:paraId="460274BD"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tcPr>
          <w:p w14:paraId="674562EE"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tcPr>
          <w:p w14:paraId="6BF1305B"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tcPr>
          <w:p w14:paraId="1ED9027B"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2977" w:type="dxa"/>
            <w:tcBorders>
              <w:top w:val="nil"/>
              <w:left w:val="nil"/>
              <w:bottom w:val="nil"/>
              <w:right w:val="nil"/>
            </w:tcBorders>
          </w:tcPr>
          <w:p w14:paraId="0640E00F"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992" w:type="dxa"/>
            <w:tcBorders>
              <w:top w:val="nil"/>
              <w:left w:val="nil"/>
              <w:bottom w:val="nil"/>
              <w:right w:val="nil"/>
            </w:tcBorders>
          </w:tcPr>
          <w:p w14:paraId="01E05BD8" w14:textId="77777777" w:rsidR="00FB6AD0" w:rsidRPr="00C61784" w:rsidRDefault="00FB6AD0" w:rsidP="00BC703D">
            <w:pPr>
              <w:spacing w:after="0" w:line="240" w:lineRule="auto"/>
              <w:jc w:val="center"/>
              <w:rPr>
                <w:rFonts w:eastAsia="Times New Roman" w:cstheme="minorHAnsi"/>
                <w:sz w:val="20"/>
                <w:szCs w:val="20"/>
                <w:lang w:val="en-GB" w:eastAsia="en-AU"/>
              </w:rPr>
            </w:pPr>
          </w:p>
        </w:tc>
      </w:tr>
      <w:tr w:rsidR="00FB6AD0" w:rsidRPr="00C61784" w14:paraId="15E10678" w14:textId="77777777" w:rsidTr="00BC703D">
        <w:tc>
          <w:tcPr>
            <w:tcW w:w="2405" w:type="dxa"/>
            <w:tcBorders>
              <w:top w:val="nil"/>
              <w:left w:val="nil"/>
              <w:bottom w:val="nil"/>
              <w:right w:val="nil"/>
            </w:tcBorders>
            <w:vAlign w:val="bottom"/>
          </w:tcPr>
          <w:p w14:paraId="2EBCDAF3" w14:textId="77777777" w:rsidR="00FB6AD0" w:rsidRPr="00C61784" w:rsidRDefault="00FB6AD0" w:rsidP="00BC703D">
            <w:pPr>
              <w:spacing w:after="0" w:line="240" w:lineRule="auto"/>
              <w:rPr>
                <w:rFonts w:eastAsia="Times New Roman" w:cstheme="minorHAnsi"/>
                <w:sz w:val="20"/>
                <w:szCs w:val="20"/>
                <w:lang w:val="en-GB" w:eastAsia="en-AU"/>
              </w:rPr>
            </w:pPr>
            <w:r>
              <w:rPr>
                <w:rFonts w:cstheme="minorHAnsi"/>
                <w:sz w:val="20"/>
                <w:szCs w:val="20"/>
                <w:lang w:val="en-GB"/>
              </w:rPr>
              <w:t> </w:t>
            </w:r>
            <w:r w:rsidRPr="00C61784">
              <w:rPr>
                <w:rFonts w:cstheme="minorHAnsi"/>
                <w:sz w:val="20"/>
                <w:szCs w:val="20"/>
                <w:lang w:val="en-GB"/>
              </w:rPr>
              <w:t xml:space="preserve">Hospital </w:t>
            </w:r>
          </w:p>
        </w:tc>
        <w:tc>
          <w:tcPr>
            <w:tcW w:w="1488" w:type="dxa"/>
            <w:tcBorders>
              <w:top w:val="nil"/>
              <w:left w:val="nil"/>
              <w:bottom w:val="nil"/>
              <w:right w:val="nil"/>
            </w:tcBorders>
            <w:vAlign w:val="center"/>
          </w:tcPr>
          <w:p w14:paraId="1E28615D"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6223 (1309)</w:t>
            </w:r>
          </w:p>
        </w:tc>
        <w:tc>
          <w:tcPr>
            <w:tcW w:w="1772" w:type="dxa"/>
            <w:tcBorders>
              <w:top w:val="nil"/>
              <w:left w:val="nil"/>
              <w:bottom w:val="nil"/>
              <w:right w:val="nil"/>
            </w:tcBorders>
          </w:tcPr>
          <w:p w14:paraId="0E2BF266"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8190 (1292)</w:t>
            </w:r>
          </w:p>
        </w:tc>
        <w:tc>
          <w:tcPr>
            <w:tcW w:w="1772" w:type="dxa"/>
            <w:tcBorders>
              <w:top w:val="nil"/>
              <w:left w:val="nil"/>
              <w:bottom w:val="nil"/>
              <w:right w:val="nil"/>
            </w:tcBorders>
            <w:vAlign w:val="center"/>
          </w:tcPr>
          <w:p w14:paraId="46FEDCB7"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3319 (2351)</w:t>
            </w:r>
          </w:p>
        </w:tc>
        <w:tc>
          <w:tcPr>
            <w:tcW w:w="1772" w:type="dxa"/>
            <w:tcBorders>
              <w:top w:val="nil"/>
              <w:left w:val="nil"/>
              <w:bottom w:val="nil"/>
              <w:right w:val="nil"/>
            </w:tcBorders>
          </w:tcPr>
          <w:p w14:paraId="3A663205"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7629 (3123)</w:t>
            </w:r>
          </w:p>
        </w:tc>
        <w:tc>
          <w:tcPr>
            <w:tcW w:w="2977" w:type="dxa"/>
            <w:tcBorders>
              <w:top w:val="nil"/>
              <w:left w:val="nil"/>
              <w:bottom w:val="nil"/>
              <w:right w:val="nil"/>
            </w:tcBorders>
            <w:vAlign w:val="center"/>
          </w:tcPr>
          <w:p w14:paraId="7D99C5FA"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2343 (</w:t>
            </w:r>
            <w:r>
              <w:rPr>
                <w:rFonts w:cstheme="minorHAnsi"/>
                <w:color w:val="000000"/>
                <w:sz w:val="20"/>
                <w:szCs w:val="20"/>
                <w:lang w:val="en-GB" w:eastAsia="en-GB"/>
              </w:rPr>
              <w:t>–</w:t>
            </w:r>
            <w:r w:rsidRPr="00C61784">
              <w:rPr>
                <w:rFonts w:cstheme="minorHAnsi"/>
                <w:color w:val="000000"/>
                <w:sz w:val="20"/>
                <w:szCs w:val="20"/>
                <w:lang w:val="en-GB" w:eastAsia="en-GB"/>
              </w:rPr>
              <w:t>6845 to 11</w:t>
            </w:r>
            <w:r>
              <w:rPr>
                <w:rFonts w:cstheme="minorHAnsi"/>
                <w:color w:val="000000"/>
                <w:sz w:val="20"/>
                <w:szCs w:val="20"/>
                <w:lang w:val="en-GB" w:eastAsia="en-GB"/>
              </w:rPr>
              <w:t>,</w:t>
            </w:r>
            <w:r w:rsidRPr="00C61784">
              <w:rPr>
                <w:rFonts w:cstheme="minorHAnsi"/>
                <w:color w:val="000000"/>
                <w:sz w:val="20"/>
                <w:szCs w:val="20"/>
                <w:lang w:val="en-GB" w:eastAsia="en-GB"/>
              </w:rPr>
              <w:t>532)</w:t>
            </w:r>
          </w:p>
        </w:tc>
        <w:tc>
          <w:tcPr>
            <w:tcW w:w="992" w:type="dxa"/>
            <w:tcBorders>
              <w:top w:val="nil"/>
              <w:left w:val="nil"/>
              <w:bottom w:val="nil"/>
              <w:right w:val="nil"/>
            </w:tcBorders>
            <w:vAlign w:val="center"/>
          </w:tcPr>
          <w:p w14:paraId="0F4CF1B3"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0.617</w:t>
            </w:r>
          </w:p>
        </w:tc>
      </w:tr>
      <w:tr w:rsidR="00FB6AD0" w:rsidRPr="00C61784" w14:paraId="3FC0931E" w14:textId="77777777" w:rsidTr="00BC703D">
        <w:tc>
          <w:tcPr>
            <w:tcW w:w="2405" w:type="dxa"/>
            <w:tcBorders>
              <w:top w:val="nil"/>
              <w:left w:val="nil"/>
              <w:bottom w:val="nil"/>
              <w:right w:val="nil"/>
            </w:tcBorders>
          </w:tcPr>
          <w:p w14:paraId="74C1E409" w14:textId="77777777" w:rsidR="00FB6AD0" w:rsidRPr="00C61784" w:rsidRDefault="00FB6AD0" w:rsidP="00BC703D">
            <w:pPr>
              <w:spacing w:after="0" w:line="240" w:lineRule="auto"/>
              <w:rPr>
                <w:rFonts w:eastAsia="Times New Roman" w:cstheme="minorHAnsi"/>
                <w:sz w:val="20"/>
                <w:szCs w:val="20"/>
                <w:lang w:val="en-GB" w:eastAsia="en-AU"/>
              </w:rPr>
            </w:pPr>
            <w:r>
              <w:rPr>
                <w:rFonts w:cstheme="minorHAnsi"/>
                <w:sz w:val="20"/>
                <w:szCs w:val="20"/>
                <w:lang w:val="en-GB"/>
              </w:rPr>
              <w:t> </w:t>
            </w:r>
            <w:r w:rsidRPr="00C61784">
              <w:rPr>
                <w:rFonts w:cstheme="minorHAnsi"/>
                <w:sz w:val="20"/>
                <w:szCs w:val="20"/>
                <w:lang w:val="en-GB"/>
              </w:rPr>
              <w:t>Medicare</w:t>
            </w:r>
          </w:p>
        </w:tc>
        <w:tc>
          <w:tcPr>
            <w:tcW w:w="1488" w:type="dxa"/>
            <w:tcBorders>
              <w:top w:val="nil"/>
              <w:left w:val="nil"/>
              <w:bottom w:val="nil"/>
              <w:right w:val="nil"/>
            </w:tcBorders>
            <w:vAlign w:val="center"/>
          </w:tcPr>
          <w:p w14:paraId="4D56212F"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2835 (211)</w:t>
            </w:r>
          </w:p>
        </w:tc>
        <w:tc>
          <w:tcPr>
            <w:tcW w:w="1772" w:type="dxa"/>
            <w:tcBorders>
              <w:top w:val="nil"/>
              <w:left w:val="nil"/>
              <w:bottom w:val="nil"/>
              <w:right w:val="nil"/>
            </w:tcBorders>
          </w:tcPr>
          <w:p w14:paraId="7C43E1E9"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4653 (199)</w:t>
            </w:r>
          </w:p>
        </w:tc>
        <w:tc>
          <w:tcPr>
            <w:tcW w:w="1772" w:type="dxa"/>
            <w:tcBorders>
              <w:top w:val="nil"/>
              <w:left w:val="nil"/>
              <w:bottom w:val="nil"/>
              <w:right w:val="nil"/>
            </w:tcBorders>
            <w:vAlign w:val="center"/>
          </w:tcPr>
          <w:p w14:paraId="533E9FAE"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3049 (296)</w:t>
            </w:r>
          </w:p>
        </w:tc>
        <w:tc>
          <w:tcPr>
            <w:tcW w:w="1772" w:type="dxa"/>
            <w:tcBorders>
              <w:top w:val="nil"/>
              <w:left w:val="nil"/>
              <w:bottom w:val="nil"/>
              <w:right w:val="nil"/>
            </w:tcBorders>
          </w:tcPr>
          <w:p w14:paraId="2480AFC1"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5855 (128)</w:t>
            </w:r>
          </w:p>
        </w:tc>
        <w:tc>
          <w:tcPr>
            <w:tcW w:w="2977" w:type="dxa"/>
            <w:tcBorders>
              <w:top w:val="nil"/>
              <w:left w:val="nil"/>
              <w:bottom w:val="nil"/>
              <w:right w:val="nil"/>
            </w:tcBorders>
            <w:vAlign w:val="center"/>
          </w:tcPr>
          <w:p w14:paraId="77E334E9"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989 (</w:t>
            </w:r>
            <w:r>
              <w:rPr>
                <w:rFonts w:cstheme="minorHAnsi"/>
                <w:color w:val="000000"/>
                <w:sz w:val="20"/>
                <w:szCs w:val="20"/>
                <w:lang w:val="en-GB" w:eastAsia="en-GB"/>
              </w:rPr>
              <w:t>–</w:t>
            </w:r>
            <w:r w:rsidRPr="00C61784">
              <w:rPr>
                <w:rFonts w:cstheme="minorHAnsi"/>
                <w:color w:val="000000"/>
                <w:sz w:val="20"/>
                <w:szCs w:val="20"/>
                <w:lang w:val="en-GB" w:eastAsia="en-GB"/>
              </w:rPr>
              <w:t>25 to 2002)</w:t>
            </w:r>
          </w:p>
        </w:tc>
        <w:tc>
          <w:tcPr>
            <w:tcW w:w="992" w:type="dxa"/>
            <w:tcBorders>
              <w:top w:val="nil"/>
              <w:left w:val="nil"/>
              <w:bottom w:val="nil"/>
              <w:right w:val="nil"/>
            </w:tcBorders>
            <w:vAlign w:val="center"/>
          </w:tcPr>
          <w:p w14:paraId="6271B884"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0.056</w:t>
            </w:r>
          </w:p>
        </w:tc>
      </w:tr>
      <w:tr w:rsidR="00FB6AD0" w:rsidRPr="00C61784" w14:paraId="1156BB80" w14:textId="77777777" w:rsidTr="00BC703D">
        <w:tc>
          <w:tcPr>
            <w:tcW w:w="2405" w:type="dxa"/>
            <w:tcBorders>
              <w:top w:val="nil"/>
              <w:left w:val="nil"/>
              <w:bottom w:val="nil"/>
              <w:right w:val="nil"/>
            </w:tcBorders>
          </w:tcPr>
          <w:p w14:paraId="59D8C6B4" w14:textId="77777777" w:rsidR="00FB6AD0" w:rsidRPr="00C61784" w:rsidRDefault="00FB6AD0" w:rsidP="00BC703D">
            <w:pPr>
              <w:spacing w:after="0" w:line="240" w:lineRule="auto"/>
              <w:rPr>
                <w:rFonts w:eastAsia="Times New Roman" w:cstheme="minorHAnsi"/>
                <w:sz w:val="20"/>
                <w:szCs w:val="20"/>
                <w:lang w:val="en-GB" w:eastAsia="en-AU"/>
              </w:rPr>
            </w:pPr>
            <w:r>
              <w:rPr>
                <w:rFonts w:cstheme="minorHAnsi"/>
                <w:sz w:val="20"/>
                <w:szCs w:val="20"/>
                <w:lang w:val="en-GB"/>
              </w:rPr>
              <w:t> </w:t>
            </w:r>
            <w:r w:rsidRPr="00C61784">
              <w:rPr>
                <w:rFonts w:cstheme="minorHAnsi"/>
                <w:sz w:val="20"/>
                <w:szCs w:val="20"/>
                <w:lang w:val="en-GB"/>
              </w:rPr>
              <w:t xml:space="preserve">PBS </w:t>
            </w:r>
          </w:p>
        </w:tc>
        <w:tc>
          <w:tcPr>
            <w:tcW w:w="1488" w:type="dxa"/>
            <w:tcBorders>
              <w:top w:val="nil"/>
              <w:left w:val="nil"/>
              <w:bottom w:val="nil"/>
              <w:right w:val="nil"/>
            </w:tcBorders>
            <w:vAlign w:val="center"/>
          </w:tcPr>
          <w:p w14:paraId="6C4BDB4D"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1903 (287)</w:t>
            </w:r>
          </w:p>
        </w:tc>
        <w:tc>
          <w:tcPr>
            <w:tcW w:w="1772" w:type="dxa"/>
            <w:tcBorders>
              <w:top w:val="nil"/>
              <w:left w:val="nil"/>
              <w:bottom w:val="nil"/>
              <w:right w:val="nil"/>
            </w:tcBorders>
          </w:tcPr>
          <w:p w14:paraId="3529191A"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3930 (191)</w:t>
            </w:r>
          </w:p>
        </w:tc>
        <w:tc>
          <w:tcPr>
            <w:tcW w:w="1772" w:type="dxa"/>
            <w:tcBorders>
              <w:top w:val="nil"/>
              <w:left w:val="nil"/>
              <w:bottom w:val="nil"/>
              <w:right w:val="nil"/>
            </w:tcBorders>
            <w:vAlign w:val="center"/>
          </w:tcPr>
          <w:p w14:paraId="04B4C54D"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1931 (369)</w:t>
            </w:r>
          </w:p>
        </w:tc>
        <w:tc>
          <w:tcPr>
            <w:tcW w:w="1772" w:type="dxa"/>
            <w:tcBorders>
              <w:top w:val="nil"/>
              <w:left w:val="nil"/>
              <w:bottom w:val="nil"/>
              <w:right w:val="nil"/>
            </w:tcBorders>
          </w:tcPr>
          <w:p w14:paraId="2601E00F"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4509 (245)</w:t>
            </w:r>
          </w:p>
        </w:tc>
        <w:tc>
          <w:tcPr>
            <w:tcW w:w="2977" w:type="dxa"/>
            <w:tcBorders>
              <w:top w:val="nil"/>
              <w:left w:val="nil"/>
              <w:bottom w:val="nil"/>
              <w:right w:val="nil"/>
            </w:tcBorders>
            <w:vAlign w:val="center"/>
          </w:tcPr>
          <w:p w14:paraId="30FD650F"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551 (</w:t>
            </w:r>
            <w:r>
              <w:rPr>
                <w:rFonts w:cstheme="minorHAnsi"/>
                <w:color w:val="000000"/>
                <w:sz w:val="20"/>
                <w:szCs w:val="20"/>
                <w:lang w:val="en-GB" w:eastAsia="en-GB"/>
              </w:rPr>
              <w:t>–</w:t>
            </w:r>
            <w:r w:rsidRPr="00C61784">
              <w:rPr>
                <w:rFonts w:cstheme="minorHAnsi"/>
                <w:color w:val="000000"/>
                <w:sz w:val="20"/>
                <w:szCs w:val="20"/>
                <w:lang w:val="en-GB" w:eastAsia="en-GB"/>
              </w:rPr>
              <w:t>813 to 1915)</w:t>
            </w:r>
          </w:p>
        </w:tc>
        <w:tc>
          <w:tcPr>
            <w:tcW w:w="992" w:type="dxa"/>
            <w:tcBorders>
              <w:top w:val="nil"/>
              <w:left w:val="nil"/>
              <w:bottom w:val="nil"/>
              <w:right w:val="nil"/>
            </w:tcBorders>
            <w:vAlign w:val="center"/>
          </w:tcPr>
          <w:p w14:paraId="041AC07A"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0.428</w:t>
            </w:r>
          </w:p>
        </w:tc>
      </w:tr>
      <w:tr w:rsidR="00FB6AD0" w:rsidRPr="00C61784" w14:paraId="20864867" w14:textId="77777777" w:rsidTr="00BC703D">
        <w:tc>
          <w:tcPr>
            <w:tcW w:w="2405" w:type="dxa"/>
            <w:tcBorders>
              <w:top w:val="nil"/>
              <w:left w:val="nil"/>
              <w:bottom w:val="nil"/>
              <w:right w:val="nil"/>
            </w:tcBorders>
          </w:tcPr>
          <w:p w14:paraId="4763D34C" w14:textId="77777777" w:rsidR="00FB6AD0" w:rsidRPr="00C61784" w:rsidRDefault="00FB6AD0" w:rsidP="00BC703D">
            <w:pPr>
              <w:spacing w:after="0" w:line="240" w:lineRule="auto"/>
              <w:rPr>
                <w:rFonts w:eastAsia="Times New Roman" w:cstheme="minorHAnsi"/>
                <w:sz w:val="20"/>
                <w:szCs w:val="20"/>
                <w:lang w:val="en-GB" w:eastAsia="en-AU"/>
              </w:rPr>
            </w:pPr>
            <w:r>
              <w:rPr>
                <w:rFonts w:cstheme="minorHAnsi"/>
                <w:sz w:val="20"/>
                <w:szCs w:val="20"/>
                <w:lang w:val="en-GB"/>
              </w:rPr>
              <w:t> </w:t>
            </w:r>
            <w:r w:rsidRPr="00C61784">
              <w:rPr>
                <w:rFonts w:cstheme="minorHAnsi"/>
                <w:sz w:val="20"/>
                <w:szCs w:val="20"/>
                <w:lang w:val="en-GB"/>
              </w:rPr>
              <w:t xml:space="preserve">Intervention </w:t>
            </w:r>
          </w:p>
        </w:tc>
        <w:tc>
          <w:tcPr>
            <w:tcW w:w="1488" w:type="dxa"/>
            <w:tcBorders>
              <w:top w:val="nil"/>
              <w:left w:val="nil"/>
              <w:bottom w:val="nil"/>
              <w:right w:val="nil"/>
            </w:tcBorders>
            <w:vAlign w:val="center"/>
          </w:tcPr>
          <w:p w14:paraId="5BADF47B"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sz w:val="20"/>
                <w:szCs w:val="20"/>
                <w:lang w:val="en-GB"/>
              </w:rPr>
              <w:t>0</w:t>
            </w:r>
          </w:p>
        </w:tc>
        <w:tc>
          <w:tcPr>
            <w:tcW w:w="1772" w:type="dxa"/>
            <w:tcBorders>
              <w:top w:val="nil"/>
              <w:left w:val="nil"/>
              <w:bottom w:val="nil"/>
              <w:right w:val="nil"/>
            </w:tcBorders>
          </w:tcPr>
          <w:p w14:paraId="3B8905C6"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sz w:val="20"/>
                <w:szCs w:val="20"/>
                <w:lang w:val="en-GB"/>
              </w:rPr>
              <w:t>0</w:t>
            </w:r>
          </w:p>
        </w:tc>
        <w:tc>
          <w:tcPr>
            <w:tcW w:w="1772" w:type="dxa"/>
            <w:tcBorders>
              <w:top w:val="nil"/>
              <w:left w:val="nil"/>
              <w:bottom w:val="nil"/>
              <w:right w:val="nil"/>
            </w:tcBorders>
          </w:tcPr>
          <w:p w14:paraId="12AF56C6"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sz w:val="20"/>
                <w:szCs w:val="20"/>
                <w:lang w:val="en-GB"/>
              </w:rPr>
              <w:t>0</w:t>
            </w:r>
          </w:p>
        </w:tc>
        <w:tc>
          <w:tcPr>
            <w:tcW w:w="1772" w:type="dxa"/>
            <w:tcBorders>
              <w:top w:val="nil"/>
              <w:left w:val="nil"/>
              <w:bottom w:val="nil"/>
              <w:right w:val="nil"/>
            </w:tcBorders>
          </w:tcPr>
          <w:p w14:paraId="6BA0953C"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sz w:val="20"/>
                <w:szCs w:val="20"/>
                <w:lang w:val="en-GB"/>
              </w:rPr>
              <w:t>1026</w:t>
            </w:r>
          </w:p>
        </w:tc>
        <w:tc>
          <w:tcPr>
            <w:tcW w:w="2977" w:type="dxa"/>
            <w:tcBorders>
              <w:top w:val="nil"/>
              <w:left w:val="nil"/>
              <w:bottom w:val="nil"/>
              <w:right w:val="nil"/>
            </w:tcBorders>
            <w:vAlign w:val="center"/>
          </w:tcPr>
          <w:p w14:paraId="0A8A1E8E"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sz w:val="20"/>
                <w:szCs w:val="20"/>
                <w:lang w:val="en-GB"/>
              </w:rPr>
              <w:t>1026 (1026 to 1026)</w:t>
            </w:r>
          </w:p>
        </w:tc>
        <w:tc>
          <w:tcPr>
            <w:tcW w:w="992" w:type="dxa"/>
            <w:tcBorders>
              <w:top w:val="nil"/>
              <w:left w:val="nil"/>
              <w:bottom w:val="nil"/>
              <w:right w:val="nil"/>
            </w:tcBorders>
            <w:vAlign w:val="center"/>
          </w:tcPr>
          <w:p w14:paraId="6FC2D585"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sz w:val="20"/>
                <w:szCs w:val="20"/>
                <w:lang w:val="en-GB"/>
              </w:rPr>
              <w:t>&lt;0.001</w:t>
            </w:r>
          </w:p>
        </w:tc>
      </w:tr>
      <w:tr w:rsidR="00FB6AD0" w:rsidRPr="00C61784" w14:paraId="59A5222A" w14:textId="77777777" w:rsidTr="00BC703D">
        <w:tc>
          <w:tcPr>
            <w:tcW w:w="2405" w:type="dxa"/>
            <w:tcBorders>
              <w:top w:val="nil"/>
              <w:left w:val="nil"/>
              <w:bottom w:val="nil"/>
              <w:right w:val="nil"/>
            </w:tcBorders>
          </w:tcPr>
          <w:p w14:paraId="5A945F46" w14:textId="77777777" w:rsidR="00FB6AD0" w:rsidRPr="00C61784" w:rsidRDefault="00FB6AD0" w:rsidP="00BC703D">
            <w:pPr>
              <w:spacing w:after="0" w:line="240" w:lineRule="auto"/>
              <w:rPr>
                <w:rFonts w:eastAsia="Times New Roman" w:cstheme="minorHAnsi"/>
                <w:sz w:val="20"/>
                <w:szCs w:val="20"/>
                <w:lang w:val="en-GB" w:eastAsia="en-AU"/>
              </w:rPr>
            </w:pPr>
            <w:r>
              <w:rPr>
                <w:rFonts w:cstheme="minorHAnsi"/>
                <w:sz w:val="20"/>
                <w:szCs w:val="20"/>
                <w:lang w:val="en-GB"/>
              </w:rPr>
              <w:t> </w:t>
            </w:r>
            <w:r w:rsidRPr="00C61784">
              <w:rPr>
                <w:rFonts w:cstheme="minorHAnsi"/>
                <w:sz w:val="20"/>
                <w:szCs w:val="20"/>
                <w:lang w:val="en-GB"/>
              </w:rPr>
              <w:t>Total costs</w:t>
            </w:r>
          </w:p>
        </w:tc>
        <w:tc>
          <w:tcPr>
            <w:tcW w:w="1488" w:type="dxa"/>
            <w:tcBorders>
              <w:top w:val="nil"/>
              <w:left w:val="nil"/>
              <w:bottom w:val="nil"/>
              <w:right w:val="nil"/>
            </w:tcBorders>
            <w:vAlign w:val="center"/>
          </w:tcPr>
          <w:p w14:paraId="0917E1B1"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10</w:t>
            </w:r>
            <w:r>
              <w:rPr>
                <w:rFonts w:cstheme="minorHAnsi"/>
                <w:color w:val="000000"/>
                <w:sz w:val="20"/>
                <w:szCs w:val="20"/>
                <w:lang w:val="en-GB"/>
              </w:rPr>
              <w:t>,</w:t>
            </w:r>
            <w:r w:rsidRPr="00C61784">
              <w:rPr>
                <w:rFonts w:cstheme="minorHAnsi"/>
                <w:color w:val="000000"/>
                <w:sz w:val="20"/>
                <w:szCs w:val="20"/>
                <w:lang w:val="en-GB"/>
              </w:rPr>
              <w:t>945 (1112)</w:t>
            </w:r>
          </w:p>
        </w:tc>
        <w:tc>
          <w:tcPr>
            <w:tcW w:w="1772" w:type="dxa"/>
            <w:tcBorders>
              <w:top w:val="nil"/>
              <w:left w:val="nil"/>
              <w:bottom w:val="nil"/>
              <w:right w:val="nil"/>
            </w:tcBorders>
            <w:vAlign w:val="center"/>
          </w:tcPr>
          <w:p w14:paraId="7439EDEF"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15</w:t>
            </w:r>
            <w:r>
              <w:rPr>
                <w:rFonts w:cstheme="minorHAnsi"/>
                <w:color w:val="000000"/>
                <w:sz w:val="20"/>
                <w:szCs w:val="20"/>
                <w:lang w:val="en-GB"/>
              </w:rPr>
              <w:t>,</w:t>
            </w:r>
            <w:r w:rsidRPr="00C61784">
              <w:rPr>
                <w:rFonts w:cstheme="minorHAnsi"/>
                <w:color w:val="000000"/>
                <w:sz w:val="20"/>
                <w:szCs w:val="20"/>
                <w:lang w:val="en-GB"/>
              </w:rPr>
              <w:t>596 (836)</w:t>
            </w:r>
          </w:p>
        </w:tc>
        <w:tc>
          <w:tcPr>
            <w:tcW w:w="1772" w:type="dxa"/>
            <w:tcBorders>
              <w:top w:val="nil"/>
              <w:left w:val="nil"/>
              <w:bottom w:val="nil"/>
              <w:right w:val="nil"/>
            </w:tcBorders>
            <w:vAlign w:val="center"/>
          </w:tcPr>
          <w:p w14:paraId="6D69D139"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8177 (3025)</w:t>
            </w:r>
          </w:p>
        </w:tc>
        <w:tc>
          <w:tcPr>
            <w:tcW w:w="1772" w:type="dxa"/>
            <w:tcBorders>
              <w:top w:val="nil"/>
              <w:left w:val="nil"/>
              <w:bottom w:val="nil"/>
              <w:right w:val="nil"/>
            </w:tcBorders>
          </w:tcPr>
          <w:p w14:paraId="0F8C6B06"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18</w:t>
            </w:r>
            <w:r>
              <w:rPr>
                <w:rFonts w:cstheme="minorHAnsi"/>
                <w:color w:val="000000"/>
                <w:sz w:val="20"/>
                <w:szCs w:val="20"/>
                <w:lang w:val="en-GB"/>
              </w:rPr>
              <w:t>,</w:t>
            </w:r>
            <w:r w:rsidRPr="00C61784">
              <w:rPr>
                <w:rFonts w:cstheme="minorHAnsi"/>
                <w:color w:val="000000"/>
                <w:sz w:val="20"/>
                <w:szCs w:val="20"/>
                <w:lang w:val="en-GB"/>
              </w:rPr>
              <w:t>287 (3325)</w:t>
            </w:r>
          </w:p>
        </w:tc>
        <w:tc>
          <w:tcPr>
            <w:tcW w:w="2977" w:type="dxa"/>
            <w:tcBorders>
              <w:top w:val="nil"/>
              <w:left w:val="nil"/>
              <w:bottom w:val="nil"/>
              <w:right w:val="nil"/>
            </w:tcBorders>
            <w:vAlign w:val="center"/>
          </w:tcPr>
          <w:p w14:paraId="18F28DA3"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5458 (</w:t>
            </w:r>
            <w:r>
              <w:rPr>
                <w:rFonts w:cstheme="minorHAnsi"/>
                <w:color w:val="000000"/>
                <w:sz w:val="20"/>
                <w:szCs w:val="20"/>
                <w:lang w:val="en-GB"/>
              </w:rPr>
              <w:t>–</w:t>
            </w:r>
            <w:r w:rsidRPr="00C61784">
              <w:rPr>
                <w:rFonts w:cstheme="minorHAnsi"/>
                <w:color w:val="000000"/>
                <w:sz w:val="20"/>
                <w:szCs w:val="20"/>
                <w:lang w:val="en-GB"/>
              </w:rPr>
              <w:t>6101 to 17</w:t>
            </w:r>
            <w:r>
              <w:rPr>
                <w:rFonts w:cstheme="minorHAnsi"/>
                <w:color w:val="000000"/>
                <w:sz w:val="20"/>
                <w:szCs w:val="20"/>
                <w:lang w:val="en-GB"/>
              </w:rPr>
              <w:t>,</w:t>
            </w:r>
            <w:r w:rsidRPr="00C61784">
              <w:rPr>
                <w:rFonts w:cstheme="minorHAnsi"/>
                <w:color w:val="000000"/>
                <w:sz w:val="20"/>
                <w:szCs w:val="20"/>
                <w:lang w:val="en-GB"/>
              </w:rPr>
              <w:t>017)</w:t>
            </w:r>
          </w:p>
        </w:tc>
        <w:tc>
          <w:tcPr>
            <w:tcW w:w="992" w:type="dxa"/>
            <w:tcBorders>
              <w:top w:val="nil"/>
              <w:left w:val="nil"/>
              <w:bottom w:val="nil"/>
              <w:right w:val="nil"/>
            </w:tcBorders>
            <w:vAlign w:val="center"/>
          </w:tcPr>
          <w:p w14:paraId="2C30727E"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0.355</w:t>
            </w:r>
          </w:p>
        </w:tc>
      </w:tr>
      <w:tr w:rsidR="00FB6AD0" w:rsidRPr="00C61784" w14:paraId="69C94833" w14:textId="77777777" w:rsidTr="00BC703D">
        <w:tc>
          <w:tcPr>
            <w:tcW w:w="2405" w:type="dxa"/>
            <w:tcBorders>
              <w:top w:val="nil"/>
              <w:left w:val="nil"/>
              <w:bottom w:val="nil"/>
              <w:right w:val="nil"/>
            </w:tcBorders>
          </w:tcPr>
          <w:p w14:paraId="2F1C8FA8" w14:textId="77777777" w:rsidR="00FB6AD0" w:rsidRPr="00C61784" w:rsidRDefault="00FB6AD0" w:rsidP="00BC703D">
            <w:pPr>
              <w:spacing w:after="0" w:line="240" w:lineRule="auto"/>
              <w:rPr>
                <w:rFonts w:eastAsia="Times New Roman" w:cstheme="minorHAnsi"/>
                <w:sz w:val="20"/>
                <w:szCs w:val="20"/>
                <w:lang w:val="en-GB" w:eastAsia="en-AU"/>
              </w:rPr>
            </w:pPr>
            <w:r w:rsidRPr="00C61784">
              <w:rPr>
                <w:rFonts w:cstheme="minorHAnsi"/>
                <w:sz w:val="20"/>
                <w:szCs w:val="20"/>
                <w:lang w:val="en-GB"/>
              </w:rPr>
              <w:t>Outcome</w:t>
            </w:r>
          </w:p>
        </w:tc>
        <w:tc>
          <w:tcPr>
            <w:tcW w:w="1488" w:type="dxa"/>
            <w:tcBorders>
              <w:top w:val="nil"/>
              <w:left w:val="nil"/>
              <w:bottom w:val="nil"/>
              <w:right w:val="nil"/>
            </w:tcBorders>
            <w:vAlign w:val="center"/>
          </w:tcPr>
          <w:p w14:paraId="75BFF72B"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tcPr>
          <w:p w14:paraId="607A3656"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vAlign w:val="center"/>
          </w:tcPr>
          <w:p w14:paraId="4B837C0D"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tcPr>
          <w:p w14:paraId="0E3ACD67"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2977" w:type="dxa"/>
            <w:tcBorders>
              <w:top w:val="nil"/>
              <w:left w:val="nil"/>
              <w:bottom w:val="nil"/>
              <w:right w:val="nil"/>
            </w:tcBorders>
          </w:tcPr>
          <w:p w14:paraId="00E69142"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992" w:type="dxa"/>
            <w:tcBorders>
              <w:top w:val="nil"/>
              <w:left w:val="nil"/>
              <w:bottom w:val="nil"/>
              <w:right w:val="nil"/>
            </w:tcBorders>
          </w:tcPr>
          <w:p w14:paraId="285F443B" w14:textId="77777777" w:rsidR="00FB6AD0" w:rsidRPr="00C61784" w:rsidRDefault="00FB6AD0" w:rsidP="00BC703D">
            <w:pPr>
              <w:spacing w:after="0" w:line="240" w:lineRule="auto"/>
              <w:jc w:val="center"/>
              <w:rPr>
                <w:rFonts w:eastAsia="Times New Roman" w:cstheme="minorHAnsi"/>
                <w:sz w:val="20"/>
                <w:szCs w:val="20"/>
                <w:lang w:val="en-GB" w:eastAsia="en-AU"/>
              </w:rPr>
            </w:pPr>
          </w:p>
        </w:tc>
      </w:tr>
      <w:tr w:rsidR="00FB6AD0" w:rsidRPr="00C61784" w14:paraId="2A0C0B83" w14:textId="77777777" w:rsidTr="00BC703D">
        <w:tc>
          <w:tcPr>
            <w:tcW w:w="2405" w:type="dxa"/>
            <w:tcBorders>
              <w:top w:val="nil"/>
              <w:left w:val="nil"/>
              <w:bottom w:val="nil"/>
              <w:right w:val="nil"/>
            </w:tcBorders>
          </w:tcPr>
          <w:p w14:paraId="69E3BDC7" w14:textId="77777777" w:rsidR="00FB6AD0" w:rsidRPr="00C61784" w:rsidRDefault="00FB6AD0" w:rsidP="00BC703D">
            <w:pPr>
              <w:spacing w:after="0" w:line="240" w:lineRule="auto"/>
              <w:rPr>
                <w:rFonts w:eastAsia="Times New Roman" w:cstheme="minorHAnsi"/>
                <w:sz w:val="20"/>
                <w:szCs w:val="20"/>
                <w:lang w:val="en-GB" w:eastAsia="en-AU"/>
              </w:rPr>
            </w:pPr>
            <w:r>
              <w:rPr>
                <w:rFonts w:cstheme="minorHAnsi"/>
                <w:sz w:val="20"/>
                <w:szCs w:val="20"/>
                <w:lang w:val="en-GB"/>
              </w:rPr>
              <w:t> </w:t>
            </w:r>
            <w:r w:rsidRPr="00C61784">
              <w:rPr>
                <w:rFonts w:cstheme="minorHAnsi"/>
                <w:sz w:val="20"/>
                <w:szCs w:val="20"/>
                <w:lang w:val="en-GB"/>
              </w:rPr>
              <w:t>EQ-5D-5L</w:t>
            </w:r>
          </w:p>
        </w:tc>
        <w:tc>
          <w:tcPr>
            <w:tcW w:w="1488" w:type="dxa"/>
            <w:tcBorders>
              <w:top w:val="nil"/>
              <w:left w:val="nil"/>
              <w:bottom w:val="nil"/>
              <w:right w:val="nil"/>
            </w:tcBorders>
            <w:vAlign w:val="center"/>
          </w:tcPr>
          <w:p w14:paraId="60F47D5E"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0.531 (0.029)</w:t>
            </w:r>
          </w:p>
        </w:tc>
        <w:tc>
          <w:tcPr>
            <w:tcW w:w="1772" w:type="dxa"/>
            <w:tcBorders>
              <w:top w:val="nil"/>
              <w:left w:val="nil"/>
              <w:bottom w:val="nil"/>
              <w:right w:val="nil"/>
            </w:tcBorders>
          </w:tcPr>
          <w:p w14:paraId="1E7A6594"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0.531 (0.029)</w:t>
            </w:r>
          </w:p>
        </w:tc>
        <w:tc>
          <w:tcPr>
            <w:tcW w:w="1772" w:type="dxa"/>
            <w:tcBorders>
              <w:top w:val="nil"/>
              <w:left w:val="nil"/>
              <w:bottom w:val="nil"/>
              <w:right w:val="nil"/>
            </w:tcBorders>
            <w:vAlign w:val="center"/>
          </w:tcPr>
          <w:p w14:paraId="58979DDB"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0.529 (0.027)</w:t>
            </w:r>
          </w:p>
        </w:tc>
        <w:tc>
          <w:tcPr>
            <w:tcW w:w="1772" w:type="dxa"/>
            <w:tcBorders>
              <w:top w:val="nil"/>
              <w:left w:val="nil"/>
              <w:bottom w:val="nil"/>
              <w:right w:val="nil"/>
            </w:tcBorders>
          </w:tcPr>
          <w:p w14:paraId="4B8FB226"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0.529 (0.027)</w:t>
            </w:r>
          </w:p>
        </w:tc>
        <w:tc>
          <w:tcPr>
            <w:tcW w:w="2977" w:type="dxa"/>
            <w:tcBorders>
              <w:top w:val="nil"/>
              <w:left w:val="nil"/>
              <w:bottom w:val="nil"/>
              <w:right w:val="nil"/>
            </w:tcBorders>
            <w:vAlign w:val="center"/>
          </w:tcPr>
          <w:p w14:paraId="62B2429B"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992" w:type="dxa"/>
            <w:tcBorders>
              <w:top w:val="nil"/>
              <w:left w:val="nil"/>
              <w:bottom w:val="nil"/>
              <w:right w:val="nil"/>
            </w:tcBorders>
            <w:vAlign w:val="center"/>
          </w:tcPr>
          <w:p w14:paraId="6BB2163D" w14:textId="77777777" w:rsidR="00FB6AD0" w:rsidRPr="00C61784" w:rsidRDefault="00FB6AD0" w:rsidP="00BC703D">
            <w:pPr>
              <w:spacing w:after="0" w:line="240" w:lineRule="auto"/>
              <w:jc w:val="center"/>
              <w:rPr>
                <w:rFonts w:eastAsia="Times New Roman" w:cstheme="minorHAnsi"/>
                <w:sz w:val="20"/>
                <w:szCs w:val="20"/>
                <w:lang w:val="en-GB" w:eastAsia="en-AU"/>
              </w:rPr>
            </w:pPr>
          </w:p>
        </w:tc>
      </w:tr>
      <w:tr w:rsidR="00FB6AD0" w:rsidRPr="00C61784" w14:paraId="61772A29" w14:textId="77777777" w:rsidTr="00BC703D">
        <w:tc>
          <w:tcPr>
            <w:tcW w:w="2405" w:type="dxa"/>
            <w:tcBorders>
              <w:top w:val="nil"/>
              <w:left w:val="nil"/>
              <w:bottom w:val="nil"/>
              <w:right w:val="nil"/>
            </w:tcBorders>
          </w:tcPr>
          <w:p w14:paraId="2B22630E" w14:textId="77777777" w:rsidR="00FB6AD0" w:rsidRPr="00C61784" w:rsidRDefault="00FB6AD0">
            <w:pPr>
              <w:spacing w:after="0" w:line="240" w:lineRule="auto"/>
              <w:rPr>
                <w:rFonts w:eastAsia="Times New Roman" w:cstheme="minorHAnsi"/>
                <w:sz w:val="20"/>
                <w:szCs w:val="20"/>
                <w:lang w:val="en-GB" w:eastAsia="en-AU"/>
              </w:rPr>
            </w:pPr>
            <w:r>
              <w:rPr>
                <w:rFonts w:cstheme="minorHAnsi"/>
                <w:sz w:val="20"/>
                <w:szCs w:val="20"/>
                <w:lang w:val="en-GB"/>
              </w:rPr>
              <w:t> </w:t>
            </w:r>
            <w:r w:rsidRPr="00C61784">
              <w:rPr>
                <w:rFonts w:cstheme="minorHAnsi"/>
                <w:sz w:val="20"/>
                <w:szCs w:val="20"/>
                <w:lang w:val="en-GB"/>
              </w:rPr>
              <w:t>QALY</w:t>
            </w:r>
            <w:r>
              <w:rPr>
                <w:rFonts w:cstheme="minorHAnsi"/>
                <w:sz w:val="20"/>
                <w:szCs w:val="20"/>
                <w:lang w:val="en-GB"/>
              </w:rPr>
              <w:t>s</w:t>
            </w:r>
            <w:r w:rsidRPr="00C61784">
              <w:rPr>
                <w:rFonts w:cstheme="minorHAnsi"/>
                <w:sz w:val="20"/>
                <w:szCs w:val="20"/>
                <w:lang w:val="en-GB"/>
              </w:rPr>
              <w:t xml:space="preserve"> gained</w:t>
            </w:r>
          </w:p>
        </w:tc>
        <w:tc>
          <w:tcPr>
            <w:tcW w:w="1488" w:type="dxa"/>
            <w:tcBorders>
              <w:top w:val="nil"/>
              <w:left w:val="nil"/>
              <w:bottom w:val="nil"/>
              <w:right w:val="nil"/>
            </w:tcBorders>
            <w:vAlign w:val="center"/>
          </w:tcPr>
          <w:p w14:paraId="613EC7FB"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vAlign w:val="center"/>
          </w:tcPr>
          <w:p w14:paraId="408AD55B"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1.047 (0.027)</w:t>
            </w:r>
          </w:p>
        </w:tc>
        <w:tc>
          <w:tcPr>
            <w:tcW w:w="1772" w:type="dxa"/>
            <w:tcBorders>
              <w:top w:val="nil"/>
              <w:left w:val="nil"/>
              <w:bottom w:val="nil"/>
              <w:right w:val="nil"/>
            </w:tcBorders>
            <w:vAlign w:val="center"/>
          </w:tcPr>
          <w:p w14:paraId="2927D07D"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vAlign w:val="center"/>
          </w:tcPr>
          <w:p w14:paraId="7776095F"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1.072 (0.047)</w:t>
            </w:r>
          </w:p>
        </w:tc>
        <w:tc>
          <w:tcPr>
            <w:tcW w:w="2977" w:type="dxa"/>
            <w:tcBorders>
              <w:top w:val="nil"/>
              <w:left w:val="nil"/>
              <w:bottom w:val="nil"/>
              <w:right w:val="nil"/>
            </w:tcBorders>
            <w:vAlign w:val="center"/>
          </w:tcPr>
          <w:p w14:paraId="06528A09"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0.026 (</w:t>
            </w:r>
            <w:r>
              <w:rPr>
                <w:rFonts w:cstheme="minorHAnsi"/>
                <w:color w:val="000000"/>
                <w:sz w:val="20"/>
                <w:szCs w:val="20"/>
                <w:lang w:val="en-GB"/>
              </w:rPr>
              <w:t>–</w:t>
            </w:r>
            <w:r w:rsidRPr="00C61784">
              <w:rPr>
                <w:rFonts w:cstheme="minorHAnsi"/>
                <w:color w:val="000000"/>
                <w:sz w:val="20"/>
                <w:szCs w:val="20"/>
                <w:lang w:val="en-GB"/>
              </w:rPr>
              <w:t>0.020 to 0.072)</w:t>
            </w:r>
          </w:p>
        </w:tc>
        <w:tc>
          <w:tcPr>
            <w:tcW w:w="992" w:type="dxa"/>
            <w:tcBorders>
              <w:top w:val="nil"/>
              <w:left w:val="nil"/>
              <w:bottom w:val="nil"/>
              <w:right w:val="nil"/>
            </w:tcBorders>
            <w:vAlign w:val="center"/>
          </w:tcPr>
          <w:p w14:paraId="27862CF3"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0.273</w:t>
            </w:r>
          </w:p>
        </w:tc>
      </w:tr>
      <w:tr w:rsidR="00FB6AD0" w:rsidRPr="00C61784" w14:paraId="5084D9F5" w14:textId="77777777" w:rsidTr="00BC703D">
        <w:tc>
          <w:tcPr>
            <w:tcW w:w="2405" w:type="dxa"/>
            <w:tcBorders>
              <w:top w:val="nil"/>
              <w:left w:val="nil"/>
              <w:bottom w:val="nil"/>
              <w:right w:val="nil"/>
            </w:tcBorders>
          </w:tcPr>
          <w:p w14:paraId="33995677" w14:textId="77777777" w:rsidR="00FB6AD0" w:rsidRPr="00F30D75" w:rsidRDefault="00FB6AD0" w:rsidP="00BC703D">
            <w:pPr>
              <w:spacing w:after="0" w:line="240" w:lineRule="auto"/>
              <w:rPr>
                <w:rFonts w:cstheme="minorHAnsi"/>
                <w:b/>
                <w:sz w:val="20"/>
                <w:szCs w:val="20"/>
                <w:lang w:val="en-GB"/>
              </w:rPr>
            </w:pPr>
            <w:r w:rsidRPr="00F30D75">
              <w:rPr>
                <w:rFonts w:cstheme="minorHAnsi"/>
                <w:b/>
                <w:sz w:val="20"/>
                <w:szCs w:val="20"/>
                <w:lang w:val="en-GB"/>
              </w:rPr>
              <w:t xml:space="preserve">Older </w:t>
            </w:r>
            <w:proofErr w:type="gramStart"/>
            <w:r w:rsidRPr="00F30D75">
              <w:rPr>
                <w:rFonts w:cstheme="minorHAnsi"/>
                <w:b/>
                <w:sz w:val="20"/>
                <w:szCs w:val="20"/>
                <w:lang w:val="en-GB"/>
              </w:rPr>
              <w:t>adults</w:t>
            </w:r>
            <w:proofErr w:type="gramEnd"/>
            <w:r w:rsidRPr="00F30D75">
              <w:rPr>
                <w:rFonts w:cstheme="minorHAnsi"/>
                <w:b/>
                <w:sz w:val="20"/>
                <w:szCs w:val="20"/>
                <w:lang w:val="en-GB"/>
              </w:rPr>
              <w:t xml:space="preserve"> cohort</w:t>
            </w:r>
          </w:p>
        </w:tc>
        <w:tc>
          <w:tcPr>
            <w:tcW w:w="1488" w:type="dxa"/>
            <w:tcBorders>
              <w:top w:val="nil"/>
              <w:left w:val="nil"/>
              <w:bottom w:val="nil"/>
              <w:right w:val="nil"/>
            </w:tcBorders>
            <w:vAlign w:val="center"/>
          </w:tcPr>
          <w:p w14:paraId="1C96D877"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tcPr>
          <w:p w14:paraId="61FB20C6" w14:textId="77777777" w:rsidR="00FB6AD0" w:rsidRPr="00C61784" w:rsidRDefault="00FB6AD0" w:rsidP="00BC703D">
            <w:pPr>
              <w:spacing w:after="0" w:line="240" w:lineRule="auto"/>
              <w:jc w:val="center"/>
              <w:rPr>
                <w:rFonts w:cstheme="minorHAnsi"/>
                <w:color w:val="000000"/>
                <w:sz w:val="20"/>
                <w:szCs w:val="20"/>
                <w:lang w:val="en-GB"/>
              </w:rPr>
            </w:pPr>
          </w:p>
        </w:tc>
        <w:tc>
          <w:tcPr>
            <w:tcW w:w="1772" w:type="dxa"/>
            <w:tcBorders>
              <w:top w:val="nil"/>
              <w:left w:val="nil"/>
              <w:bottom w:val="nil"/>
              <w:right w:val="nil"/>
            </w:tcBorders>
            <w:vAlign w:val="center"/>
          </w:tcPr>
          <w:p w14:paraId="7A253A12"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tcPr>
          <w:p w14:paraId="0131C532" w14:textId="77777777" w:rsidR="00FB6AD0" w:rsidRPr="00C61784" w:rsidRDefault="00FB6AD0" w:rsidP="00BC703D">
            <w:pPr>
              <w:spacing w:after="0" w:line="240" w:lineRule="auto"/>
              <w:jc w:val="center"/>
              <w:rPr>
                <w:rFonts w:cstheme="minorHAnsi"/>
                <w:color w:val="000000"/>
                <w:sz w:val="20"/>
                <w:szCs w:val="20"/>
                <w:lang w:val="en-GB"/>
              </w:rPr>
            </w:pPr>
          </w:p>
        </w:tc>
        <w:tc>
          <w:tcPr>
            <w:tcW w:w="2977" w:type="dxa"/>
            <w:tcBorders>
              <w:top w:val="nil"/>
              <w:left w:val="nil"/>
              <w:bottom w:val="nil"/>
              <w:right w:val="nil"/>
            </w:tcBorders>
            <w:vAlign w:val="center"/>
          </w:tcPr>
          <w:p w14:paraId="6D66BDFE" w14:textId="77777777" w:rsidR="00FB6AD0" w:rsidRPr="00C61784" w:rsidRDefault="00FB6AD0" w:rsidP="00BC703D">
            <w:pPr>
              <w:spacing w:after="0" w:line="240" w:lineRule="auto"/>
              <w:jc w:val="center"/>
              <w:rPr>
                <w:rFonts w:cstheme="minorHAnsi"/>
                <w:sz w:val="20"/>
                <w:szCs w:val="20"/>
                <w:lang w:val="en-GB"/>
              </w:rPr>
            </w:pPr>
          </w:p>
        </w:tc>
        <w:tc>
          <w:tcPr>
            <w:tcW w:w="992" w:type="dxa"/>
            <w:tcBorders>
              <w:top w:val="nil"/>
              <w:left w:val="nil"/>
              <w:bottom w:val="nil"/>
              <w:right w:val="nil"/>
            </w:tcBorders>
            <w:vAlign w:val="center"/>
          </w:tcPr>
          <w:p w14:paraId="1993A746" w14:textId="77777777" w:rsidR="00FB6AD0" w:rsidRPr="00C61784" w:rsidRDefault="00FB6AD0" w:rsidP="00BC703D">
            <w:pPr>
              <w:spacing w:after="0" w:line="240" w:lineRule="auto"/>
              <w:jc w:val="center"/>
              <w:rPr>
                <w:rFonts w:cstheme="minorHAnsi"/>
                <w:color w:val="000000"/>
                <w:sz w:val="20"/>
                <w:szCs w:val="20"/>
                <w:lang w:val="en-GB"/>
              </w:rPr>
            </w:pPr>
          </w:p>
        </w:tc>
      </w:tr>
      <w:tr w:rsidR="00FB6AD0" w:rsidRPr="00C61784" w14:paraId="40A9CACA" w14:textId="77777777" w:rsidTr="00BC703D">
        <w:tc>
          <w:tcPr>
            <w:tcW w:w="2405" w:type="dxa"/>
            <w:tcBorders>
              <w:top w:val="nil"/>
              <w:left w:val="nil"/>
              <w:bottom w:val="nil"/>
              <w:right w:val="nil"/>
            </w:tcBorders>
            <w:vAlign w:val="bottom"/>
          </w:tcPr>
          <w:p w14:paraId="13AA6852" w14:textId="77777777" w:rsidR="00FB6AD0" w:rsidRPr="00C61784" w:rsidRDefault="00FB6AD0" w:rsidP="00BC703D">
            <w:pPr>
              <w:spacing w:after="0" w:line="240" w:lineRule="auto"/>
              <w:rPr>
                <w:rFonts w:cstheme="minorHAnsi"/>
                <w:sz w:val="20"/>
                <w:szCs w:val="20"/>
                <w:lang w:val="en-GB"/>
              </w:rPr>
            </w:pPr>
            <w:r w:rsidRPr="00C61784">
              <w:rPr>
                <w:rFonts w:cstheme="minorHAnsi"/>
                <w:sz w:val="20"/>
                <w:szCs w:val="20"/>
                <w:lang w:val="en-GB"/>
              </w:rPr>
              <w:t xml:space="preserve">Costs </w:t>
            </w:r>
            <w:r>
              <w:rPr>
                <w:rFonts w:cstheme="minorHAnsi"/>
                <w:sz w:val="20"/>
                <w:szCs w:val="20"/>
                <w:lang w:val="en-GB"/>
              </w:rPr>
              <w:t>(A$)</w:t>
            </w:r>
          </w:p>
        </w:tc>
        <w:tc>
          <w:tcPr>
            <w:tcW w:w="1488" w:type="dxa"/>
            <w:tcBorders>
              <w:top w:val="nil"/>
              <w:left w:val="nil"/>
              <w:bottom w:val="nil"/>
              <w:right w:val="nil"/>
            </w:tcBorders>
          </w:tcPr>
          <w:p w14:paraId="0B70BCE0"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tcPr>
          <w:p w14:paraId="7F0AA1DB" w14:textId="77777777" w:rsidR="00FB6AD0" w:rsidRPr="00C61784" w:rsidRDefault="00FB6AD0" w:rsidP="00BC703D">
            <w:pPr>
              <w:spacing w:after="0" w:line="240" w:lineRule="auto"/>
              <w:jc w:val="center"/>
              <w:rPr>
                <w:rFonts w:cstheme="minorHAnsi"/>
                <w:color w:val="000000"/>
                <w:sz w:val="20"/>
                <w:szCs w:val="20"/>
                <w:lang w:val="en-GB"/>
              </w:rPr>
            </w:pPr>
          </w:p>
        </w:tc>
        <w:tc>
          <w:tcPr>
            <w:tcW w:w="1772" w:type="dxa"/>
            <w:tcBorders>
              <w:top w:val="nil"/>
              <w:left w:val="nil"/>
              <w:bottom w:val="nil"/>
              <w:right w:val="nil"/>
            </w:tcBorders>
          </w:tcPr>
          <w:p w14:paraId="55F04F82"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tcPr>
          <w:p w14:paraId="7F271F4A" w14:textId="77777777" w:rsidR="00FB6AD0" w:rsidRPr="00C61784" w:rsidRDefault="00FB6AD0" w:rsidP="00BC703D">
            <w:pPr>
              <w:spacing w:after="0" w:line="240" w:lineRule="auto"/>
              <w:jc w:val="center"/>
              <w:rPr>
                <w:rFonts w:cstheme="minorHAnsi"/>
                <w:color w:val="000000"/>
                <w:sz w:val="20"/>
                <w:szCs w:val="20"/>
                <w:lang w:val="en-GB"/>
              </w:rPr>
            </w:pPr>
          </w:p>
        </w:tc>
        <w:tc>
          <w:tcPr>
            <w:tcW w:w="2977" w:type="dxa"/>
            <w:tcBorders>
              <w:top w:val="nil"/>
              <w:left w:val="nil"/>
              <w:bottom w:val="nil"/>
              <w:right w:val="nil"/>
            </w:tcBorders>
          </w:tcPr>
          <w:p w14:paraId="1AE85DC2" w14:textId="77777777" w:rsidR="00FB6AD0" w:rsidRPr="00C61784" w:rsidRDefault="00FB6AD0" w:rsidP="00BC703D">
            <w:pPr>
              <w:spacing w:after="0" w:line="240" w:lineRule="auto"/>
              <w:jc w:val="center"/>
              <w:rPr>
                <w:rFonts w:cstheme="minorHAnsi"/>
                <w:sz w:val="20"/>
                <w:szCs w:val="20"/>
                <w:lang w:val="en-GB"/>
              </w:rPr>
            </w:pPr>
          </w:p>
        </w:tc>
        <w:tc>
          <w:tcPr>
            <w:tcW w:w="992" w:type="dxa"/>
            <w:tcBorders>
              <w:top w:val="nil"/>
              <w:left w:val="nil"/>
              <w:bottom w:val="nil"/>
              <w:right w:val="nil"/>
            </w:tcBorders>
          </w:tcPr>
          <w:p w14:paraId="5F61A953" w14:textId="77777777" w:rsidR="00FB6AD0" w:rsidRPr="00C61784" w:rsidRDefault="00FB6AD0" w:rsidP="00BC703D">
            <w:pPr>
              <w:spacing w:after="0" w:line="240" w:lineRule="auto"/>
              <w:jc w:val="center"/>
              <w:rPr>
                <w:rFonts w:cstheme="minorHAnsi"/>
                <w:color w:val="000000"/>
                <w:sz w:val="20"/>
                <w:szCs w:val="20"/>
                <w:lang w:val="en-GB"/>
              </w:rPr>
            </w:pPr>
          </w:p>
        </w:tc>
      </w:tr>
      <w:tr w:rsidR="00FB6AD0" w:rsidRPr="00C61784" w14:paraId="199D930E" w14:textId="77777777" w:rsidTr="00BC703D">
        <w:tc>
          <w:tcPr>
            <w:tcW w:w="2405" w:type="dxa"/>
            <w:tcBorders>
              <w:top w:val="nil"/>
              <w:left w:val="nil"/>
              <w:bottom w:val="nil"/>
              <w:right w:val="nil"/>
            </w:tcBorders>
            <w:vAlign w:val="bottom"/>
          </w:tcPr>
          <w:p w14:paraId="4CD587F7" w14:textId="77777777" w:rsidR="00FB6AD0" w:rsidRPr="00C61784" w:rsidRDefault="00FB6AD0" w:rsidP="00BC703D">
            <w:pPr>
              <w:spacing w:after="0" w:line="240" w:lineRule="auto"/>
              <w:rPr>
                <w:rFonts w:cstheme="minorHAnsi"/>
                <w:sz w:val="20"/>
                <w:szCs w:val="20"/>
                <w:lang w:val="en-GB"/>
              </w:rPr>
            </w:pPr>
            <w:r>
              <w:rPr>
                <w:rFonts w:cstheme="minorHAnsi"/>
                <w:sz w:val="20"/>
                <w:szCs w:val="20"/>
                <w:lang w:val="en-GB"/>
              </w:rPr>
              <w:t> </w:t>
            </w:r>
            <w:r w:rsidRPr="00C61784">
              <w:rPr>
                <w:rFonts w:cstheme="minorHAnsi"/>
                <w:sz w:val="20"/>
                <w:szCs w:val="20"/>
                <w:lang w:val="en-GB"/>
              </w:rPr>
              <w:t xml:space="preserve">Hospital </w:t>
            </w:r>
          </w:p>
        </w:tc>
        <w:tc>
          <w:tcPr>
            <w:tcW w:w="1488" w:type="dxa"/>
            <w:tcBorders>
              <w:top w:val="nil"/>
              <w:left w:val="nil"/>
              <w:bottom w:val="nil"/>
              <w:right w:val="nil"/>
            </w:tcBorders>
            <w:vAlign w:val="center"/>
          </w:tcPr>
          <w:p w14:paraId="36CDEDBE"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4683 (817)</w:t>
            </w:r>
          </w:p>
        </w:tc>
        <w:tc>
          <w:tcPr>
            <w:tcW w:w="1772" w:type="dxa"/>
            <w:tcBorders>
              <w:top w:val="nil"/>
              <w:left w:val="nil"/>
              <w:bottom w:val="nil"/>
              <w:right w:val="nil"/>
            </w:tcBorders>
          </w:tcPr>
          <w:p w14:paraId="152651CA"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eastAsia="en-GB"/>
              </w:rPr>
              <w:t>6902 (539)</w:t>
            </w:r>
          </w:p>
        </w:tc>
        <w:tc>
          <w:tcPr>
            <w:tcW w:w="1772" w:type="dxa"/>
            <w:tcBorders>
              <w:top w:val="nil"/>
              <w:left w:val="nil"/>
              <w:bottom w:val="nil"/>
              <w:right w:val="nil"/>
            </w:tcBorders>
            <w:vAlign w:val="center"/>
          </w:tcPr>
          <w:p w14:paraId="7A1C7BF6"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4247 (591)</w:t>
            </w:r>
          </w:p>
        </w:tc>
        <w:tc>
          <w:tcPr>
            <w:tcW w:w="1772" w:type="dxa"/>
            <w:tcBorders>
              <w:top w:val="nil"/>
              <w:left w:val="nil"/>
              <w:bottom w:val="nil"/>
              <w:right w:val="nil"/>
            </w:tcBorders>
          </w:tcPr>
          <w:p w14:paraId="31CC7472"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eastAsia="en-GB"/>
              </w:rPr>
              <w:t>5396 (844)</w:t>
            </w:r>
          </w:p>
        </w:tc>
        <w:tc>
          <w:tcPr>
            <w:tcW w:w="2977" w:type="dxa"/>
            <w:tcBorders>
              <w:top w:val="nil"/>
              <w:left w:val="nil"/>
              <w:bottom w:val="nil"/>
              <w:right w:val="nil"/>
            </w:tcBorders>
            <w:vAlign w:val="center"/>
          </w:tcPr>
          <w:p w14:paraId="0B9BF86F" w14:textId="77777777" w:rsidR="00FB6AD0" w:rsidRPr="00C61784" w:rsidRDefault="00FB6AD0" w:rsidP="00BC703D">
            <w:pPr>
              <w:spacing w:after="0" w:line="240" w:lineRule="auto"/>
              <w:jc w:val="center"/>
              <w:rPr>
                <w:rFonts w:cstheme="minorHAnsi"/>
                <w:sz w:val="20"/>
                <w:szCs w:val="20"/>
                <w:lang w:val="en-GB"/>
              </w:rPr>
            </w:pPr>
            <w:r>
              <w:rPr>
                <w:rFonts w:cstheme="minorHAnsi"/>
                <w:color w:val="000000"/>
                <w:sz w:val="20"/>
                <w:szCs w:val="20"/>
                <w:lang w:val="en-GB" w:eastAsia="en-GB"/>
              </w:rPr>
              <w:t>–</w:t>
            </w:r>
            <w:r w:rsidRPr="00C61784">
              <w:rPr>
                <w:rFonts w:cstheme="minorHAnsi"/>
                <w:color w:val="000000"/>
                <w:sz w:val="20"/>
                <w:szCs w:val="20"/>
                <w:lang w:val="en-GB" w:eastAsia="en-GB"/>
              </w:rPr>
              <w:t>1070 (</w:t>
            </w:r>
            <w:r>
              <w:rPr>
                <w:rFonts w:cstheme="minorHAnsi"/>
                <w:color w:val="000000"/>
                <w:sz w:val="20"/>
                <w:szCs w:val="20"/>
                <w:lang w:val="en-GB" w:eastAsia="en-GB"/>
              </w:rPr>
              <w:t>–</w:t>
            </w:r>
            <w:r w:rsidRPr="00C61784">
              <w:rPr>
                <w:rFonts w:cstheme="minorHAnsi"/>
                <w:color w:val="000000"/>
                <w:sz w:val="20"/>
                <w:szCs w:val="20"/>
                <w:lang w:val="en-GB" w:eastAsia="en-GB"/>
              </w:rPr>
              <w:t>3732 to 1592)</w:t>
            </w:r>
          </w:p>
        </w:tc>
        <w:tc>
          <w:tcPr>
            <w:tcW w:w="992" w:type="dxa"/>
            <w:tcBorders>
              <w:top w:val="nil"/>
              <w:left w:val="nil"/>
              <w:bottom w:val="nil"/>
              <w:right w:val="nil"/>
            </w:tcBorders>
          </w:tcPr>
          <w:p w14:paraId="79966495"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sz w:val="20"/>
                <w:szCs w:val="20"/>
                <w:lang w:val="en-GB"/>
              </w:rPr>
              <w:t>0.431</w:t>
            </w:r>
          </w:p>
        </w:tc>
      </w:tr>
      <w:tr w:rsidR="00FB6AD0" w:rsidRPr="00C61784" w14:paraId="0CDC617F" w14:textId="77777777" w:rsidTr="00BC703D">
        <w:tc>
          <w:tcPr>
            <w:tcW w:w="2405" w:type="dxa"/>
            <w:tcBorders>
              <w:top w:val="nil"/>
              <w:left w:val="nil"/>
              <w:bottom w:val="nil"/>
              <w:right w:val="nil"/>
            </w:tcBorders>
          </w:tcPr>
          <w:p w14:paraId="4D1F3B5B" w14:textId="77777777" w:rsidR="00FB6AD0" w:rsidRPr="00C61784" w:rsidRDefault="00FB6AD0" w:rsidP="00BC703D">
            <w:pPr>
              <w:spacing w:after="0" w:line="240" w:lineRule="auto"/>
              <w:rPr>
                <w:rFonts w:cstheme="minorHAnsi"/>
                <w:sz w:val="20"/>
                <w:szCs w:val="20"/>
                <w:lang w:val="en-GB"/>
              </w:rPr>
            </w:pPr>
            <w:r>
              <w:rPr>
                <w:rFonts w:cstheme="minorHAnsi"/>
                <w:sz w:val="20"/>
                <w:szCs w:val="20"/>
                <w:lang w:val="en-GB"/>
              </w:rPr>
              <w:t> </w:t>
            </w:r>
            <w:r w:rsidRPr="00C61784">
              <w:rPr>
                <w:rFonts w:cstheme="minorHAnsi"/>
                <w:sz w:val="20"/>
                <w:szCs w:val="20"/>
                <w:lang w:val="en-GB"/>
              </w:rPr>
              <w:t>Medicare</w:t>
            </w:r>
          </w:p>
        </w:tc>
        <w:tc>
          <w:tcPr>
            <w:tcW w:w="1488" w:type="dxa"/>
            <w:tcBorders>
              <w:top w:val="nil"/>
              <w:left w:val="nil"/>
              <w:bottom w:val="nil"/>
              <w:right w:val="nil"/>
            </w:tcBorders>
            <w:vAlign w:val="center"/>
          </w:tcPr>
          <w:p w14:paraId="4234DF89"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3429 (128)</w:t>
            </w:r>
          </w:p>
        </w:tc>
        <w:tc>
          <w:tcPr>
            <w:tcW w:w="1772" w:type="dxa"/>
            <w:tcBorders>
              <w:top w:val="nil"/>
              <w:left w:val="nil"/>
              <w:bottom w:val="nil"/>
              <w:right w:val="nil"/>
            </w:tcBorders>
          </w:tcPr>
          <w:p w14:paraId="01705D92"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eastAsia="en-GB"/>
              </w:rPr>
              <w:t>7060 (301)</w:t>
            </w:r>
          </w:p>
        </w:tc>
        <w:tc>
          <w:tcPr>
            <w:tcW w:w="1772" w:type="dxa"/>
            <w:tcBorders>
              <w:top w:val="nil"/>
              <w:left w:val="nil"/>
              <w:bottom w:val="nil"/>
              <w:right w:val="nil"/>
            </w:tcBorders>
            <w:vAlign w:val="center"/>
          </w:tcPr>
          <w:p w14:paraId="4EC25280"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3473 (175)</w:t>
            </w:r>
          </w:p>
        </w:tc>
        <w:tc>
          <w:tcPr>
            <w:tcW w:w="1772" w:type="dxa"/>
            <w:tcBorders>
              <w:top w:val="nil"/>
              <w:left w:val="nil"/>
              <w:bottom w:val="nil"/>
              <w:right w:val="nil"/>
            </w:tcBorders>
          </w:tcPr>
          <w:p w14:paraId="0FE3D5A4"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eastAsia="en-GB"/>
              </w:rPr>
              <w:t>6805 (240)</w:t>
            </w:r>
          </w:p>
        </w:tc>
        <w:tc>
          <w:tcPr>
            <w:tcW w:w="2977" w:type="dxa"/>
            <w:tcBorders>
              <w:top w:val="nil"/>
              <w:left w:val="nil"/>
              <w:bottom w:val="nil"/>
              <w:right w:val="nil"/>
            </w:tcBorders>
            <w:vAlign w:val="center"/>
          </w:tcPr>
          <w:p w14:paraId="3287AB0D" w14:textId="77777777" w:rsidR="00FB6AD0" w:rsidRPr="00C61784" w:rsidRDefault="00FB6AD0" w:rsidP="00BC703D">
            <w:pPr>
              <w:spacing w:after="0" w:line="240" w:lineRule="auto"/>
              <w:jc w:val="center"/>
              <w:rPr>
                <w:rFonts w:cstheme="minorHAnsi"/>
                <w:sz w:val="20"/>
                <w:szCs w:val="20"/>
                <w:lang w:val="en-GB"/>
              </w:rPr>
            </w:pPr>
            <w:r>
              <w:rPr>
                <w:rFonts w:cstheme="minorHAnsi"/>
                <w:color w:val="000000"/>
                <w:sz w:val="20"/>
                <w:szCs w:val="20"/>
                <w:lang w:val="en-GB" w:eastAsia="en-GB"/>
              </w:rPr>
              <w:t>–</w:t>
            </w:r>
            <w:r w:rsidRPr="00C61784">
              <w:rPr>
                <w:rFonts w:cstheme="minorHAnsi"/>
                <w:color w:val="000000"/>
                <w:sz w:val="20"/>
                <w:szCs w:val="20"/>
                <w:lang w:val="en-GB" w:eastAsia="en-GB"/>
              </w:rPr>
              <w:t>298 (</w:t>
            </w:r>
            <w:r>
              <w:rPr>
                <w:rFonts w:cstheme="minorHAnsi"/>
                <w:color w:val="000000"/>
                <w:sz w:val="20"/>
                <w:szCs w:val="20"/>
                <w:lang w:val="en-GB" w:eastAsia="en-GB"/>
              </w:rPr>
              <w:t>–</w:t>
            </w:r>
            <w:r w:rsidRPr="00C61784">
              <w:rPr>
                <w:rFonts w:cstheme="minorHAnsi"/>
                <w:color w:val="000000"/>
                <w:sz w:val="20"/>
                <w:szCs w:val="20"/>
                <w:lang w:val="en-GB" w:eastAsia="en-GB"/>
              </w:rPr>
              <w:t>1389 to 793)</w:t>
            </w:r>
          </w:p>
        </w:tc>
        <w:tc>
          <w:tcPr>
            <w:tcW w:w="992" w:type="dxa"/>
            <w:tcBorders>
              <w:top w:val="nil"/>
              <w:left w:val="nil"/>
              <w:bottom w:val="nil"/>
              <w:right w:val="nil"/>
            </w:tcBorders>
          </w:tcPr>
          <w:p w14:paraId="19B9ED96"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sz w:val="20"/>
                <w:szCs w:val="20"/>
                <w:lang w:val="en-GB"/>
              </w:rPr>
              <w:t>0.592</w:t>
            </w:r>
          </w:p>
        </w:tc>
      </w:tr>
      <w:tr w:rsidR="00FB6AD0" w:rsidRPr="00C61784" w14:paraId="0D88ADBC" w14:textId="77777777" w:rsidTr="00BC703D">
        <w:tc>
          <w:tcPr>
            <w:tcW w:w="2405" w:type="dxa"/>
            <w:tcBorders>
              <w:top w:val="nil"/>
              <w:left w:val="nil"/>
              <w:bottom w:val="nil"/>
              <w:right w:val="nil"/>
            </w:tcBorders>
          </w:tcPr>
          <w:p w14:paraId="7D94FBFB" w14:textId="77777777" w:rsidR="00FB6AD0" w:rsidRPr="00C61784" w:rsidRDefault="00FB6AD0" w:rsidP="00BC703D">
            <w:pPr>
              <w:spacing w:after="0" w:line="240" w:lineRule="auto"/>
              <w:rPr>
                <w:rFonts w:cstheme="minorHAnsi"/>
                <w:sz w:val="20"/>
                <w:szCs w:val="20"/>
                <w:lang w:val="en-GB"/>
              </w:rPr>
            </w:pPr>
            <w:r>
              <w:rPr>
                <w:rFonts w:cstheme="minorHAnsi"/>
                <w:sz w:val="20"/>
                <w:szCs w:val="20"/>
                <w:lang w:val="en-GB"/>
              </w:rPr>
              <w:t> </w:t>
            </w:r>
            <w:r w:rsidRPr="00C61784">
              <w:rPr>
                <w:rFonts w:cstheme="minorHAnsi"/>
                <w:sz w:val="20"/>
                <w:szCs w:val="20"/>
                <w:lang w:val="en-GB"/>
              </w:rPr>
              <w:t xml:space="preserve">PBS </w:t>
            </w:r>
          </w:p>
        </w:tc>
        <w:tc>
          <w:tcPr>
            <w:tcW w:w="1488" w:type="dxa"/>
            <w:tcBorders>
              <w:top w:val="nil"/>
              <w:left w:val="nil"/>
              <w:bottom w:val="nil"/>
              <w:right w:val="nil"/>
            </w:tcBorders>
            <w:vAlign w:val="center"/>
          </w:tcPr>
          <w:p w14:paraId="5793CAE3"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2478 (122)</w:t>
            </w:r>
          </w:p>
        </w:tc>
        <w:tc>
          <w:tcPr>
            <w:tcW w:w="1772" w:type="dxa"/>
            <w:tcBorders>
              <w:top w:val="nil"/>
              <w:left w:val="nil"/>
              <w:bottom w:val="nil"/>
              <w:right w:val="nil"/>
            </w:tcBorders>
            <w:vAlign w:val="center"/>
          </w:tcPr>
          <w:p w14:paraId="5BDB464C"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eastAsia="en-GB"/>
              </w:rPr>
              <w:t>5901 (650)</w:t>
            </w:r>
          </w:p>
        </w:tc>
        <w:tc>
          <w:tcPr>
            <w:tcW w:w="1772" w:type="dxa"/>
            <w:tcBorders>
              <w:top w:val="nil"/>
              <w:left w:val="nil"/>
              <w:bottom w:val="nil"/>
              <w:right w:val="nil"/>
            </w:tcBorders>
            <w:vAlign w:val="center"/>
          </w:tcPr>
          <w:p w14:paraId="0624B7AA"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eastAsia="en-GB"/>
              </w:rPr>
              <w:t>2413 (320)</w:t>
            </w:r>
          </w:p>
        </w:tc>
        <w:tc>
          <w:tcPr>
            <w:tcW w:w="1772" w:type="dxa"/>
            <w:tcBorders>
              <w:top w:val="nil"/>
              <w:left w:val="nil"/>
              <w:bottom w:val="nil"/>
              <w:right w:val="nil"/>
            </w:tcBorders>
          </w:tcPr>
          <w:p w14:paraId="49A6B75E"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eastAsia="en-GB"/>
              </w:rPr>
              <w:t>5645 (607)</w:t>
            </w:r>
          </w:p>
        </w:tc>
        <w:tc>
          <w:tcPr>
            <w:tcW w:w="2977" w:type="dxa"/>
            <w:tcBorders>
              <w:top w:val="nil"/>
              <w:left w:val="nil"/>
              <w:bottom w:val="nil"/>
              <w:right w:val="nil"/>
            </w:tcBorders>
            <w:vAlign w:val="center"/>
          </w:tcPr>
          <w:p w14:paraId="1BD57D59" w14:textId="77777777" w:rsidR="00FB6AD0" w:rsidRPr="00C61784" w:rsidRDefault="00FB6AD0" w:rsidP="00BC703D">
            <w:pPr>
              <w:spacing w:after="0" w:line="240" w:lineRule="auto"/>
              <w:jc w:val="center"/>
              <w:rPr>
                <w:rFonts w:cstheme="minorHAnsi"/>
                <w:sz w:val="20"/>
                <w:szCs w:val="20"/>
                <w:lang w:val="en-GB"/>
              </w:rPr>
            </w:pPr>
            <w:r>
              <w:rPr>
                <w:rFonts w:cstheme="minorHAnsi"/>
                <w:color w:val="000000"/>
                <w:sz w:val="20"/>
                <w:szCs w:val="20"/>
                <w:lang w:val="en-GB" w:eastAsia="en-GB"/>
              </w:rPr>
              <w:t>–</w:t>
            </w:r>
            <w:r w:rsidRPr="00C61784">
              <w:rPr>
                <w:rFonts w:cstheme="minorHAnsi"/>
                <w:color w:val="000000"/>
                <w:sz w:val="20"/>
                <w:szCs w:val="20"/>
                <w:lang w:val="en-GB" w:eastAsia="en-GB"/>
              </w:rPr>
              <w:t>190 (</w:t>
            </w:r>
            <w:r>
              <w:rPr>
                <w:rFonts w:cstheme="minorHAnsi"/>
                <w:color w:val="000000"/>
                <w:sz w:val="20"/>
                <w:szCs w:val="20"/>
                <w:lang w:val="en-GB" w:eastAsia="en-GB"/>
              </w:rPr>
              <w:t>–</w:t>
            </w:r>
            <w:r w:rsidRPr="00C61784">
              <w:rPr>
                <w:rFonts w:cstheme="minorHAnsi"/>
                <w:color w:val="000000"/>
                <w:sz w:val="20"/>
                <w:szCs w:val="20"/>
                <w:lang w:val="en-GB" w:eastAsia="en-GB"/>
              </w:rPr>
              <w:t>1315 to 934)</w:t>
            </w:r>
          </w:p>
        </w:tc>
        <w:tc>
          <w:tcPr>
            <w:tcW w:w="992" w:type="dxa"/>
            <w:tcBorders>
              <w:top w:val="nil"/>
              <w:left w:val="nil"/>
              <w:bottom w:val="nil"/>
              <w:right w:val="nil"/>
            </w:tcBorders>
          </w:tcPr>
          <w:p w14:paraId="68367DE5"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sz w:val="20"/>
                <w:szCs w:val="20"/>
                <w:lang w:val="en-GB"/>
              </w:rPr>
              <w:t>0.740</w:t>
            </w:r>
          </w:p>
        </w:tc>
      </w:tr>
      <w:tr w:rsidR="00FB6AD0" w:rsidRPr="00C61784" w14:paraId="4116821C" w14:textId="77777777" w:rsidTr="00BC703D">
        <w:tc>
          <w:tcPr>
            <w:tcW w:w="2405" w:type="dxa"/>
            <w:tcBorders>
              <w:top w:val="nil"/>
              <w:left w:val="nil"/>
              <w:bottom w:val="nil"/>
              <w:right w:val="nil"/>
            </w:tcBorders>
          </w:tcPr>
          <w:p w14:paraId="4F7DBC38" w14:textId="77777777" w:rsidR="00FB6AD0" w:rsidRPr="00C61784" w:rsidRDefault="00FB6AD0" w:rsidP="00BC703D">
            <w:pPr>
              <w:spacing w:after="0" w:line="240" w:lineRule="auto"/>
              <w:rPr>
                <w:rFonts w:cstheme="minorHAnsi"/>
                <w:sz w:val="20"/>
                <w:szCs w:val="20"/>
                <w:lang w:val="en-GB"/>
              </w:rPr>
            </w:pPr>
            <w:r>
              <w:rPr>
                <w:rFonts w:cstheme="minorHAnsi"/>
                <w:sz w:val="20"/>
                <w:szCs w:val="20"/>
                <w:lang w:val="en-GB"/>
              </w:rPr>
              <w:t> </w:t>
            </w:r>
            <w:r w:rsidRPr="00C61784">
              <w:rPr>
                <w:rFonts w:cstheme="minorHAnsi"/>
                <w:sz w:val="20"/>
                <w:szCs w:val="20"/>
                <w:lang w:val="en-GB"/>
              </w:rPr>
              <w:t xml:space="preserve">Intervention </w:t>
            </w:r>
          </w:p>
        </w:tc>
        <w:tc>
          <w:tcPr>
            <w:tcW w:w="1488" w:type="dxa"/>
            <w:tcBorders>
              <w:top w:val="nil"/>
              <w:left w:val="nil"/>
              <w:bottom w:val="nil"/>
              <w:right w:val="nil"/>
            </w:tcBorders>
            <w:vAlign w:val="center"/>
          </w:tcPr>
          <w:p w14:paraId="25AA8FA8"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sz w:val="20"/>
                <w:szCs w:val="20"/>
                <w:lang w:val="en-GB"/>
              </w:rPr>
              <w:t>0</w:t>
            </w:r>
          </w:p>
        </w:tc>
        <w:tc>
          <w:tcPr>
            <w:tcW w:w="1772" w:type="dxa"/>
            <w:tcBorders>
              <w:top w:val="nil"/>
              <w:left w:val="nil"/>
              <w:bottom w:val="nil"/>
              <w:right w:val="nil"/>
            </w:tcBorders>
          </w:tcPr>
          <w:p w14:paraId="1B55D54F"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sz w:val="20"/>
                <w:szCs w:val="20"/>
                <w:lang w:val="en-GB"/>
              </w:rPr>
              <w:t>0</w:t>
            </w:r>
          </w:p>
        </w:tc>
        <w:tc>
          <w:tcPr>
            <w:tcW w:w="1772" w:type="dxa"/>
            <w:tcBorders>
              <w:top w:val="nil"/>
              <w:left w:val="nil"/>
              <w:bottom w:val="nil"/>
              <w:right w:val="nil"/>
            </w:tcBorders>
          </w:tcPr>
          <w:p w14:paraId="46E4F0CB"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sz w:val="20"/>
                <w:szCs w:val="20"/>
                <w:lang w:val="en-GB"/>
              </w:rPr>
              <w:t>0</w:t>
            </w:r>
          </w:p>
        </w:tc>
        <w:tc>
          <w:tcPr>
            <w:tcW w:w="1772" w:type="dxa"/>
            <w:tcBorders>
              <w:top w:val="nil"/>
              <w:left w:val="nil"/>
              <w:bottom w:val="nil"/>
              <w:right w:val="nil"/>
            </w:tcBorders>
          </w:tcPr>
          <w:p w14:paraId="57F68552"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sz w:val="20"/>
                <w:szCs w:val="20"/>
                <w:lang w:val="en-GB"/>
              </w:rPr>
              <w:t>1,026</w:t>
            </w:r>
          </w:p>
        </w:tc>
        <w:tc>
          <w:tcPr>
            <w:tcW w:w="2977" w:type="dxa"/>
            <w:tcBorders>
              <w:top w:val="nil"/>
              <w:left w:val="nil"/>
              <w:bottom w:val="nil"/>
              <w:right w:val="nil"/>
            </w:tcBorders>
            <w:vAlign w:val="center"/>
          </w:tcPr>
          <w:p w14:paraId="27657202" w14:textId="77777777" w:rsidR="00FB6AD0" w:rsidRPr="00C61784" w:rsidRDefault="00FB6AD0" w:rsidP="00F30D75">
            <w:pPr>
              <w:spacing w:after="0" w:line="240" w:lineRule="auto"/>
              <w:jc w:val="center"/>
              <w:rPr>
                <w:rFonts w:asciiTheme="majorHAnsi" w:eastAsiaTheme="majorEastAsia" w:hAnsiTheme="majorHAnsi" w:cstheme="minorHAnsi"/>
                <w:color w:val="404040" w:themeColor="text1" w:themeTint="BF"/>
                <w:sz w:val="20"/>
                <w:szCs w:val="20"/>
                <w:lang w:val="en-GB"/>
              </w:rPr>
            </w:pPr>
            <w:r w:rsidRPr="00C61784">
              <w:rPr>
                <w:rFonts w:cstheme="minorHAnsi"/>
                <w:sz w:val="20"/>
                <w:szCs w:val="20"/>
                <w:lang w:val="en-GB"/>
              </w:rPr>
              <w:t>1026 (1026 to 1026)</w:t>
            </w:r>
          </w:p>
        </w:tc>
        <w:tc>
          <w:tcPr>
            <w:tcW w:w="992" w:type="dxa"/>
            <w:tcBorders>
              <w:top w:val="nil"/>
              <w:left w:val="nil"/>
              <w:bottom w:val="nil"/>
              <w:right w:val="nil"/>
            </w:tcBorders>
            <w:vAlign w:val="center"/>
          </w:tcPr>
          <w:p w14:paraId="79D37AAF"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sz w:val="20"/>
                <w:szCs w:val="20"/>
                <w:lang w:val="en-GB"/>
              </w:rPr>
              <w:t>&lt;0.001</w:t>
            </w:r>
          </w:p>
        </w:tc>
      </w:tr>
      <w:tr w:rsidR="00FB6AD0" w:rsidRPr="00C61784" w14:paraId="63A72280" w14:textId="77777777" w:rsidTr="00BC703D">
        <w:tc>
          <w:tcPr>
            <w:tcW w:w="2405" w:type="dxa"/>
            <w:tcBorders>
              <w:top w:val="nil"/>
              <w:left w:val="nil"/>
              <w:bottom w:val="nil"/>
              <w:right w:val="nil"/>
            </w:tcBorders>
          </w:tcPr>
          <w:p w14:paraId="178A53CD" w14:textId="77777777" w:rsidR="00FB6AD0" w:rsidRPr="00C61784" w:rsidRDefault="00FB6AD0" w:rsidP="00BC703D">
            <w:pPr>
              <w:spacing w:after="0" w:line="240" w:lineRule="auto"/>
              <w:rPr>
                <w:rFonts w:cstheme="minorHAnsi"/>
                <w:sz w:val="20"/>
                <w:szCs w:val="20"/>
                <w:lang w:val="en-GB"/>
              </w:rPr>
            </w:pPr>
            <w:r>
              <w:rPr>
                <w:rFonts w:cstheme="minorHAnsi"/>
                <w:sz w:val="20"/>
                <w:szCs w:val="20"/>
                <w:lang w:val="en-GB"/>
              </w:rPr>
              <w:t> </w:t>
            </w:r>
            <w:r w:rsidRPr="00C61784">
              <w:rPr>
                <w:rFonts w:cstheme="minorHAnsi"/>
                <w:sz w:val="20"/>
                <w:szCs w:val="20"/>
                <w:lang w:val="en-GB"/>
              </w:rPr>
              <w:t>Total costs</w:t>
            </w:r>
          </w:p>
        </w:tc>
        <w:tc>
          <w:tcPr>
            <w:tcW w:w="1488" w:type="dxa"/>
            <w:tcBorders>
              <w:top w:val="nil"/>
              <w:left w:val="nil"/>
              <w:bottom w:val="nil"/>
              <w:right w:val="nil"/>
            </w:tcBorders>
            <w:vAlign w:val="center"/>
          </w:tcPr>
          <w:p w14:paraId="30BD9AF8"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10</w:t>
            </w:r>
            <w:r>
              <w:rPr>
                <w:rFonts w:cstheme="minorHAnsi"/>
                <w:color w:val="000000"/>
                <w:sz w:val="20"/>
                <w:szCs w:val="20"/>
                <w:lang w:val="en-GB"/>
              </w:rPr>
              <w:t>,</w:t>
            </w:r>
            <w:r w:rsidRPr="00C61784">
              <w:rPr>
                <w:rFonts w:cstheme="minorHAnsi"/>
                <w:color w:val="000000"/>
                <w:sz w:val="20"/>
                <w:szCs w:val="20"/>
                <w:lang w:val="en-GB"/>
              </w:rPr>
              <w:t>526 (404)</w:t>
            </w:r>
          </w:p>
        </w:tc>
        <w:tc>
          <w:tcPr>
            <w:tcW w:w="1772" w:type="dxa"/>
            <w:tcBorders>
              <w:top w:val="nil"/>
              <w:left w:val="nil"/>
              <w:bottom w:val="nil"/>
              <w:right w:val="nil"/>
            </w:tcBorders>
          </w:tcPr>
          <w:p w14:paraId="74EED81C"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rPr>
              <w:t>18</w:t>
            </w:r>
            <w:r>
              <w:rPr>
                <w:rFonts w:cstheme="minorHAnsi"/>
                <w:color w:val="000000"/>
                <w:sz w:val="20"/>
                <w:szCs w:val="20"/>
                <w:lang w:val="en-GB"/>
              </w:rPr>
              <w:t>,</w:t>
            </w:r>
            <w:r w:rsidRPr="00C61784">
              <w:rPr>
                <w:rFonts w:cstheme="minorHAnsi"/>
                <w:color w:val="000000"/>
                <w:sz w:val="20"/>
                <w:szCs w:val="20"/>
                <w:lang w:val="en-GB"/>
              </w:rPr>
              <w:t>806 (1092)</w:t>
            </w:r>
          </w:p>
        </w:tc>
        <w:tc>
          <w:tcPr>
            <w:tcW w:w="1772" w:type="dxa"/>
            <w:tcBorders>
              <w:top w:val="nil"/>
              <w:left w:val="nil"/>
              <w:bottom w:val="nil"/>
              <w:right w:val="nil"/>
            </w:tcBorders>
            <w:vAlign w:val="center"/>
          </w:tcPr>
          <w:p w14:paraId="09E596F9"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9428 (433)</w:t>
            </w:r>
          </w:p>
        </w:tc>
        <w:tc>
          <w:tcPr>
            <w:tcW w:w="1772" w:type="dxa"/>
            <w:tcBorders>
              <w:top w:val="nil"/>
              <w:left w:val="nil"/>
              <w:bottom w:val="nil"/>
              <w:right w:val="nil"/>
            </w:tcBorders>
          </w:tcPr>
          <w:p w14:paraId="47DD780B"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rPr>
              <w:t>17</w:t>
            </w:r>
            <w:r>
              <w:rPr>
                <w:rFonts w:cstheme="minorHAnsi"/>
                <w:color w:val="000000"/>
                <w:sz w:val="20"/>
                <w:szCs w:val="20"/>
                <w:lang w:val="en-GB"/>
              </w:rPr>
              <w:t>,</w:t>
            </w:r>
            <w:r w:rsidRPr="00C61784">
              <w:rPr>
                <w:rFonts w:cstheme="minorHAnsi"/>
                <w:color w:val="000000"/>
                <w:sz w:val="20"/>
                <w:szCs w:val="20"/>
                <w:lang w:val="en-GB"/>
              </w:rPr>
              <w:t>168 (725)</w:t>
            </w:r>
          </w:p>
        </w:tc>
        <w:tc>
          <w:tcPr>
            <w:tcW w:w="2977" w:type="dxa"/>
            <w:tcBorders>
              <w:top w:val="nil"/>
              <w:left w:val="nil"/>
              <w:bottom w:val="nil"/>
              <w:right w:val="nil"/>
            </w:tcBorders>
            <w:vAlign w:val="center"/>
          </w:tcPr>
          <w:p w14:paraId="16531092" w14:textId="77777777" w:rsidR="00FB6AD0" w:rsidRPr="00C61784" w:rsidRDefault="00FB6AD0" w:rsidP="00BC703D">
            <w:pPr>
              <w:spacing w:after="0" w:line="240" w:lineRule="auto"/>
              <w:jc w:val="center"/>
              <w:rPr>
                <w:rFonts w:cstheme="minorHAnsi"/>
                <w:sz w:val="20"/>
                <w:szCs w:val="20"/>
                <w:lang w:val="en-GB"/>
              </w:rPr>
            </w:pPr>
            <w:r>
              <w:rPr>
                <w:rFonts w:cstheme="minorHAnsi"/>
                <w:color w:val="000000"/>
                <w:sz w:val="20"/>
                <w:szCs w:val="20"/>
                <w:lang w:val="en-GB"/>
              </w:rPr>
              <w:t>–</w:t>
            </w:r>
            <w:r w:rsidRPr="00C61784">
              <w:rPr>
                <w:rFonts w:cstheme="minorHAnsi"/>
                <w:color w:val="000000"/>
                <w:sz w:val="20"/>
                <w:szCs w:val="20"/>
                <w:lang w:val="en-GB"/>
              </w:rPr>
              <w:t>540 (</w:t>
            </w:r>
            <w:r>
              <w:rPr>
                <w:rFonts w:cstheme="minorHAnsi"/>
                <w:color w:val="000000"/>
                <w:sz w:val="20"/>
                <w:szCs w:val="20"/>
                <w:lang w:val="en-GB"/>
              </w:rPr>
              <w:t>–</w:t>
            </w:r>
            <w:r w:rsidRPr="00C61784">
              <w:rPr>
                <w:rFonts w:cstheme="minorHAnsi"/>
                <w:color w:val="000000"/>
                <w:sz w:val="20"/>
                <w:szCs w:val="20"/>
                <w:lang w:val="en-GB"/>
              </w:rPr>
              <w:t>3412 to 2331)</w:t>
            </w:r>
          </w:p>
        </w:tc>
        <w:tc>
          <w:tcPr>
            <w:tcW w:w="992" w:type="dxa"/>
            <w:tcBorders>
              <w:top w:val="nil"/>
              <w:left w:val="nil"/>
              <w:bottom w:val="nil"/>
              <w:right w:val="nil"/>
            </w:tcBorders>
          </w:tcPr>
          <w:p w14:paraId="0BAF6AF6"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sz w:val="20"/>
                <w:szCs w:val="20"/>
                <w:lang w:val="en-GB"/>
              </w:rPr>
              <w:t>0.712</w:t>
            </w:r>
          </w:p>
        </w:tc>
      </w:tr>
      <w:tr w:rsidR="00FB6AD0" w:rsidRPr="00C61784" w14:paraId="2AF37A04" w14:textId="77777777" w:rsidTr="00BC703D">
        <w:tc>
          <w:tcPr>
            <w:tcW w:w="2405" w:type="dxa"/>
            <w:tcBorders>
              <w:top w:val="nil"/>
              <w:left w:val="nil"/>
              <w:bottom w:val="nil"/>
              <w:right w:val="nil"/>
            </w:tcBorders>
          </w:tcPr>
          <w:p w14:paraId="1DE37F1D" w14:textId="77777777" w:rsidR="00FB6AD0" w:rsidRPr="00C61784" w:rsidRDefault="00FB6AD0" w:rsidP="00BC703D">
            <w:pPr>
              <w:spacing w:after="0" w:line="240" w:lineRule="auto"/>
              <w:rPr>
                <w:rFonts w:cstheme="minorHAnsi"/>
                <w:sz w:val="20"/>
                <w:szCs w:val="20"/>
                <w:lang w:val="en-GB"/>
              </w:rPr>
            </w:pPr>
            <w:r w:rsidRPr="00C61784">
              <w:rPr>
                <w:rFonts w:cstheme="minorHAnsi"/>
                <w:sz w:val="20"/>
                <w:szCs w:val="20"/>
                <w:lang w:val="en-GB"/>
              </w:rPr>
              <w:t>Outcome</w:t>
            </w:r>
          </w:p>
        </w:tc>
        <w:tc>
          <w:tcPr>
            <w:tcW w:w="1488" w:type="dxa"/>
            <w:tcBorders>
              <w:top w:val="nil"/>
              <w:left w:val="nil"/>
              <w:bottom w:val="nil"/>
              <w:right w:val="nil"/>
            </w:tcBorders>
            <w:vAlign w:val="center"/>
          </w:tcPr>
          <w:p w14:paraId="3B90439E"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tcPr>
          <w:p w14:paraId="287ED433" w14:textId="77777777" w:rsidR="00FB6AD0" w:rsidRPr="00C61784" w:rsidRDefault="00FB6AD0" w:rsidP="00BC703D">
            <w:pPr>
              <w:spacing w:after="0" w:line="240" w:lineRule="auto"/>
              <w:jc w:val="center"/>
              <w:rPr>
                <w:rFonts w:cstheme="minorHAnsi"/>
                <w:color w:val="000000"/>
                <w:sz w:val="20"/>
                <w:szCs w:val="20"/>
                <w:lang w:val="en-GB"/>
              </w:rPr>
            </w:pPr>
          </w:p>
        </w:tc>
        <w:tc>
          <w:tcPr>
            <w:tcW w:w="1772" w:type="dxa"/>
            <w:tcBorders>
              <w:top w:val="nil"/>
              <w:left w:val="nil"/>
              <w:bottom w:val="nil"/>
              <w:right w:val="nil"/>
            </w:tcBorders>
            <w:vAlign w:val="center"/>
          </w:tcPr>
          <w:p w14:paraId="249F6D2A"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nil"/>
              <w:right w:val="nil"/>
            </w:tcBorders>
          </w:tcPr>
          <w:p w14:paraId="132BA66C" w14:textId="77777777" w:rsidR="00FB6AD0" w:rsidRPr="00C61784" w:rsidRDefault="00FB6AD0" w:rsidP="00BC703D">
            <w:pPr>
              <w:spacing w:after="0" w:line="240" w:lineRule="auto"/>
              <w:jc w:val="center"/>
              <w:rPr>
                <w:rFonts w:cstheme="minorHAnsi"/>
                <w:color w:val="000000"/>
                <w:sz w:val="20"/>
                <w:szCs w:val="20"/>
                <w:lang w:val="en-GB"/>
              </w:rPr>
            </w:pPr>
          </w:p>
        </w:tc>
        <w:tc>
          <w:tcPr>
            <w:tcW w:w="2977" w:type="dxa"/>
            <w:tcBorders>
              <w:top w:val="nil"/>
              <w:left w:val="nil"/>
              <w:bottom w:val="nil"/>
              <w:right w:val="nil"/>
            </w:tcBorders>
          </w:tcPr>
          <w:p w14:paraId="0C9C3FA0" w14:textId="77777777" w:rsidR="00FB6AD0" w:rsidRPr="00C61784" w:rsidRDefault="00FB6AD0" w:rsidP="00BC703D">
            <w:pPr>
              <w:spacing w:after="0" w:line="240" w:lineRule="auto"/>
              <w:jc w:val="center"/>
              <w:rPr>
                <w:rFonts w:cstheme="minorHAnsi"/>
                <w:sz w:val="20"/>
                <w:szCs w:val="20"/>
                <w:lang w:val="en-GB"/>
              </w:rPr>
            </w:pPr>
          </w:p>
        </w:tc>
        <w:tc>
          <w:tcPr>
            <w:tcW w:w="992" w:type="dxa"/>
            <w:tcBorders>
              <w:top w:val="nil"/>
              <w:left w:val="nil"/>
              <w:bottom w:val="nil"/>
              <w:right w:val="nil"/>
            </w:tcBorders>
          </w:tcPr>
          <w:p w14:paraId="61418E0D" w14:textId="77777777" w:rsidR="00FB6AD0" w:rsidRPr="00C61784" w:rsidRDefault="00FB6AD0" w:rsidP="00BC703D">
            <w:pPr>
              <w:spacing w:after="0" w:line="240" w:lineRule="auto"/>
              <w:jc w:val="center"/>
              <w:rPr>
                <w:rFonts w:cstheme="minorHAnsi"/>
                <w:color w:val="000000"/>
                <w:sz w:val="20"/>
                <w:szCs w:val="20"/>
                <w:lang w:val="en-GB"/>
              </w:rPr>
            </w:pPr>
          </w:p>
        </w:tc>
      </w:tr>
      <w:tr w:rsidR="00FB6AD0" w:rsidRPr="00C61784" w14:paraId="508DEF05" w14:textId="77777777" w:rsidTr="00F30D75">
        <w:tc>
          <w:tcPr>
            <w:tcW w:w="2405" w:type="dxa"/>
            <w:tcBorders>
              <w:top w:val="nil"/>
              <w:left w:val="nil"/>
              <w:bottom w:val="nil"/>
              <w:right w:val="nil"/>
            </w:tcBorders>
          </w:tcPr>
          <w:p w14:paraId="599CB781" w14:textId="77777777" w:rsidR="00FB6AD0" w:rsidRPr="00C61784" w:rsidRDefault="00FB6AD0" w:rsidP="00BC703D">
            <w:pPr>
              <w:spacing w:after="0" w:line="240" w:lineRule="auto"/>
              <w:rPr>
                <w:rFonts w:cstheme="minorHAnsi"/>
                <w:sz w:val="20"/>
                <w:szCs w:val="20"/>
                <w:lang w:val="en-GB"/>
              </w:rPr>
            </w:pPr>
            <w:r>
              <w:rPr>
                <w:rFonts w:cstheme="minorHAnsi"/>
                <w:sz w:val="20"/>
                <w:szCs w:val="20"/>
                <w:lang w:val="en-GB"/>
              </w:rPr>
              <w:t> </w:t>
            </w:r>
            <w:r w:rsidRPr="00C61784">
              <w:rPr>
                <w:rFonts w:cstheme="minorHAnsi"/>
                <w:sz w:val="20"/>
                <w:szCs w:val="20"/>
                <w:lang w:val="en-GB"/>
              </w:rPr>
              <w:t>EQ-5D-5L</w:t>
            </w:r>
          </w:p>
        </w:tc>
        <w:tc>
          <w:tcPr>
            <w:tcW w:w="1488" w:type="dxa"/>
            <w:tcBorders>
              <w:top w:val="nil"/>
              <w:left w:val="nil"/>
              <w:bottom w:val="nil"/>
              <w:right w:val="nil"/>
            </w:tcBorders>
            <w:vAlign w:val="center"/>
          </w:tcPr>
          <w:p w14:paraId="6C38B7B6"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0.644 (0.017)</w:t>
            </w:r>
          </w:p>
        </w:tc>
        <w:tc>
          <w:tcPr>
            <w:tcW w:w="1772" w:type="dxa"/>
            <w:tcBorders>
              <w:top w:val="nil"/>
              <w:left w:val="nil"/>
              <w:bottom w:val="nil"/>
              <w:right w:val="nil"/>
            </w:tcBorders>
          </w:tcPr>
          <w:p w14:paraId="56ECB7E1"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rPr>
              <w:t>0.644 (0.017)</w:t>
            </w:r>
          </w:p>
        </w:tc>
        <w:tc>
          <w:tcPr>
            <w:tcW w:w="1772" w:type="dxa"/>
            <w:tcBorders>
              <w:top w:val="nil"/>
              <w:left w:val="nil"/>
              <w:bottom w:val="nil"/>
              <w:right w:val="nil"/>
            </w:tcBorders>
            <w:vAlign w:val="center"/>
          </w:tcPr>
          <w:p w14:paraId="525708D5" w14:textId="77777777" w:rsidR="00FB6AD0" w:rsidRPr="00C61784" w:rsidRDefault="00FB6AD0" w:rsidP="00BC703D">
            <w:pPr>
              <w:spacing w:after="0" w:line="240" w:lineRule="auto"/>
              <w:jc w:val="center"/>
              <w:rPr>
                <w:rFonts w:eastAsia="Times New Roman" w:cstheme="minorHAnsi"/>
                <w:sz w:val="20"/>
                <w:szCs w:val="20"/>
                <w:lang w:val="en-GB" w:eastAsia="en-AU"/>
              </w:rPr>
            </w:pPr>
            <w:r w:rsidRPr="00C61784">
              <w:rPr>
                <w:rFonts w:cstheme="minorHAnsi"/>
                <w:color w:val="000000"/>
                <w:sz w:val="20"/>
                <w:szCs w:val="20"/>
                <w:lang w:val="en-GB"/>
              </w:rPr>
              <w:t>0.677 (0.015)</w:t>
            </w:r>
          </w:p>
        </w:tc>
        <w:tc>
          <w:tcPr>
            <w:tcW w:w="1772" w:type="dxa"/>
            <w:tcBorders>
              <w:top w:val="nil"/>
              <w:left w:val="nil"/>
              <w:bottom w:val="nil"/>
              <w:right w:val="nil"/>
            </w:tcBorders>
          </w:tcPr>
          <w:p w14:paraId="6FFAA1E7"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rPr>
              <w:t>0.677 (0.015)</w:t>
            </w:r>
          </w:p>
        </w:tc>
        <w:tc>
          <w:tcPr>
            <w:tcW w:w="2977" w:type="dxa"/>
            <w:tcBorders>
              <w:top w:val="nil"/>
              <w:left w:val="nil"/>
              <w:bottom w:val="nil"/>
              <w:right w:val="nil"/>
            </w:tcBorders>
            <w:vAlign w:val="center"/>
          </w:tcPr>
          <w:p w14:paraId="7D22028A" w14:textId="77777777" w:rsidR="00FB6AD0" w:rsidRPr="00C61784" w:rsidRDefault="00FB6AD0" w:rsidP="00BC703D">
            <w:pPr>
              <w:spacing w:after="0" w:line="240" w:lineRule="auto"/>
              <w:jc w:val="center"/>
              <w:rPr>
                <w:rFonts w:cstheme="minorHAnsi"/>
                <w:sz w:val="20"/>
                <w:szCs w:val="20"/>
                <w:lang w:val="en-GB"/>
              </w:rPr>
            </w:pPr>
          </w:p>
        </w:tc>
        <w:tc>
          <w:tcPr>
            <w:tcW w:w="992" w:type="dxa"/>
            <w:tcBorders>
              <w:top w:val="nil"/>
              <w:left w:val="nil"/>
              <w:bottom w:val="nil"/>
              <w:right w:val="nil"/>
            </w:tcBorders>
            <w:vAlign w:val="center"/>
          </w:tcPr>
          <w:p w14:paraId="1CC8706E" w14:textId="77777777" w:rsidR="00FB6AD0" w:rsidRPr="00C61784" w:rsidRDefault="00FB6AD0" w:rsidP="00BC703D">
            <w:pPr>
              <w:spacing w:after="0" w:line="240" w:lineRule="auto"/>
              <w:jc w:val="center"/>
              <w:rPr>
                <w:rFonts w:cstheme="minorHAnsi"/>
                <w:color w:val="000000"/>
                <w:sz w:val="20"/>
                <w:szCs w:val="20"/>
                <w:lang w:val="en-GB"/>
              </w:rPr>
            </w:pPr>
          </w:p>
        </w:tc>
      </w:tr>
      <w:tr w:rsidR="00FB6AD0" w:rsidRPr="00C61784" w14:paraId="210E3B04" w14:textId="77777777" w:rsidTr="00F30D75">
        <w:tc>
          <w:tcPr>
            <w:tcW w:w="2405" w:type="dxa"/>
            <w:tcBorders>
              <w:top w:val="nil"/>
              <w:left w:val="nil"/>
              <w:bottom w:val="single" w:sz="4" w:space="0" w:color="auto"/>
              <w:right w:val="nil"/>
            </w:tcBorders>
          </w:tcPr>
          <w:p w14:paraId="70178275" w14:textId="77777777" w:rsidR="00FB6AD0" w:rsidRPr="00C61784" w:rsidRDefault="00FB6AD0">
            <w:pPr>
              <w:spacing w:after="0" w:line="240" w:lineRule="auto"/>
              <w:rPr>
                <w:rFonts w:cstheme="minorHAnsi"/>
                <w:sz w:val="20"/>
                <w:szCs w:val="20"/>
                <w:lang w:val="en-GB"/>
              </w:rPr>
            </w:pPr>
            <w:r>
              <w:rPr>
                <w:rFonts w:cstheme="minorHAnsi"/>
                <w:sz w:val="20"/>
                <w:szCs w:val="20"/>
                <w:lang w:val="en-GB"/>
              </w:rPr>
              <w:t> </w:t>
            </w:r>
            <w:r w:rsidRPr="00C61784">
              <w:rPr>
                <w:rFonts w:cstheme="minorHAnsi"/>
                <w:sz w:val="20"/>
                <w:szCs w:val="20"/>
                <w:lang w:val="en-GB"/>
              </w:rPr>
              <w:t>QALY</w:t>
            </w:r>
            <w:r>
              <w:rPr>
                <w:rFonts w:cstheme="minorHAnsi"/>
                <w:sz w:val="20"/>
                <w:szCs w:val="20"/>
                <w:lang w:val="en-GB"/>
              </w:rPr>
              <w:t>s</w:t>
            </w:r>
            <w:r w:rsidRPr="00C61784">
              <w:rPr>
                <w:rFonts w:cstheme="minorHAnsi"/>
                <w:sz w:val="20"/>
                <w:szCs w:val="20"/>
                <w:lang w:val="en-GB"/>
              </w:rPr>
              <w:t xml:space="preserve"> gained </w:t>
            </w:r>
          </w:p>
        </w:tc>
        <w:tc>
          <w:tcPr>
            <w:tcW w:w="1488" w:type="dxa"/>
            <w:tcBorders>
              <w:top w:val="nil"/>
              <w:left w:val="nil"/>
              <w:bottom w:val="single" w:sz="4" w:space="0" w:color="auto"/>
              <w:right w:val="nil"/>
            </w:tcBorders>
            <w:vAlign w:val="center"/>
          </w:tcPr>
          <w:p w14:paraId="50F4B512"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single" w:sz="4" w:space="0" w:color="auto"/>
              <w:right w:val="nil"/>
            </w:tcBorders>
            <w:vAlign w:val="center"/>
          </w:tcPr>
          <w:p w14:paraId="56D34309"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rPr>
              <w:t>1.202 (0.039)</w:t>
            </w:r>
          </w:p>
        </w:tc>
        <w:tc>
          <w:tcPr>
            <w:tcW w:w="1772" w:type="dxa"/>
            <w:tcBorders>
              <w:top w:val="nil"/>
              <w:left w:val="nil"/>
              <w:bottom w:val="single" w:sz="4" w:space="0" w:color="auto"/>
              <w:right w:val="nil"/>
            </w:tcBorders>
            <w:vAlign w:val="center"/>
          </w:tcPr>
          <w:p w14:paraId="01BFA5C3" w14:textId="77777777" w:rsidR="00FB6AD0" w:rsidRPr="00C61784" w:rsidRDefault="00FB6AD0" w:rsidP="00BC703D">
            <w:pPr>
              <w:spacing w:after="0" w:line="240" w:lineRule="auto"/>
              <w:jc w:val="center"/>
              <w:rPr>
                <w:rFonts w:eastAsia="Times New Roman" w:cstheme="minorHAnsi"/>
                <w:sz w:val="20"/>
                <w:szCs w:val="20"/>
                <w:lang w:val="en-GB" w:eastAsia="en-AU"/>
              </w:rPr>
            </w:pPr>
          </w:p>
        </w:tc>
        <w:tc>
          <w:tcPr>
            <w:tcW w:w="1772" w:type="dxa"/>
            <w:tcBorders>
              <w:top w:val="nil"/>
              <w:left w:val="nil"/>
              <w:bottom w:val="single" w:sz="4" w:space="0" w:color="auto"/>
              <w:right w:val="nil"/>
            </w:tcBorders>
            <w:vAlign w:val="center"/>
          </w:tcPr>
          <w:p w14:paraId="3046D620"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rPr>
              <w:t>1.276 (0.026)</w:t>
            </w:r>
          </w:p>
        </w:tc>
        <w:tc>
          <w:tcPr>
            <w:tcW w:w="2977" w:type="dxa"/>
            <w:tcBorders>
              <w:top w:val="nil"/>
              <w:left w:val="nil"/>
              <w:bottom w:val="single" w:sz="4" w:space="0" w:color="auto"/>
              <w:right w:val="nil"/>
            </w:tcBorders>
            <w:vAlign w:val="center"/>
          </w:tcPr>
          <w:p w14:paraId="28914A84" w14:textId="77777777" w:rsidR="00FB6AD0" w:rsidRPr="00C61784" w:rsidRDefault="00FB6AD0" w:rsidP="00BC703D">
            <w:pPr>
              <w:spacing w:after="0" w:line="240" w:lineRule="auto"/>
              <w:jc w:val="center"/>
              <w:rPr>
                <w:rFonts w:cstheme="minorHAnsi"/>
                <w:sz w:val="20"/>
                <w:szCs w:val="20"/>
                <w:lang w:val="en-GB"/>
              </w:rPr>
            </w:pPr>
            <w:r w:rsidRPr="00C61784">
              <w:rPr>
                <w:rFonts w:cstheme="minorHAnsi"/>
                <w:color w:val="000000"/>
                <w:sz w:val="20"/>
                <w:szCs w:val="20"/>
                <w:lang w:val="en-GB"/>
              </w:rPr>
              <w:t>0.074 (</w:t>
            </w:r>
            <w:r>
              <w:rPr>
                <w:rFonts w:cstheme="minorHAnsi"/>
                <w:color w:val="000000"/>
                <w:sz w:val="20"/>
                <w:szCs w:val="20"/>
                <w:lang w:val="en-GB"/>
              </w:rPr>
              <w:t>–</w:t>
            </w:r>
            <w:r w:rsidRPr="00C61784">
              <w:rPr>
                <w:rFonts w:cstheme="minorHAnsi"/>
                <w:color w:val="000000"/>
                <w:sz w:val="20"/>
                <w:szCs w:val="20"/>
                <w:lang w:val="en-GB"/>
              </w:rPr>
              <w:t>0.028 to 0.176)</w:t>
            </w:r>
          </w:p>
        </w:tc>
        <w:tc>
          <w:tcPr>
            <w:tcW w:w="992" w:type="dxa"/>
            <w:tcBorders>
              <w:top w:val="nil"/>
              <w:left w:val="nil"/>
              <w:bottom w:val="single" w:sz="4" w:space="0" w:color="auto"/>
              <w:right w:val="nil"/>
            </w:tcBorders>
            <w:vAlign w:val="center"/>
          </w:tcPr>
          <w:p w14:paraId="68E47FF8" w14:textId="77777777" w:rsidR="00FB6AD0" w:rsidRPr="00C61784" w:rsidRDefault="00FB6AD0" w:rsidP="00BC703D">
            <w:pPr>
              <w:spacing w:after="0" w:line="240" w:lineRule="auto"/>
              <w:jc w:val="center"/>
              <w:rPr>
                <w:rFonts w:cstheme="minorHAnsi"/>
                <w:color w:val="000000"/>
                <w:sz w:val="20"/>
                <w:szCs w:val="20"/>
                <w:lang w:val="en-GB"/>
              </w:rPr>
            </w:pPr>
            <w:r w:rsidRPr="00C61784">
              <w:rPr>
                <w:rFonts w:cstheme="minorHAnsi"/>
                <w:color w:val="000000"/>
                <w:sz w:val="20"/>
                <w:szCs w:val="20"/>
                <w:lang w:val="en-GB"/>
              </w:rPr>
              <w:t>0.155</w:t>
            </w:r>
          </w:p>
        </w:tc>
      </w:tr>
    </w:tbl>
    <w:p w14:paraId="39FACDD6" w14:textId="77777777" w:rsidR="00FB6AD0" w:rsidRPr="00C61784" w:rsidRDefault="00FB6AD0" w:rsidP="003A7E8B">
      <w:pPr>
        <w:spacing w:after="0" w:line="240" w:lineRule="auto"/>
        <w:rPr>
          <w:rFonts w:ascii="Calibri" w:eastAsia="Times New Roman" w:hAnsi="Calibri" w:cs="Calibri"/>
          <w:iCs/>
          <w:lang w:val="en-GB" w:eastAsia="en-AU"/>
        </w:rPr>
      </w:pPr>
      <w:r w:rsidRPr="00C61784">
        <w:rPr>
          <w:rFonts w:ascii="Calibri" w:eastAsia="Times New Roman" w:hAnsi="Calibri" w:cs="Calibri"/>
          <w:sz w:val="20"/>
          <w:szCs w:val="20"/>
          <w:lang w:val="en-GB" w:eastAsia="en-AU"/>
        </w:rPr>
        <w:t>Data are mean (standard error [SE]) costs in Australian</w:t>
      </w:r>
      <w:r>
        <w:rPr>
          <w:rFonts w:ascii="Calibri" w:eastAsia="Times New Roman" w:hAnsi="Calibri" w:cs="Calibri"/>
          <w:sz w:val="20"/>
          <w:szCs w:val="20"/>
          <w:lang w:val="en-GB" w:eastAsia="en-AU"/>
        </w:rPr>
        <w:t xml:space="preserve"> dollars (A</w:t>
      </w:r>
      <w:r w:rsidRPr="00C61784">
        <w:rPr>
          <w:rFonts w:ascii="Calibri" w:eastAsia="Times New Roman" w:hAnsi="Calibri" w:cs="Calibri"/>
          <w:sz w:val="20"/>
          <w:szCs w:val="20"/>
          <w:lang w:val="en-GB" w:eastAsia="en-AU"/>
        </w:rPr>
        <w:t xml:space="preserve">$). </w:t>
      </w:r>
      <w:proofErr w:type="spellStart"/>
      <w:r w:rsidRPr="00C61784">
        <w:rPr>
          <w:rFonts w:eastAsia="Times New Roman" w:cstheme="minorHAnsi"/>
          <w:sz w:val="20"/>
          <w:szCs w:val="20"/>
          <w:vertAlign w:val="superscript"/>
          <w:lang w:val="en-GB" w:eastAsia="en-AU"/>
        </w:rPr>
        <w:t>A</w:t>
      </w:r>
      <w:r w:rsidRPr="00C61784">
        <w:rPr>
          <w:rFonts w:ascii="Calibri" w:eastAsia="Times New Roman" w:hAnsi="Calibri" w:cs="Times New Roman"/>
          <w:sz w:val="20"/>
          <w:szCs w:val="20"/>
          <w:lang w:val="en-GB" w:eastAsia="en-AU"/>
        </w:rPr>
        <w:t>The</w:t>
      </w:r>
      <w:proofErr w:type="spellEnd"/>
      <w:r w:rsidRPr="00C61784">
        <w:rPr>
          <w:rFonts w:ascii="Calibri" w:eastAsia="Times New Roman" w:hAnsi="Calibri" w:cs="Times New Roman"/>
          <w:sz w:val="20"/>
          <w:szCs w:val="20"/>
          <w:lang w:val="en-GB" w:eastAsia="en-AU"/>
        </w:rPr>
        <w:t xml:space="preserve"> intervention effect is calculated from a multilevel linear regression model</w:t>
      </w:r>
      <w:r w:rsidRPr="00C61784">
        <w:rPr>
          <w:rFonts w:ascii="Calibri" w:eastAsia="Times New Roman" w:hAnsi="Calibri" w:cs="Calibri"/>
          <w:bCs/>
          <w:color w:val="000000"/>
          <w:sz w:val="20"/>
          <w:szCs w:val="20"/>
          <w:lang w:val="en-GB" w:eastAsia="en-AU"/>
        </w:rPr>
        <w:t>. Quality</w:t>
      </w:r>
      <w:r>
        <w:rPr>
          <w:rFonts w:ascii="Calibri" w:eastAsia="Times New Roman" w:hAnsi="Calibri" w:cs="Calibri"/>
          <w:bCs/>
          <w:color w:val="000000"/>
          <w:sz w:val="20"/>
          <w:szCs w:val="20"/>
          <w:lang w:val="en-GB" w:eastAsia="en-AU"/>
        </w:rPr>
        <w:t>-</w:t>
      </w:r>
      <w:r w:rsidRPr="00C61784">
        <w:rPr>
          <w:rFonts w:ascii="Calibri" w:eastAsia="Times New Roman" w:hAnsi="Calibri" w:cs="Calibri"/>
          <w:bCs/>
          <w:color w:val="000000"/>
          <w:sz w:val="20"/>
          <w:szCs w:val="20"/>
          <w:lang w:val="en-GB" w:eastAsia="en-AU"/>
        </w:rPr>
        <w:t>adjusted life years</w:t>
      </w:r>
      <w:r w:rsidRPr="00C61784">
        <w:rPr>
          <w:rFonts w:ascii="Calibri" w:eastAsia="Times New Roman" w:hAnsi="Calibri" w:cs="Calibri"/>
          <w:sz w:val="20"/>
          <w:szCs w:val="20"/>
          <w:lang w:val="en-GB" w:eastAsia="en-AU"/>
        </w:rPr>
        <w:t xml:space="preserve"> </w:t>
      </w:r>
      <w:r>
        <w:rPr>
          <w:rFonts w:ascii="Calibri" w:eastAsia="Times New Roman" w:hAnsi="Calibri" w:cs="Calibri"/>
          <w:sz w:val="20"/>
          <w:szCs w:val="20"/>
          <w:lang w:val="en-GB" w:eastAsia="en-AU"/>
        </w:rPr>
        <w:t>(</w:t>
      </w:r>
      <w:r w:rsidRPr="00C61784">
        <w:rPr>
          <w:rFonts w:ascii="Calibri" w:eastAsia="Times New Roman" w:hAnsi="Calibri" w:cs="Calibri"/>
          <w:sz w:val="20"/>
          <w:szCs w:val="20"/>
          <w:lang w:val="en-GB" w:eastAsia="en-AU"/>
        </w:rPr>
        <w:t>QALYs</w:t>
      </w:r>
      <w:r>
        <w:rPr>
          <w:rFonts w:ascii="Calibri" w:eastAsia="Times New Roman" w:hAnsi="Calibri" w:cs="Calibri"/>
          <w:sz w:val="20"/>
          <w:szCs w:val="20"/>
          <w:lang w:val="en-GB" w:eastAsia="en-AU"/>
        </w:rPr>
        <w:t>) were</w:t>
      </w:r>
      <w:r w:rsidRPr="00C61784">
        <w:rPr>
          <w:rFonts w:ascii="Calibri" w:eastAsia="Times New Roman" w:hAnsi="Calibri" w:cs="Calibri"/>
          <w:sz w:val="20"/>
          <w:szCs w:val="20"/>
          <w:lang w:val="en-GB" w:eastAsia="en-AU"/>
        </w:rPr>
        <w:t xml:space="preserve"> calculated from </w:t>
      </w:r>
      <w:r w:rsidRPr="00C61784">
        <w:rPr>
          <w:rFonts w:ascii="Calibri" w:eastAsia="Times New Roman" w:hAnsi="Calibri" w:cs="Calibri"/>
          <w:bCs/>
          <w:color w:val="000000"/>
          <w:sz w:val="20"/>
          <w:szCs w:val="20"/>
          <w:lang w:val="en-GB" w:eastAsia="en-AU"/>
        </w:rPr>
        <w:t xml:space="preserve">EQ-5D-5L responses and </w:t>
      </w:r>
      <w:r>
        <w:rPr>
          <w:rFonts w:ascii="Calibri" w:eastAsia="Times New Roman" w:hAnsi="Calibri" w:cs="Calibri"/>
          <w:bCs/>
          <w:color w:val="000000"/>
          <w:sz w:val="20"/>
          <w:szCs w:val="20"/>
          <w:lang w:val="en-GB" w:eastAsia="en-AU"/>
        </w:rPr>
        <w:t xml:space="preserve">were </w:t>
      </w:r>
      <w:r w:rsidRPr="00C61784">
        <w:rPr>
          <w:rFonts w:ascii="Calibri" w:eastAsia="Times New Roman" w:hAnsi="Calibri" w:cs="Calibri"/>
          <w:bCs/>
          <w:color w:val="000000"/>
          <w:sz w:val="20"/>
          <w:szCs w:val="20"/>
          <w:lang w:val="en-GB" w:eastAsia="en-AU"/>
        </w:rPr>
        <w:t>adjusted for baseline differences.</w:t>
      </w:r>
      <w:r w:rsidRPr="00C61784">
        <w:rPr>
          <w:rFonts w:ascii="Calibri" w:eastAsia="Times New Roman" w:hAnsi="Calibri" w:cs="Calibri"/>
          <w:sz w:val="20"/>
          <w:szCs w:val="20"/>
          <w:lang w:val="en-GB" w:eastAsia="en-AU"/>
        </w:rPr>
        <w:t xml:space="preserve"> </w:t>
      </w:r>
      <w:r w:rsidRPr="00C61784">
        <w:rPr>
          <w:rFonts w:ascii="Calibri" w:eastAsia="Times New Roman" w:hAnsi="Calibri" w:cs="Calibri"/>
          <w:bCs/>
          <w:color w:val="000000"/>
          <w:sz w:val="20"/>
          <w:szCs w:val="20"/>
          <w:lang w:val="en-GB" w:eastAsia="en-AU"/>
        </w:rPr>
        <w:t>Baseline, the 12-month period prior to the intervention; 24 months, the two-year period beginning from the start of the interventio</w:t>
      </w:r>
      <w:r>
        <w:rPr>
          <w:rFonts w:ascii="Calibri" w:eastAsia="Times New Roman" w:hAnsi="Calibri" w:cs="Calibri"/>
          <w:bCs/>
          <w:color w:val="000000"/>
          <w:sz w:val="20"/>
          <w:szCs w:val="20"/>
          <w:lang w:val="en-GB" w:eastAsia="en-AU"/>
        </w:rPr>
        <w:t xml:space="preserve">n; CI, confidence interval; </w:t>
      </w:r>
      <w:r w:rsidRPr="003203DC">
        <w:rPr>
          <w:rFonts w:ascii="Calibri" w:eastAsia="Times New Roman" w:hAnsi="Calibri" w:cs="Calibri"/>
          <w:bCs/>
          <w:color w:val="000000"/>
          <w:sz w:val="20"/>
          <w:szCs w:val="20"/>
          <w:lang w:val="en-GB" w:eastAsia="en-AU"/>
        </w:rPr>
        <w:t>EQ-5D-5L</w:t>
      </w:r>
      <w:r>
        <w:rPr>
          <w:rFonts w:ascii="Calibri" w:eastAsia="Times New Roman" w:hAnsi="Calibri" w:cs="Calibri"/>
          <w:bCs/>
          <w:color w:val="000000"/>
          <w:sz w:val="20"/>
          <w:szCs w:val="20"/>
          <w:lang w:val="en-GB" w:eastAsia="en-AU"/>
        </w:rPr>
        <w:t>,</w:t>
      </w:r>
      <w:r w:rsidRPr="003203DC">
        <w:rPr>
          <w:rFonts w:ascii="Calibri" w:eastAsia="Times New Roman" w:hAnsi="Calibri" w:cs="Calibri"/>
          <w:bCs/>
          <w:color w:val="000000"/>
          <w:sz w:val="20"/>
          <w:szCs w:val="20"/>
          <w:lang w:val="en-GB" w:eastAsia="en-AU"/>
        </w:rPr>
        <w:t xml:space="preserve"> </w:t>
      </w:r>
      <w:proofErr w:type="spellStart"/>
      <w:r w:rsidRPr="003203DC">
        <w:rPr>
          <w:rFonts w:ascii="Calibri" w:eastAsia="Times New Roman" w:hAnsi="Calibri" w:cs="Calibri"/>
          <w:bCs/>
          <w:color w:val="000000"/>
          <w:sz w:val="20"/>
          <w:szCs w:val="20"/>
          <w:lang w:val="en-GB" w:eastAsia="en-AU"/>
        </w:rPr>
        <w:t>EuroQoL</w:t>
      </w:r>
      <w:proofErr w:type="spellEnd"/>
      <w:r w:rsidRPr="003203DC">
        <w:rPr>
          <w:rFonts w:ascii="Calibri" w:eastAsia="Times New Roman" w:hAnsi="Calibri" w:cs="Calibri"/>
          <w:bCs/>
          <w:color w:val="000000"/>
          <w:sz w:val="20"/>
          <w:szCs w:val="20"/>
          <w:lang w:val="en-GB" w:eastAsia="en-AU"/>
        </w:rPr>
        <w:t xml:space="preserve"> 5 dimensions, 5 levels questionnaire</w:t>
      </w:r>
      <w:r>
        <w:rPr>
          <w:rFonts w:ascii="Calibri" w:eastAsia="Times New Roman" w:hAnsi="Calibri" w:cs="Calibri"/>
          <w:bCs/>
          <w:color w:val="000000"/>
          <w:sz w:val="20"/>
          <w:szCs w:val="20"/>
          <w:lang w:val="en-GB" w:eastAsia="en-AU"/>
        </w:rPr>
        <w:t>;</w:t>
      </w:r>
      <w:r w:rsidRPr="003203DC">
        <w:rPr>
          <w:rFonts w:ascii="Calibri" w:eastAsia="Times New Roman" w:hAnsi="Calibri" w:cs="Calibri"/>
          <w:bCs/>
          <w:color w:val="000000"/>
          <w:sz w:val="20"/>
          <w:szCs w:val="20"/>
          <w:lang w:val="en-GB" w:eastAsia="en-AU"/>
        </w:rPr>
        <w:t xml:space="preserve"> </w:t>
      </w:r>
      <w:r>
        <w:rPr>
          <w:rFonts w:ascii="Calibri" w:eastAsia="Times New Roman" w:hAnsi="Calibri" w:cs="Calibri"/>
          <w:bCs/>
          <w:color w:val="000000"/>
          <w:sz w:val="20"/>
          <w:szCs w:val="20"/>
          <w:lang w:val="en-GB" w:eastAsia="en-AU"/>
        </w:rPr>
        <w:t>PBS, Pharmaceutical Benefits Scheme.</w:t>
      </w:r>
    </w:p>
    <w:bookmarkEnd w:id="19"/>
    <w:p w14:paraId="65B76C39" w14:textId="77777777" w:rsidR="00FB6AD0" w:rsidRPr="00C61784" w:rsidRDefault="00FB6AD0" w:rsidP="00BC703D">
      <w:pPr>
        <w:spacing w:after="0" w:line="240" w:lineRule="auto"/>
        <w:rPr>
          <w:rFonts w:cstheme="minorHAnsi"/>
          <w:lang w:val="en-GB"/>
        </w:rPr>
      </w:pPr>
    </w:p>
    <w:p w14:paraId="48BFAC9C" w14:textId="77777777" w:rsidR="00FB6AD0" w:rsidRPr="00C61784" w:rsidRDefault="00FB6AD0">
      <w:pPr>
        <w:spacing w:after="0" w:line="240" w:lineRule="auto"/>
        <w:rPr>
          <w:rFonts w:cstheme="minorHAnsi"/>
          <w:lang w:val="en-GB"/>
        </w:rPr>
        <w:sectPr w:rsidR="00FB6AD0" w:rsidRPr="00C61784" w:rsidSect="00BC703D">
          <w:pgSz w:w="16838" w:h="11906" w:orient="landscape"/>
          <w:pgMar w:top="1440" w:right="1440" w:bottom="1440" w:left="1440" w:header="708" w:footer="708" w:gutter="0"/>
          <w:cols w:space="708"/>
          <w:docGrid w:linePitch="360"/>
        </w:sectPr>
      </w:pPr>
    </w:p>
    <w:p w14:paraId="7C4DB7B5" w14:textId="77777777" w:rsidR="00FB6AD0" w:rsidRPr="00C61784" w:rsidRDefault="00FB6AD0" w:rsidP="00EF12F1">
      <w:pPr>
        <w:pStyle w:val="Caption"/>
        <w:rPr>
          <w:b/>
          <w:bCs/>
          <w:noProof/>
          <w:lang w:val="en-GB"/>
        </w:rPr>
      </w:pPr>
      <w:bookmarkStart w:id="20" w:name="_Ref118208600"/>
      <w:bookmarkStart w:id="21" w:name="_Toc121820113"/>
      <w:bookmarkStart w:id="22" w:name="_Hlk117004363"/>
      <w:r w:rsidRPr="00BA41A6">
        <w:lastRenderedPageBreak/>
        <w:t>Supplementary</w:t>
      </w:r>
      <w:r>
        <w:rPr>
          <w:b/>
          <w:bCs/>
        </w:rPr>
        <w:t xml:space="preserve"> </w:t>
      </w:r>
      <w:r w:rsidRPr="00C61784">
        <w:rPr>
          <w:lang w:val="en-GB"/>
        </w:rPr>
        <w:t xml:space="preserve">Figure </w:t>
      </w:r>
      <w:bookmarkEnd w:id="20"/>
      <w:r w:rsidRPr="00C61784">
        <w:rPr>
          <w:lang w:val="en-GB"/>
        </w:rPr>
        <w:t xml:space="preserve">1 </w:t>
      </w:r>
      <w:r w:rsidRPr="00C61784">
        <w:rPr>
          <w:noProof/>
          <w:lang w:val="en-GB"/>
        </w:rPr>
        <w:t>Cost-effectiveness plane (</w:t>
      </w:r>
      <w:r w:rsidRPr="004775E5">
        <w:rPr>
          <w:noProof/>
          <w:lang w:val="en-GB"/>
        </w:rPr>
        <w:t>qua</w:t>
      </w:r>
      <w:r>
        <w:rPr>
          <w:noProof/>
          <w:lang w:val="en-GB"/>
        </w:rPr>
        <w:t>lity-adjusted life years [QALYs]</w:t>
      </w:r>
      <w:r w:rsidRPr="004775E5">
        <w:rPr>
          <w:noProof/>
          <w:lang w:val="en-GB"/>
        </w:rPr>
        <w:t xml:space="preserve"> </w:t>
      </w:r>
      <w:r w:rsidRPr="00C61784">
        <w:rPr>
          <w:noProof/>
          <w:lang w:val="en-GB"/>
        </w:rPr>
        <w:t xml:space="preserve">gained over 24 months) </w:t>
      </w:r>
      <w:r>
        <w:rPr>
          <w:noProof/>
          <w:lang w:val="en-GB"/>
        </w:rPr>
        <w:t>for the</w:t>
      </w:r>
      <w:r w:rsidRPr="00C61784">
        <w:rPr>
          <w:noProof/>
          <w:lang w:val="en-GB"/>
        </w:rPr>
        <w:t xml:space="preserve"> adults and older adults cohorts</w:t>
      </w:r>
      <w:r>
        <w:rPr>
          <w:noProof/>
          <w:lang w:val="en-GB"/>
        </w:rPr>
        <w:t xml:space="preserve"> combined</w:t>
      </w:r>
      <w:bookmarkEnd w:id="21"/>
    </w:p>
    <w:bookmarkEnd w:id="22"/>
    <w:p w14:paraId="4C8D8F31" w14:textId="77777777" w:rsidR="00FB6AD0" w:rsidRPr="00C61784" w:rsidRDefault="00FB6AD0" w:rsidP="00EF12F1">
      <w:pPr>
        <w:spacing w:after="0" w:line="240" w:lineRule="auto"/>
        <w:rPr>
          <w:noProof/>
          <w:lang w:val="en-GB"/>
        </w:rPr>
      </w:pPr>
    </w:p>
    <w:p w14:paraId="6DBB2F21" w14:textId="77777777" w:rsidR="00FB6AD0" w:rsidRDefault="00FB6AD0" w:rsidP="00EF12F1">
      <w:pPr>
        <w:spacing w:after="0" w:line="240" w:lineRule="auto"/>
        <w:rPr>
          <w:noProof/>
          <w:lang w:val="en-GB"/>
        </w:rPr>
      </w:pPr>
      <w:r>
        <w:rPr>
          <w:noProof/>
          <w:lang w:val="en-GB"/>
        </w:rPr>
        <w:t>The</w:t>
      </w:r>
      <w:r w:rsidRPr="00C61784">
        <w:rPr>
          <w:noProof/>
          <w:lang w:val="en-GB"/>
        </w:rPr>
        <w:t xml:space="preserve"> cost-effectiveness plane show</w:t>
      </w:r>
      <w:r>
        <w:rPr>
          <w:noProof/>
          <w:lang w:val="en-GB"/>
        </w:rPr>
        <w:t>s</w:t>
      </w:r>
      <w:r w:rsidRPr="00C61784">
        <w:rPr>
          <w:noProof/>
          <w:lang w:val="en-GB"/>
        </w:rPr>
        <w:t xml:space="preserve"> the relationship between the incremental cost and incremental outcomes (QALYs gained at 24 months of the intervention) compared </w:t>
      </w:r>
      <w:r>
        <w:rPr>
          <w:noProof/>
          <w:lang w:val="en-GB"/>
        </w:rPr>
        <w:t>with</w:t>
      </w:r>
      <w:r w:rsidRPr="00C61784">
        <w:rPr>
          <w:noProof/>
          <w:lang w:val="en-GB"/>
        </w:rPr>
        <w:t xml:space="preserve"> control. It shows considerable uncertainty in the results </w:t>
      </w:r>
      <w:r w:rsidRPr="004775E5">
        <w:rPr>
          <w:noProof/>
          <w:lang w:val="en-GB"/>
        </w:rPr>
        <w:t>because</w:t>
      </w:r>
      <w:r w:rsidRPr="00C61784">
        <w:rPr>
          <w:noProof/>
          <w:lang w:val="en-GB"/>
        </w:rPr>
        <w:t xml:space="preserve"> the cost</w:t>
      </w:r>
      <w:r w:rsidRPr="004775E5">
        <w:rPr>
          <w:noProof/>
          <w:lang w:val="en-GB"/>
        </w:rPr>
        <w:t>–</w:t>
      </w:r>
      <w:r w:rsidRPr="00C61784">
        <w:rPr>
          <w:noProof/>
          <w:lang w:val="en-GB"/>
        </w:rPr>
        <w:t xml:space="preserve">QALY pairs are spread in all four quadrants, with most </w:t>
      </w:r>
      <w:r>
        <w:rPr>
          <w:noProof/>
          <w:lang w:val="en-GB"/>
        </w:rPr>
        <w:t>being</w:t>
      </w:r>
      <w:r w:rsidRPr="00C61784">
        <w:rPr>
          <w:noProof/>
          <w:lang w:val="en-GB"/>
        </w:rPr>
        <w:t>in the north-east quadrant</w:t>
      </w:r>
      <w:r>
        <w:rPr>
          <w:noProof/>
          <w:lang w:val="en-GB"/>
        </w:rPr>
        <w:t>,</w:t>
      </w:r>
      <w:r w:rsidRPr="00C61784">
        <w:rPr>
          <w:noProof/>
          <w:lang w:val="en-GB"/>
        </w:rPr>
        <w:t xml:space="preserve"> suggesting that the intervention was associated with higher costs and more effectiveness.</w:t>
      </w:r>
      <w:r w:rsidRPr="003203DC">
        <w:t xml:space="preserve"> </w:t>
      </w:r>
      <w:r w:rsidRPr="003203DC">
        <w:rPr>
          <w:noProof/>
          <w:lang w:val="en-GB"/>
        </w:rPr>
        <w:t>EQ-5D-5L</w:t>
      </w:r>
      <w:r>
        <w:rPr>
          <w:noProof/>
          <w:lang w:val="en-GB"/>
        </w:rPr>
        <w:t>,</w:t>
      </w:r>
      <w:r w:rsidRPr="003203DC">
        <w:rPr>
          <w:noProof/>
          <w:lang w:val="en-GB"/>
        </w:rPr>
        <w:t xml:space="preserve"> EuroQoL 5 dimensions, 5 levels questionnaire</w:t>
      </w:r>
      <w:r>
        <w:rPr>
          <w:noProof/>
          <w:lang w:val="en-GB"/>
        </w:rPr>
        <w:t>.</w:t>
      </w:r>
    </w:p>
    <w:p w14:paraId="410BE725" w14:textId="77777777" w:rsidR="00FB6AD0" w:rsidRDefault="00FB6AD0" w:rsidP="00EF12F1">
      <w:pPr>
        <w:spacing w:after="0" w:line="240" w:lineRule="auto"/>
        <w:rPr>
          <w:noProof/>
          <w:lang w:val="en-GB"/>
        </w:rPr>
      </w:pPr>
    </w:p>
    <w:p w14:paraId="00AF4E7D" w14:textId="77777777" w:rsidR="00FB6AD0" w:rsidRDefault="00FB6AD0" w:rsidP="00EF12F1">
      <w:pPr>
        <w:spacing w:after="0" w:line="240" w:lineRule="auto"/>
        <w:rPr>
          <w:noProof/>
          <w:lang w:val="en-GB"/>
        </w:rPr>
      </w:pPr>
      <w:r>
        <w:rPr>
          <w:noProof/>
        </w:rPr>
        <w:drawing>
          <wp:inline distT="0" distB="0" distL="0" distR="0" wp14:anchorId="4F031732" wp14:editId="449DB999">
            <wp:extent cx="5550535" cy="40411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0535" cy="4041140"/>
                    </a:xfrm>
                    <a:prstGeom prst="rect">
                      <a:avLst/>
                    </a:prstGeom>
                    <a:noFill/>
                    <a:ln>
                      <a:noFill/>
                    </a:ln>
                  </pic:spPr>
                </pic:pic>
              </a:graphicData>
            </a:graphic>
          </wp:inline>
        </w:drawing>
      </w:r>
    </w:p>
    <w:p w14:paraId="6062AEEE" w14:textId="77777777" w:rsidR="00FB6AD0" w:rsidRDefault="00FB6AD0" w:rsidP="00EF12F1">
      <w:pPr>
        <w:spacing w:after="0" w:line="240" w:lineRule="auto"/>
        <w:rPr>
          <w:noProof/>
          <w:lang w:val="en-GB"/>
        </w:rPr>
      </w:pPr>
    </w:p>
    <w:p w14:paraId="44DDD008" w14:textId="77777777" w:rsidR="00FB6AD0" w:rsidRPr="00C61784" w:rsidRDefault="00FB6AD0" w:rsidP="00EF12F1">
      <w:pPr>
        <w:spacing w:after="0" w:line="240" w:lineRule="auto"/>
        <w:rPr>
          <w:b/>
          <w:bCs/>
          <w:iCs/>
          <w:lang w:val="en-GB"/>
        </w:rPr>
      </w:pPr>
      <w:r w:rsidRPr="00C61784">
        <w:rPr>
          <w:lang w:val="en-GB"/>
        </w:rPr>
        <w:br w:type="page"/>
      </w:r>
      <w:bookmarkStart w:id="23" w:name="_Toc50969262"/>
      <w:bookmarkStart w:id="24" w:name="_Toc55555607"/>
    </w:p>
    <w:p w14:paraId="0C82939C" w14:textId="77777777" w:rsidR="00FB6AD0" w:rsidRPr="00C61784" w:rsidRDefault="00FB6AD0" w:rsidP="00EF12F1">
      <w:pPr>
        <w:pStyle w:val="Caption"/>
        <w:rPr>
          <w:lang w:val="en-GB"/>
        </w:rPr>
      </w:pPr>
      <w:bookmarkStart w:id="25" w:name="_Ref117587369"/>
      <w:bookmarkStart w:id="26" w:name="_Toc121820114"/>
      <w:r w:rsidRPr="00BA41A6">
        <w:lastRenderedPageBreak/>
        <w:t>Supplementary</w:t>
      </w:r>
      <w:r>
        <w:rPr>
          <w:b/>
          <w:bCs/>
        </w:rPr>
        <w:t xml:space="preserve"> </w:t>
      </w:r>
      <w:r w:rsidRPr="00C61784">
        <w:rPr>
          <w:lang w:val="en-GB"/>
        </w:rPr>
        <w:t xml:space="preserve">Figure </w:t>
      </w:r>
      <w:r>
        <w:rPr>
          <w:lang w:val="en-GB"/>
        </w:rPr>
        <w:t>2</w:t>
      </w:r>
      <w:r w:rsidRPr="00C61784">
        <w:rPr>
          <w:lang w:val="en-GB"/>
        </w:rPr>
        <w:t xml:space="preserve"> Cost-effectiveness acceptability curve (</w:t>
      </w:r>
      <w:r w:rsidRPr="004775E5">
        <w:rPr>
          <w:noProof/>
          <w:lang w:val="en-GB"/>
        </w:rPr>
        <w:t>qua</w:t>
      </w:r>
      <w:r>
        <w:rPr>
          <w:noProof/>
          <w:lang w:val="en-GB"/>
        </w:rPr>
        <w:t>lity-adjusted life years [QALYs]</w:t>
      </w:r>
      <w:r w:rsidRPr="004775E5">
        <w:rPr>
          <w:noProof/>
          <w:lang w:val="en-GB"/>
        </w:rPr>
        <w:t xml:space="preserve"> </w:t>
      </w:r>
      <w:r w:rsidRPr="00C61784">
        <w:rPr>
          <w:noProof/>
          <w:lang w:val="en-GB"/>
        </w:rPr>
        <w:t xml:space="preserve">gained over 24 months) </w:t>
      </w:r>
      <w:r>
        <w:rPr>
          <w:noProof/>
          <w:lang w:val="en-GB"/>
        </w:rPr>
        <w:t>for the</w:t>
      </w:r>
      <w:r w:rsidRPr="00C61784">
        <w:rPr>
          <w:noProof/>
          <w:lang w:val="en-GB"/>
        </w:rPr>
        <w:t xml:space="preserve"> adults and older adults cohorts</w:t>
      </w:r>
      <w:r>
        <w:rPr>
          <w:noProof/>
          <w:lang w:val="en-GB"/>
        </w:rPr>
        <w:t xml:space="preserve"> combined</w:t>
      </w:r>
      <w:bookmarkEnd w:id="23"/>
      <w:bookmarkEnd w:id="24"/>
      <w:bookmarkEnd w:id="25"/>
      <w:bookmarkEnd w:id="26"/>
    </w:p>
    <w:p w14:paraId="08656CD7" w14:textId="77777777" w:rsidR="00FB6AD0" w:rsidRPr="00C61784" w:rsidRDefault="00FB6AD0" w:rsidP="00EF12F1">
      <w:pPr>
        <w:spacing w:after="0" w:line="240" w:lineRule="auto"/>
        <w:jc w:val="both"/>
        <w:rPr>
          <w:rFonts w:cstheme="minorHAnsi"/>
          <w:color w:val="000000" w:themeColor="text1"/>
          <w:lang w:val="en-GB"/>
        </w:rPr>
      </w:pPr>
    </w:p>
    <w:p w14:paraId="360D2B2E" w14:textId="77777777" w:rsidR="00FB6AD0" w:rsidRPr="00C61784" w:rsidRDefault="00FB6AD0" w:rsidP="00EF12F1">
      <w:pPr>
        <w:spacing w:after="0" w:line="240" w:lineRule="auto"/>
        <w:jc w:val="both"/>
        <w:rPr>
          <w:rFonts w:cstheme="minorHAnsi"/>
          <w:color w:val="000000" w:themeColor="text1"/>
          <w:lang w:val="en-GB"/>
        </w:rPr>
      </w:pPr>
      <w:r>
        <w:rPr>
          <w:rFonts w:cstheme="minorHAnsi"/>
          <w:color w:val="000000" w:themeColor="text1"/>
          <w:lang w:val="en-GB"/>
        </w:rPr>
        <w:t xml:space="preserve">The figure shows </w:t>
      </w:r>
      <w:r w:rsidRPr="00C61784">
        <w:rPr>
          <w:rFonts w:cstheme="minorHAnsi"/>
          <w:color w:val="000000" w:themeColor="text1"/>
          <w:lang w:val="en-GB"/>
        </w:rPr>
        <w:t xml:space="preserve">the cost-effectiveness acceptability curve of the intervention </w:t>
      </w:r>
      <w:r>
        <w:rPr>
          <w:rFonts w:cstheme="minorHAnsi"/>
          <w:color w:val="000000" w:themeColor="text1"/>
          <w:lang w:val="en-GB"/>
        </w:rPr>
        <w:t>versus</w:t>
      </w:r>
      <w:r w:rsidRPr="00C61784">
        <w:rPr>
          <w:rFonts w:cstheme="minorHAnsi"/>
          <w:color w:val="000000" w:themeColor="text1"/>
          <w:lang w:val="en-GB"/>
        </w:rPr>
        <w:t xml:space="preserve"> usual care over 24 months when intervention costs are not included in the analysis. It shows that the probability of the intervention being cost-effective compared with usual care was </w:t>
      </w:r>
      <w:r w:rsidRPr="00E64FC7">
        <w:rPr>
          <w:rFonts w:cstheme="minorHAnsi"/>
          <w:color w:val="000000" w:themeColor="text1"/>
          <w:lang w:val="en-GB"/>
        </w:rPr>
        <w:t>approximately</w:t>
      </w:r>
      <w:r w:rsidRPr="00C61784">
        <w:rPr>
          <w:rFonts w:cstheme="minorHAnsi"/>
          <w:color w:val="000000" w:themeColor="text1"/>
          <w:lang w:val="en-GB"/>
        </w:rPr>
        <w:t xml:space="preserve"> 80% if decision</w:t>
      </w:r>
      <w:r>
        <w:rPr>
          <w:rFonts w:cstheme="minorHAnsi"/>
          <w:color w:val="000000" w:themeColor="text1"/>
          <w:lang w:val="en-GB"/>
        </w:rPr>
        <w:t xml:space="preserve"> </w:t>
      </w:r>
      <w:r w:rsidRPr="00C61784">
        <w:rPr>
          <w:rFonts w:cstheme="minorHAnsi"/>
          <w:color w:val="000000" w:themeColor="text1"/>
          <w:lang w:val="en-GB"/>
        </w:rPr>
        <w:t>makers were willing to pay at $50,000 per QALY gained.</w:t>
      </w:r>
    </w:p>
    <w:p w14:paraId="323E4A98" w14:textId="77777777" w:rsidR="00FB6AD0" w:rsidRPr="00C61784" w:rsidRDefault="00FB6AD0" w:rsidP="00EF12F1">
      <w:pPr>
        <w:spacing w:after="0" w:line="240" w:lineRule="auto"/>
        <w:rPr>
          <w:rFonts w:cs="Times New Roman"/>
          <w:szCs w:val="24"/>
          <w:lang w:val="en-GB"/>
        </w:rPr>
      </w:pPr>
    </w:p>
    <w:p w14:paraId="1AC07C9E" w14:textId="77777777" w:rsidR="00FB6AD0" w:rsidRPr="00C61784" w:rsidRDefault="00FB6AD0" w:rsidP="00EF12F1">
      <w:pPr>
        <w:spacing w:after="0" w:line="240" w:lineRule="auto"/>
        <w:rPr>
          <w:noProof/>
          <w:lang w:val="en-GB"/>
        </w:rPr>
      </w:pPr>
      <w:r w:rsidRPr="00C61784">
        <w:rPr>
          <w:noProof/>
          <w:lang w:val="en-US"/>
        </w:rPr>
        <w:drawing>
          <wp:inline distT="0" distB="0" distL="0" distR="0" wp14:anchorId="71E5F3A7" wp14:editId="1DC13C0A">
            <wp:extent cx="5735955" cy="3420745"/>
            <wp:effectExtent l="0" t="0" r="17145" b="8255"/>
            <wp:docPr id="8" name="Chart 8">
              <a:extLst xmlns:a="http://schemas.openxmlformats.org/drawingml/2006/main">
                <a:ext uri="{FF2B5EF4-FFF2-40B4-BE49-F238E27FC236}">
                  <a16:creationId xmlns:a16="http://schemas.microsoft.com/office/drawing/2014/main" id="{43BDDCDE-F883-4371-6144-CFA6F81099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579733E" w14:textId="77777777" w:rsidR="00FB6AD0" w:rsidRPr="00C61784" w:rsidRDefault="00FB6AD0" w:rsidP="00EF12F1">
      <w:pPr>
        <w:spacing w:after="0" w:line="240" w:lineRule="auto"/>
        <w:rPr>
          <w:lang w:val="en-GB"/>
        </w:rPr>
      </w:pPr>
    </w:p>
    <w:p w14:paraId="7F46F40D" w14:textId="77777777" w:rsidR="00FB6AD0" w:rsidRPr="00C61784" w:rsidRDefault="00FB6AD0" w:rsidP="00EF12F1">
      <w:pPr>
        <w:spacing w:after="0" w:line="240" w:lineRule="auto"/>
        <w:rPr>
          <w:lang w:val="en-GB"/>
        </w:rPr>
      </w:pPr>
      <w:r w:rsidRPr="00C61784">
        <w:rPr>
          <w:rFonts w:ascii="Times New Roman" w:hAnsi="Times New Roman"/>
          <w:sz w:val="24"/>
          <w:lang w:val="en-GB"/>
        </w:rPr>
        <w:br w:type="page"/>
      </w:r>
    </w:p>
    <w:p w14:paraId="600D9174" w14:textId="77777777" w:rsidR="00FB6AD0" w:rsidRPr="00C61784" w:rsidRDefault="00FB6AD0" w:rsidP="00EF12F1">
      <w:pPr>
        <w:pStyle w:val="Caption"/>
        <w:rPr>
          <w:lang w:val="en-GB"/>
        </w:rPr>
      </w:pPr>
      <w:bookmarkStart w:id="27" w:name="_Toc121820115"/>
      <w:r w:rsidRPr="00BA41A6">
        <w:lastRenderedPageBreak/>
        <w:t>Supplementary</w:t>
      </w:r>
      <w:r>
        <w:rPr>
          <w:b/>
          <w:bCs/>
        </w:rPr>
        <w:t xml:space="preserve"> </w:t>
      </w:r>
      <w:r w:rsidRPr="00C61784">
        <w:rPr>
          <w:lang w:val="en-GB"/>
        </w:rPr>
        <w:t xml:space="preserve">Figure </w:t>
      </w:r>
      <w:r>
        <w:rPr>
          <w:lang w:val="en-GB"/>
        </w:rPr>
        <w:t>3</w:t>
      </w:r>
      <w:r w:rsidRPr="00C61784">
        <w:rPr>
          <w:lang w:val="en-GB"/>
        </w:rPr>
        <w:t xml:space="preserve"> Cost-effectiveness plane (</w:t>
      </w:r>
      <w:r w:rsidRPr="004775E5">
        <w:rPr>
          <w:noProof/>
          <w:lang w:val="en-GB"/>
        </w:rPr>
        <w:t>qua</w:t>
      </w:r>
      <w:r>
        <w:rPr>
          <w:noProof/>
          <w:lang w:val="en-GB"/>
        </w:rPr>
        <w:t>lity-adjusted life years [QALYs]</w:t>
      </w:r>
      <w:r w:rsidRPr="004775E5">
        <w:rPr>
          <w:noProof/>
          <w:lang w:val="en-GB"/>
        </w:rPr>
        <w:t xml:space="preserve"> </w:t>
      </w:r>
      <w:r w:rsidRPr="00C61784">
        <w:rPr>
          <w:lang w:val="en-GB"/>
        </w:rPr>
        <w:t xml:space="preserve">gained over 24 months) </w:t>
      </w:r>
      <w:r>
        <w:rPr>
          <w:lang w:val="en-GB"/>
        </w:rPr>
        <w:t>in the</w:t>
      </w:r>
      <w:r w:rsidRPr="00C61784">
        <w:rPr>
          <w:lang w:val="en-GB"/>
        </w:rPr>
        <w:t xml:space="preserve"> adults </w:t>
      </w:r>
      <w:proofErr w:type="gramStart"/>
      <w:r w:rsidRPr="00C61784">
        <w:rPr>
          <w:lang w:val="en-GB"/>
        </w:rPr>
        <w:t>cohort</w:t>
      </w:r>
      <w:bookmarkEnd w:id="27"/>
      <w:proofErr w:type="gramEnd"/>
    </w:p>
    <w:p w14:paraId="0391FD5D" w14:textId="77777777" w:rsidR="00FB6AD0" w:rsidRPr="00C61784" w:rsidRDefault="00FB6AD0" w:rsidP="00EF12F1">
      <w:pPr>
        <w:spacing w:after="0" w:line="240" w:lineRule="auto"/>
        <w:rPr>
          <w:lang w:val="en-GB"/>
        </w:rPr>
      </w:pPr>
    </w:p>
    <w:p w14:paraId="12B193AF" w14:textId="77777777" w:rsidR="00FB6AD0" w:rsidRPr="00C61784" w:rsidRDefault="00FB6AD0" w:rsidP="00EF12F1">
      <w:pPr>
        <w:spacing w:after="0" w:line="240" w:lineRule="auto"/>
        <w:rPr>
          <w:lang w:val="en-GB"/>
        </w:rPr>
      </w:pPr>
      <w:r>
        <w:rPr>
          <w:lang w:val="en-GB"/>
        </w:rPr>
        <w:t>The</w:t>
      </w:r>
      <w:r w:rsidRPr="00C61784">
        <w:rPr>
          <w:lang w:val="en-GB"/>
        </w:rPr>
        <w:t xml:space="preserve"> cost-effectiveness plane show</w:t>
      </w:r>
      <w:r>
        <w:rPr>
          <w:lang w:val="en-GB"/>
        </w:rPr>
        <w:t>s</w:t>
      </w:r>
      <w:r w:rsidRPr="00C61784">
        <w:rPr>
          <w:lang w:val="en-GB"/>
        </w:rPr>
        <w:t xml:space="preserve"> the relationship between the incremental cost and incremental outcomes (QALYs gained at 24 months) of the intervention compared </w:t>
      </w:r>
      <w:r>
        <w:rPr>
          <w:lang w:val="en-GB"/>
        </w:rPr>
        <w:t>with</w:t>
      </w:r>
      <w:r w:rsidRPr="00C61784">
        <w:rPr>
          <w:lang w:val="en-GB"/>
        </w:rPr>
        <w:t xml:space="preserve"> control. It shows considerable uncertainty in the results </w:t>
      </w:r>
      <w:r w:rsidRPr="00E64FC7">
        <w:rPr>
          <w:lang w:val="en-GB"/>
        </w:rPr>
        <w:t>because</w:t>
      </w:r>
      <w:r w:rsidRPr="00C61784">
        <w:rPr>
          <w:lang w:val="en-GB"/>
        </w:rPr>
        <w:t xml:space="preserve"> they are spread in all four quadrants.</w:t>
      </w:r>
      <w:r w:rsidRPr="003203DC">
        <w:t xml:space="preserve"> </w:t>
      </w:r>
      <w:r w:rsidRPr="003203DC">
        <w:rPr>
          <w:lang w:val="en-GB"/>
        </w:rPr>
        <w:t>EQ-5D-5L</w:t>
      </w:r>
      <w:r>
        <w:rPr>
          <w:lang w:val="en-GB"/>
        </w:rPr>
        <w:t>,</w:t>
      </w:r>
      <w:r w:rsidRPr="003203DC">
        <w:rPr>
          <w:lang w:val="en-GB"/>
        </w:rPr>
        <w:t xml:space="preserve"> </w:t>
      </w:r>
      <w:proofErr w:type="spellStart"/>
      <w:r w:rsidRPr="003203DC">
        <w:rPr>
          <w:lang w:val="en-GB"/>
        </w:rPr>
        <w:t>EuroQoL</w:t>
      </w:r>
      <w:proofErr w:type="spellEnd"/>
      <w:r w:rsidRPr="003203DC">
        <w:rPr>
          <w:lang w:val="en-GB"/>
        </w:rPr>
        <w:t xml:space="preserve"> 5 dimensions, 5 levels questionnaire</w:t>
      </w:r>
      <w:r>
        <w:rPr>
          <w:lang w:val="en-GB"/>
        </w:rPr>
        <w:t>.</w:t>
      </w:r>
    </w:p>
    <w:p w14:paraId="417B4B35" w14:textId="77777777" w:rsidR="00FB6AD0" w:rsidRPr="00C61784" w:rsidRDefault="00FB6AD0" w:rsidP="00EF12F1">
      <w:pPr>
        <w:spacing w:after="0" w:line="240" w:lineRule="auto"/>
        <w:rPr>
          <w:lang w:val="en-GB"/>
        </w:rPr>
      </w:pPr>
    </w:p>
    <w:p w14:paraId="320117A8" w14:textId="77777777" w:rsidR="00FB6AD0" w:rsidRPr="00C61784" w:rsidRDefault="00FB6AD0" w:rsidP="00EF12F1">
      <w:pPr>
        <w:spacing w:after="0" w:line="240" w:lineRule="auto"/>
        <w:rPr>
          <w:noProof/>
          <w:lang w:val="en-GB"/>
        </w:rPr>
      </w:pPr>
      <w:r w:rsidRPr="00C61784">
        <w:rPr>
          <w:noProof/>
          <w:lang w:val="en-GB"/>
        </w:rPr>
        <w:t xml:space="preserve"> </w:t>
      </w:r>
      <w:r w:rsidRPr="00C61784">
        <w:rPr>
          <w:noProof/>
          <w:lang w:val="en-US"/>
        </w:rPr>
        <w:drawing>
          <wp:inline distT="0" distB="0" distL="0" distR="0" wp14:anchorId="1929148A" wp14:editId="5805C1DB">
            <wp:extent cx="5620385" cy="4086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0385" cy="4086225"/>
                    </a:xfrm>
                    <a:prstGeom prst="rect">
                      <a:avLst/>
                    </a:prstGeom>
                    <a:noFill/>
                    <a:ln>
                      <a:noFill/>
                    </a:ln>
                  </pic:spPr>
                </pic:pic>
              </a:graphicData>
            </a:graphic>
          </wp:inline>
        </w:drawing>
      </w:r>
    </w:p>
    <w:p w14:paraId="6EF554FB" w14:textId="77777777" w:rsidR="00FB6AD0" w:rsidRPr="00C61784" w:rsidRDefault="00FB6AD0" w:rsidP="00EF12F1">
      <w:pPr>
        <w:spacing w:after="0" w:line="240" w:lineRule="auto"/>
        <w:rPr>
          <w:lang w:val="en-GB"/>
        </w:rPr>
      </w:pPr>
    </w:p>
    <w:p w14:paraId="54CA0FED" w14:textId="77777777" w:rsidR="00FB6AD0" w:rsidRPr="00C61784" w:rsidRDefault="00FB6AD0" w:rsidP="00EF12F1">
      <w:pPr>
        <w:spacing w:after="0" w:line="240" w:lineRule="auto"/>
        <w:rPr>
          <w:lang w:val="en-GB"/>
        </w:rPr>
      </w:pPr>
      <w:r w:rsidRPr="00C61784">
        <w:rPr>
          <w:rFonts w:ascii="Times New Roman" w:hAnsi="Times New Roman"/>
          <w:sz w:val="24"/>
          <w:lang w:val="en-GB"/>
        </w:rPr>
        <w:br w:type="page"/>
      </w:r>
    </w:p>
    <w:p w14:paraId="66D1E2EB" w14:textId="77777777" w:rsidR="00FB6AD0" w:rsidRPr="00C61784" w:rsidRDefault="00FB6AD0" w:rsidP="00EF12F1">
      <w:pPr>
        <w:pStyle w:val="Caption"/>
        <w:rPr>
          <w:lang w:val="en-GB"/>
        </w:rPr>
      </w:pPr>
      <w:bookmarkStart w:id="28" w:name="_Toc121820116"/>
      <w:r w:rsidRPr="00BA41A6">
        <w:lastRenderedPageBreak/>
        <w:t>Supplementary</w:t>
      </w:r>
      <w:r>
        <w:rPr>
          <w:b/>
          <w:bCs/>
        </w:rPr>
        <w:t xml:space="preserve"> </w:t>
      </w:r>
      <w:r w:rsidRPr="00C61784">
        <w:rPr>
          <w:lang w:val="en-GB"/>
        </w:rPr>
        <w:t xml:space="preserve">Figure </w:t>
      </w:r>
      <w:r>
        <w:rPr>
          <w:lang w:val="en-GB"/>
        </w:rPr>
        <w:t>4</w:t>
      </w:r>
      <w:r w:rsidRPr="00C61784">
        <w:rPr>
          <w:lang w:val="en-GB"/>
        </w:rPr>
        <w:t xml:space="preserve"> Cost-effectiveness acceptability curve (</w:t>
      </w:r>
      <w:r w:rsidRPr="004775E5">
        <w:rPr>
          <w:noProof/>
          <w:lang w:val="en-GB"/>
        </w:rPr>
        <w:t>qua</w:t>
      </w:r>
      <w:r>
        <w:rPr>
          <w:noProof/>
          <w:lang w:val="en-GB"/>
        </w:rPr>
        <w:t>lity-adjusted life years [QALYs]</w:t>
      </w:r>
      <w:r w:rsidRPr="004775E5">
        <w:rPr>
          <w:noProof/>
          <w:lang w:val="en-GB"/>
        </w:rPr>
        <w:t xml:space="preserve"> </w:t>
      </w:r>
      <w:r w:rsidRPr="00C61784">
        <w:rPr>
          <w:lang w:val="en-GB"/>
        </w:rPr>
        <w:t xml:space="preserve">gained over 24 months) </w:t>
      </w:r>
      <w:r>
        <w:rPr>
          <w:lang w:val="en-GB"/>
        </w:rPr>
        <w:t>in the</w:t>
      </w:r>
      <w:r w:rsidRPr="00C61784">
        <w:rPr>
          <w:lang w:val="en-GB"/>
        </w:rPr>
        <w:t xml:space="preserve"> adults </w:t>
      </w:r>
      <w:proofErr w:type="gramStart"/>
      <w:r w:rsidRPr="00C61784">
        <w:rPr>
          <w:lang w:val="en-GB"/>
        </w:rPr>
        <w:t>cohort</w:t>
      </w:r>
      <w:bookmarkEnd w:id="28"/>
      <w:proofErr w:type="gramEnd"/>
    </w:p>
    <w:p w14:paraId="1CFB39D3" w14:textId="77777777" w:rsidR="00FB6AD0" w:rsidRPr="00C61784" w:rsidRDefault="00FB6AD0" w:rsidP="00EF12F1">
      <w:pPr>
        <w:spacing w:after="0" w:line="240" w:lineRule="auto"/>
        <w:rPr>
          <w:lang w:val="en-GB"/>
        </w:rPr>
      </w:pPr>
    </w:p>
    <w:p w14:paraId="6CE60F11" w14:textId="77777777" w:rsidR="00FB6AD0" w:rsidRPr="00C61784" w:rsidRDefault="00FB6AD0" w:rsidP="00EF12F1">
      <w:pPr>
        <w:spacing w:after="0" w:line="240" w:lineRule="auto"/>
        <w:rPr>
          <w:lang w:val="en-GB"/>
        </w:rPr>
      </w:pPr>
      <w:r>
        <w:rPr>
          <w:lang w:val="en-GB"/>
        </w:rPr>
        <w:t>The f</w:t>
      </w:r>
      <w:r w:rsidRPr="00C61784">
        <w:rPr>
          <w:lang w:val="en-GB"/>
        </w:rPr>
        <w:t xml:space="preserve">igure </w:t>
      </w:r>
      <w:r>
        <w:rPr>
          <w:lang w:val="en-GB"/>
        </w:rPr>
        <w:t>shows</w:t>
      </w:r>
      <w:r w:rsidRPr="00C61784">
        <w:rPr>
          <w:lang w:val="en-GB"/>
        </w:rPr>
        <w:t xml:space="preserve"> the cost-effectiveness acceptability curve of the intervention </w:t>
      </w:r>
      <w:r>
        <w:rPr>
          <w:lang w:val="en-GB"/>
        </w:rPr>
        <w:t>versus</w:t>
      </w:r>
      <w:r w:rsidRPr="00C61784">
        <w:rPr>
          <w:lang w:val="en-GB"/>
        </w:rPr>
        <w:t xml:space="preserve"> usual care over 24 months when intervention costs are not included in the analysis. It shows that the probability of the intervention being cost-effective compared with usual care was </w:t>
      </w:r>
      <w:r w:rsidRPr="00EA0AC0">
        <w:rPr>
          <w:lang w:val="en-GB"/>
        </w:rPr>
        <w:t>approximately</w:t>
      </w:r>
      <w:r w:rsidRPr="00C61784">
        <w:rPr>
          <w:lang w:val="en-GB"/>
        </w:rPr>
        <w:t xml:space="preserve"> 45% if decision</w:t>
      </w:r>
      <w:r>
        <w:rPr>
          <w:lang w:val="en-GB"/>
        </w:rPr>
        <w:t xml:space="preserve"> </w:t>
      </w:r>
      <w:r w:rsidRPr="00C61784">
        <w:rPr>
          <w:lang w:val="en-GB"/>
        </w:rPr>
        <w:t>makers were willing to pay at $50,000 per QALY gained.</w:t>
      </w:r>
    </w:p>
    <w:p w14:paraId="50DD00F3" w14:textId="77777777" w:rsidR="00FB6AD0" w:rsidRPr="00C61784" w:rsidRDefault="00FB6AD0" w:rsidP="00EF12F1">
      <w:pPr>
        <w:spacing w:after="0" w:line="240" w:lineRule="auto"/>
        <w:rPr>
          <w:lang w:val="en-GB"/>
        </w:rPr>
      </w:pPr>
    </w:p>
    <w:p w14:paraId="497A5B32" w14:textId="77777777" w:rsidR="00FB6AD0" w:rsidRPr="00C61784" w:rsidRDefault="00FB6AD0" w:rsidP="00EF12F1">
      <w:pPr>
        <w:spacing w:after="0" w:line="240" w:lineRule="auto"/>
        <w:rPr>
          <w:lang w:val="en-GB"/>
        </w:rPr>
      </w:pPr>
      <w:r w:rsidRPr="00C61784">
        <w:rPr>
          <w:noProof/>
          <w:lang w:val="en-US"/>
        </w:rPr>
        <w:drawing>
          <wp:inline distT="0" distB="0" distL="0" distR="0" wp14:anchorId="6FEAD296" wp14:editId="1E9DB124">
            <wp:extent cx="5735955" cy="3420745"/>
            <wp:effectExtent l="0" t="0" r="17145" b="8255"/>
            <wp:docPr id="11" name="Chart 11">
              <a:extLst xmlns:a="http://schemas.openxmlformats.org/drawingml/2006/main">
                <a:ext uri="{FF2B5EF4-FFF2-40B4-BE49-F238E27FC236}">
                  <a16:creationId xmlns:a16="http://schemas.microsoft.com/office/drawing/2014/main" id="{3B76ADB8-6337-57FA-AB1F-BA9F502CF3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095CBC" w14:textId="77777777" w:rsidR="00FB6AD0" w:rsidRPr="00C61784" w:rsidRDefault="00FB6AD0" w:rsidP="00EF12F1">
      <w:pPr>
        <w:spacing w:after="0" w:line="240" w:lineRule="auto"/>
        <w:rPr>
          <w:lang w:val="en-GB"/>
        </w:rPr>
      </w:pPr>
    </w:p>
    <w:p w14:paraId="603794C0" w14:textId="77777777" w:rsidR="00FB6AD0" w:rsidRPr="00C61784" w:rsidRDefault="00FB6AD0" w:rsidP="00EF12F1">
      <w:pPr>
        <w:spacing w:after="0" w:line="240" w:lineRule="auto"/>
        <w:rPr>
          <w:lang w:val="en-GB"/>
        </w:rPr>
      </w:pPr>
      <w:r w:rsidRPr="00C61784">
        <w:rPr>
          <w:rFonts w:ascii="Times New Roman" w:hAnsi="Times New Roman"/>
          <w:sz w:val="24"/>
          <w:lang w:val="en-GB"/>
        </w:rPr>
        <w:br w:type="page"/>
      </w:r>
    </w:p>
    <w:p w14:paraId="4F527EB6" w14:textId="77777777" w:rsidR="00FB6AD0" w:rsidRPr="00C61784" w:rsidRDefault="00FB6AD0" w:rsidP="00EF12F1">
      <w:pPr>
        <w:pStyle w:val="Caption"/>
        <w:rPr>
          <w:lang w:val="en-GB"/>
        </w:rPr>
      </w:pPr>
      <w:bookmarkStart w:id="29" w:name="_Toc121820117"/>
      <w:r w:rsidRPr="00BA41A6">
        <w:lastRenderedPageBreak/>
        <w:t>Supplementary</w:t>
      </w:r>
      <w:r>
        <w:rPr>
          <w:b/>
          <w:bCs/>
        </w:rPr>
        <w:t xml:space="preserve"> </w:t>
      </w:r>
      <w:r w:rsidRPr="00C61784">
        <w:rPr>
          <w:lang w:val="en-GB"/>
        </w:rPr>
        <w:t xml:space="preserve">Figure </w:t>
      </w:r>
      <w:r>
        <w:rPr>
          <w:lang w:val="en-GB"/>
        </w:rPr>
        <w:t>5</w:t>
      </w:r>
      <w:r w:rsidRPr="00C61784">
        <w:rPr>
          <w:lang w:val="en-GB"/>
        </w:rPr>
        <w:t xml:space="preserve"> Cost-effectiveness plane (</w:t>
      </w:r>
      <w:r w:rsidRPr="004775E5">
        <w:rPr>
          <w:noProof/>
          <w:lang w:val="en-GB"/>
        </w:rPr>
        <w:t>qua</w:t>
      </w:r>
      <w:r>
        <w:rPr>
          <w:noProof/>
          <w:lang w:val="en-GB"/>
        </w:rPr>
        <w:t>lity-adjusted life years [QALYs]</w:t>
      </w:r>
      <w:r w:rsidRPr="004775E5">
        <w:rPr>
          <w:noProof/>
          <w:lang w:val="en-GB"/>
        </w:rPr>
        <w:t xml:space="preserve"> </w:t>
      </w:r>
      <w:r w:rsidRPr="00C61784">
        <w:rPr>
          <w:lang w:val="en-GB"/>
        </w:rPr>
        <w:t xml:space="preserve">gained over 24 months) </w:t>
      </w:r>
      <w:r>
        <w:rPr>
          <w:lang w:val="en-GB"/>
        </w:rPr>
        <w:t>in the</w:t>
      </w:r>
      <w:r w:rsidRPr="00C61784">
        <w:rPr>
          <w:lang w:val="en-GB"/>
        </w:rPr>
        <w:t xml:space="preserve"> older adults </w:t>
      </w:r>
      <w:proofErr w:type="gramStart"/>
      <w:r w:rsidRPr="00C61784">
        <w:rPr>
          <w:lang w:val="en-GB"/>
        </w:rPr>
        <w:t>cohort</w:t>
      </w:r>
      <w:bookmarkEnd w:id="29"/>
      <w:proofErr w:type="gramEnd"/>
    </w:p>
    <w:p w14:paraId="2AD3FAB7" w14:textId="77777777" w:rsidR="00FB6AD0" w:rsidRPr="00C61784" w:rsidRDefault="00FB6AD0" w:rsidP="00EF12F1">
      <w:pPr>
        <w:spacing w:after="0" w:line="240" w:lineRule="auto"/>
        <w:rPr>
          <w:lang w:val="en-GB"/>
        </w:rPr>
      </w:pPr>
    </w:p>
    <w:p w14:paraId="2145F5DB" w14:textId="77777777" w:rsidR="00FB6AD0" w:rsidRPr="00C61784" w:rsidRDefault="00FB6AD0" w:rsidP="00EF12F1">
      <w:pPr>
        <w:spacing w:after="0" w:line="240" w:lineRule="auto"/>
        <w:rPr>
          <w:lang w:val="en-GB"/>
        </w:rPr>
      </w:pPr>
      <w:r>
        <w:rPr>
          <w:lang w:val="en-GB"/>
        </w:rPr>
        <w:t>The</w:t>
      </w:r>
      <w:r w:rsidRPr="00C61784">
        <w:rPr>
          <w:lang w:val="en-GB"/>
        </w:rPr>
        <w:t xml:space="preserve"> cost-effectiveness plane </w:t>
      </w:r>
      <w:r>
        <w:rPr>
          <w:lang w:val="en-GB"/>
        </w:rPr>
        <w:t>shows</w:t>
      </w:r>
      <w:r w:rsidRPr="00C61784">
        <w:rPr>
          <w:lang w:val="en-GB"/>
        </w:rPr>
        <w:t xml:space="preserve"> the relationship between the incremental cost and incremental outcomes (QALYs gained at 24 months) of the intervention compared </w:t>
      </w:r>
      <w:r>
        <w:rPr>
          <w:lang w:val="en-GB"/>
        </w:rPr>
        <w:t>with</w:t>
      </w:r>
      <w:r w:rsidRPr="00C61784">
        <w:rPr>
          <w:lang w:val="en-GB"/>
        </w:rPr>
        <w:t xml:space="preserve"> control. It shows considerable uncertainty in the results </w:t>
      </w:r>
      <w:r w:rsidRPr="00EA0AC0">
        <w:rPr>
          <w:lang w:val="en-GB"/>
        </w:rPr>
        <w:t>because</w:t>
      </w:r>
      <w:r w:rsidRPr="00C61784">
        <w:rPr>
          <w:lang w:val="en-GB"/>
        </w:rPr>
        <w:t xml:space="preserve"> they are spread in all four quadrants.</w:t>
      </w:r>
      <w:r w:rsidRPr="003203DC">
        <w:t xml:space="preserve"> </w:t>
      </w:r>
      <w:r w:rsidRPr="003203DC">
        <w:rPr>
          <w:lang w:val="en-GB"/>
        </w:rPr>
        <w:t xml:space="preserve">EQ-5D-5L, </w:t>
      </w:r>
      <w:proofErr w:type="spellStart"/>
      <w:r w:rsidRPr="003203DC">
        <w:rPr>
          <w:lang w:val="en-GB"/>
        </w:rPr>
        <w:t>EuroQoL</w:t>
      </w:r>
      <w:proofErr w:type="spellEnd"/>
      <w:r w:rsidRPr="003203DC">
        <w:rPr>
          <w:lang w:val="en-GB"/>
        </w:rPr>
        <w:t xml:space="preserve"> 5 dimensions, 5 levels questionnaire</w:t>
      </w:r>
      <w:r>
        <w:rPr>
          <w:lang w:val="en-GB"/>
        </w:rPr>
        <w:t>.</w:t>
      </w:r>
    </w:p>
    <w:p w14:paraId="13F58EF4" w14:textId="77777777" w:rsidR="00FB6AD0" w:rsidRPr="00C61784" w:rsidRDefault="00FB6AD0" w:rsidP="00EF12F1">
      <w:pPr>
        <w:spacing w:after="0" w:line="240" w:lineRule="auto"/>
        <w:rPr>
          <w:lang w:val="en-GB"/>
        </w:rPr>
      </w:pPr>
    </w:p>
    <w:p w14:paraId="4E79E98D" w14:textId="77777777" w:rsidR="00FB6AD0" w:rsidRPr="00C61784" w:rsidRDefault="00FB6AD0" w:rsidP="00EF12F1">
      <w:pPr>
        <w:spacing w:after="0" w:line="240" w:lineRule="auto"/>
        <w:rPr>
          <w:lang w:val="en-GB"/>
        </w:rPr>
      </w:pPr>
      <w:r w:rsidRPr="00C61784">
        <w:rPr>
          <w:noProof/>
          <w:lang w:val="en-US"/>
        </w:rPr>
        <w:drawing>
          <wp:inline distT="0" distB="0" distL="0" distR="0" wp14:anchorId="22A1743E" wp14:editId="26F530E9">
            <wp:extent cx="5544185" cy="40347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4185" cy="4034790"/>
                    </a:xfrm>
                    <a:prstGeom prst="rect">
                      <a:avLst/>
                    </a:prstGeom>
                    <a:noFill/>
                    <a:ln>
                      <a:noFill/>
                    </a:ln>
                  </pic:spPr>
                </pic:pic>
              </a:graphicData>
            </a:graphic>
          </wp:inline>
        </w:drawing>
      </w:r>
    </w:p>
    <w:p w14:paraId="3601A7EE" w14:textId="77777777" w:rsidR="00FB6AD0" w:rsidRPr="00C61784" w:rsidRDefault="00FB6AD0" w:rsidP="00EF12F1">
      <w:pPr>
        <w:spacing w:after="0" w:line="240" w:lineRule="auto"/>
        <w:rPr>
          <w:lang w:val="en-GB"/>
        </w:rPr>
      </w:pPr>
    </w:p>
    <w:p w14:paraId="789429E7" w14:textId="77777777" w:rsidR="00FB6AD0" w:rsidRPr="00C61784" w:rsidRDefault="00FB6AD0" w:rsidP="00EF12F1">
      <w:pPr>
        <w:pStyle w:val="Caption"/>
        <w:rPr>
          <w:lang w:val="en-GB"/>
        </w:rPr>
      </w:pPr>
      <w:r w:rsidRPr="00C61784">
        <w:rPr>
          <w:iCs w:val="0"/>
          <w:lang w:val="en-GB"/>
        </w:rPr>
        <w:br w:type="page"/>
      </w:r>
      <w:bookmarkStart w:id="30" w:name="_Toc121820118"/>
      <w:r w:rsidRPr="00BA41A6">
        <w:lastRenderedPageBreak/>
        <w:t>Supplementary</w:t>
      </w:r>
      <w:r>
        <w:rPr>
          <w:b/>
          <w:bCs/>
        </w:rPr>
        <w:t xml:space="preserve"> </w:t>
      </w:r>
      <w:r w:rsidRPr="00C61784">
        <w:rPr>
          <w:lang w:val="en-GB"/>
        </w:rPr>
        <w:t xml:space="preserve">Figure </w:t>
      </w:r>
      <w:r>
        <w:rPr>
          <w:lang w:val="en-GB"/>
        </w:rPr>
        <w:t>6</w:t>
      </w:r>
      <w:r w:rsidRPr="00C61784">
        <w:rPr>
          <w:lang w:val="en-GB"/>
        </w:rPr>
        <w:t xml:space="preserve"> Cost-effectiveness acceptability curve (</w:t>
      </w:r>
      <w:r w:rsidRPr="004775E5">
        <w:rPr>
          <w:noProof/>
          <w:lang w:val="en-GB"/>
        </w:rPr>
        <w:t>qua</w:t>
      </w:r>
      <w:r>
        <w:rPr>
          <w:noProof/>
          <w:lang w:val="en-GB"/>
        </w:rPr>
        <w:t>lity-adjusted life years [QALYs]</w:t>
      </w:r>
      <w:r w:rsidRPr="004775E5">
        <w:rPr>
          <w:noProof/>
          <w:lang w:val="en-GB"/>
        </w:rPr>
        <w:t xml:space="preserve"> </w:t>
      </w:r>
      <w:r w:rsidRPr="00C61784">
        <w:rPr>
          <w:lang w:val="en-GB"/>
        </w:rPr>
        <w:t xml:space="preserve">gained over 24 months) </w:t>
      </w:r>
      <w:r>
        <w:rPr>
          <w:lang w:val="en-GB"/>
        </w:rPr>
        <w:t xml:space="preserve">in the </w:t>
      </w:r>
      <w:r w:rsidRPr="00C61784">
        <w:rPr>
          <w:lang w:val="en-GB"/>
        </w:rPr>
        <w:t xml:space="preserve">older adults </w:t>
      </w:r>
      <w:proofErr w:type="gramStart"/>
      <w:r w:rsidRPr="00C61784">
        <w:rPr>
          <w:lang w:val="en-GB"/>
        </w:rPr>
        <w:t>cohort</w:t>
      </w:r>
      <w:bookmarkEnd w:id="30"/>
      <w:proofErr w:type="gramEnd"/>
    </w:p>
    <w:p w14:paraId="671877F4" w14:textId="77777777" w:rsidR="00FB6AD0" w:rsidRPr="00C61784" w:rsidRDefault="00FB6AD0" w:rsidP="00EF12F1">
      <w:pPr>
        <w:spacing w:after="0" w:line="240" w:lineRule="auto"/>
        <w:rPr>
          <w:lang w:val="en-GB"/>
        </w:rPr>
      </w:pPr>
    </w:p>
    <w:p w14:paraId="30BEC15B" w14:textId="77777777" w:rsidR="00FB6AD0" w:rsidRPr="00C61784" w:rsidRDefault="00FB6AD0" w:rsidP="00EF12F1">
      <w:pPr>
        <w:spacing w:after="0" w:line="240" w:lineRule="auto"/>
        <w:rPr>
          <w:lang w:val="en-GB"/>
        </w:rPr>
      </w:pPr>
      <w:r>
        <w:rPr>
          <w:lang w:val="en-GB"/>
        </w:rPr>
        <w:t>The f</w:t>
      </w:r>
      <w:r w:rsidRPr="00C61784">
        <w:rPr>
          <w:lang w:val="en-GB"/>
        </w:rPr>
        <w:t xml:space="preserve">igure </w:t>
      </w:r>
      <w:r>
        <w:rPr>
          <w:lang w:val="en-GB"/>
        </w:rPr>
        <w:t>shows</w:t>
      </w:r>
      <w:r w:rsidRPr="00C61784">
        <w:rPr>
          <w:lang w:val="en-GB"/>
        </w:rPr>
        <w:t xml:space="preserve"> the cost-effectiveness acceptability curve of the intervention </w:t>
      </w:r>
      <w:r>
        <w:rPr>
          <w:lang w:val="en-GB"/>
        </w:rPr>
        <w:t>versus</w:t>
      </w:r>
      <w:r w:rsidRPr="00C61784">
        <w:rPr>
          <w:lang w:val="en-GB"/>
        </w:rPr>
        <w:t xml:space="preserve"> usual care over 24 months. It shows that the probability of the intervention being cost-effective compared with usual care was </w:t>
      </w:r>
      <w:r w:rsidRPr="00EA0AC0">
        <w:rPr>
          <w:lang w:val="en-GB"/>
        </w:rPr>
        <w:t>approximately</w:t>
      </w:r>
      <w:r w:rsidRPr="00C61784">
        <w:rPr>
          <w:lang w:val="en-GB"/>
        </w:rPr>
        <w:t xml:space="preserve"> 94% if decision</w:t>
      </w:r>
      <w:r>
        <w:rPr>
          <w:lang w:val="en-GB"/>
        </w:rPr>
        <w:t xml:space="preserve"> </w:t>
      </w:r>
      <w:r w:rsidRPr="00C61784">
        <w:rPr>
          <w:lang w:val="en-GB"/>
        </w:rPr>
        <w:t>makers were willing to pay at $50,000 per QALY gained.</w:t>
      </w:r>
    </w:p>
    <w:p w14:paraId="210C8140" w14:textId="77777777" w:rsidR="00FB6AD0" w:rsidRPr="00C61784" w:rsidRDefault="00FB6AD0" w:rsidP="00EF12F1">
      <w:pPr>
        <w:spacing w:after="0" w:line="240" w:lineRule="auto"/>
        <w:rPr>
          <w:lang w:val="en-GB"/>
        </w:rPr>
      </w:pPr>
    </w:p>
    <w:p w14:paraId="77C728C6" w14:textId="77777777" w:rsidR="00FB6AD0" w:rsidRPr="00C61784" w:rsidRDefault="00FB6AD0" w:rsidP="00EF12F1">
      <w:pPr>
        <w:spacing w:after="0" w:line="240" w:lineRule="auto"/>
        <w:rPr>
          <w:noProof/>
          <w:lang w:val="en-GB"/>
        </w:rPr>
      </w:pPr>
      <w:r w:rsidRPr="00C61784">
        <w:rPr>
          <w:noProof/>
          <w:lang w:val="en-US"/>
        </w:rPr>
        <w:drawing>
          <wp:inline distT="0" distB="0" distL="0" distR="0" wp14:anchorId="276231F0" wp14:editId="7D228F1D">
            <wp:extent cx="5735955" cy="3420745"/>
            <wp:effectExtent l="0" t="0" r="17145" b="8255"/>
            <wp:docPr id="13" name="Chart 13">
              <a:extLst xmlns:a="http://schemas.openxmlformats.org/drawingml/2006/main">
                <a:ext uri="{FF2B5EF4-FFF2-40B4-BE49-F238E27FC236}">
                  <a16:creationId xmlns:a16="http://schemas.microsoft.com/office/drawing/2014/main" id="{D799131C-3E9A-E66C-CF2D-69A9BA4712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741A6F" w14:textId="77777777" w:rsidR="00FB6AD0" w:rsidRPr="00C61784" w:rsidRDefault="00FB6AD0" w:rsidP="00EF12F1">
      <w:pPr>
        <w:spacing w:after="0" w:line="240" w:lineRule="auto"/>
        <w:rPr>
          <w:noProof/>
          <w:lang w:val="en-GB"/>
        </w:rPr>
      </w:pPr>
    </w:p>
    <w:p w14:paraId="3726DA62" w14:textId="77777777" w:rsidR="00FB6AD0" w:rsidRPr="00C61784" w:rsidRDefault="00FB6AD0">
      <w:pPr>
        <w:spacing w:after="0" w:line="240" w:lineRule="auto"/>
        <w:rPr>
          <w:rFonts w:cstheme="minorHAnsi"/>
          <w:lang w:val="en-GB"/>
        </w:rPr>
      </w:pPr>
      <w:r w:rsidRPr="00C61784">
        <w:rPr>
          <w:rFonts w:cstheme="minorHAnsi"/>
          <w:lang w:val="en-GB"/>
        </w:rPr>
        <w:br w:type="page"/>
      </w:r>
    </w:p>
    <w:p w14:paraId="6894B512" w14:textId="77777777" w:rsidR="00FB6AD0" w:rsidRPr="00C61784" w:rsidRDefault="00FB6AD0">
      <w:pPr>
        <w:spacing w:after="0" w:line="240" w:lineRule="auto"/>
        <w:rPr>
          <w:rFonts w:cstheme="minorHAnsi"/>
          <w:b/>
          <w:bCs/>
          <w:lang w:val="en-GB"/>
        </w:rPr>
      </w:pPr>
      <w:r w:rsidRPr="00C61784">
        <w:rPr>
          <w:rFonts w:cstheme="minorHAnsi"/>
          <w:b/>
          <w:bCs/>
          <w:lang w:val="en-GB"/>
        </w:rPr>
        <w:lastRenderedPageBreak/>
        <w:t>References</w:t>
      </w:r>
    </w:p>
    <w:p w14:paraId="2BF35AB8" w14:textId="77777777" w:rsidR="00FB6AD0" w:rsidRPr="00384E9D" w:rsidRDefault="00FB6AD0" w:rsidP="00F019F1">
      <w:pPr>
        <w:spacing w:line="240" w:lineRule="auto"/>
        <w:ind w:left="709" w:hanging="709"/>
        <w:rPr>
          <w:rFonts w:eastAsiaTheme="minorEastAsia"/>
        </w:rPr>
      </w:pPr>
    </w:p>
    <w:p w14:paraId="31EBFCE4" w14:textId="77777777" w:rsidR="00FB6AD0" w:rsidRPr="00F019F1" w:rsidRDefault="00FB6AD0" w:rsidP="00F019F1">
      <w:pPr>
        <w:spacing w:line="240" w:lineRule="auto"/>
        <w:ind w:left="709" w:hanging="709"/>
        <w:rPr>
          <w:rFonts w:eastAsiaTheme="minorEastAsia"/>
        </w:rPr>
      </w:pPr>
      <w:r>
        <w:rPr>
          <w:rFonts w:eastAsiaTheme="minorEastAsia"/>
        </w:rPr>
        <w:t>1</w:t>
      </w:r>
      <w:r w:rsidRPr="00F019F1">
        <w:rPr>
          <w:rFonts w:eastAsiaTheme="minorEastAsia"/>
        </w:rPr>
        <w:t>.</w:t>
      </w:r>
      <w:r w:rsidRPr="00F019F1">
        <w:rPr>
          <w:rFonts w:eastAsiaTheme="minorEastAsia"/>
        </w:rPr>
        <w:tab/>
        <w:t xml:space="preserve">Husereau D, Drummond M, </w:t>
      </w:r>
      <w:proofErr w:type="spellStart"/>
      <w:r w:rsidRPr="00F019F1">
        <w:rPr>
          <w:rFonts w:eastAsiaTheme="minorEastAsia"/>
        </w:rPr>
        <w:t>Petrou</w:t>
      </w:r>
      <w:proofErr w:type="spellEnd"/>
      <w:r w:rsidRPr="00F019F1">
        <w:rPr>
          <w:rFonts w:eastAsiaTheme="minorEastAsia"/>
        </w:rPr>
        <w:t xml:space="preserve"> S, Carswell C, Moher D, Greenberg D et al. Consolidated Health Economic Evaluation Reporting Standards (CHEERS) statement. Pharmacoeconomics. 2013;31(5):361–367.</w:t>
      </w:r>
    </w:p>
    <w:p w14:paraId="45518B92" w14:textId="77777777" w:rsidR="00FB6AD0" w:rsidRPr="00F019F1" w:rsidRDefault="00FB6AD0" w:rsidP="00F019F1">
      <w:pPr>
        <w:spacing w:line="240" w:lineRule="auto"/>
        <w:ind w:left="709" w:hanging="709"/>
        <w:rPr>
          <w:rFonts w:eastAsiaTheme="minorEastAsia"/>
        </w:rPr>
      </w:pPr>
      <w:r>
        <w:rPr>
          <w:rFonts w:eastAsiaTheme="minorEastAsia"/>
        </w:rPr>
        <w:t>2</w:t>
      </w:r>
      <w:r w:rsidRPr="00F019F1">
        <w:rPr>
          <w:rFonts w:eastAsiaTheme="minorEastAsia"/>
        </w:rPr>
        <w:t>.</w:t>
      </w:r>
      <w:r w:rsidRPr="00F019F1">
        <w:rPr>
          <w:rFonts w:eastAsiaTheme="minorEastAsia"/>
        </w:rPr>
        <w:tab/>
        <w:t>Department of Health: Pharmaceutical Benefits Advisory Committee. Guidelines for preparing a submission to the Pharmaceutical Benefits Advisory Committee. Version 5. Canberra: Department of Health</w:t>
      </w:r>
      <w:r>
        <w:rPr>
          <w:rFonts w:eastAsiaTheme="minorEastAsia"/>
        </w:rPr>
        <w:t>; 2016</w:t>
      </w:r>
      <w:r w:rsidRPr="00F019F1">
        <w:rPr>
          <w:rFonts w:eastAsiaTheme="minorEastAsia"/>
        </w:rPr>
        <w:t>.</w:t>
      </w:r>
      <w:r>
        <w:rPr>
          <w:rFonts w:eastAsiaTheme="minorEastAsia"/>
        </w:rPr>
        <w:t xml:space="preserve"> </w:t>
      </w:r>
      <w:r w:rsidRPr="00F019F1">
        <w:rPr>
          <w:rFonts w:eastAsiaTheme="minorEastAsia"/>
        </w:rPr>
        <w:t>https://pbac.pbs.gov.au/content/information/files/pbac-guidelines-version-5.pdf</w:t>
      </w:r>
      <w:r>
        <w:rPr>
          <w:rFonts w:eastAsiaTheme="minorEastAsia"/>
        </w:rPr>
        <w:t xml:space="preserve"> [Accessed </w:t>
      </w:r>
      <w:r>
        <w:rPr>
          <w:rFonts w:eastAsiaTheme="minorEastAsia"/>
        </w:rPr>
        <w:fldChar w:fldCharType="begin"/>
      </w:r>
      <w:r>
        <w:rPr>
          <w:rFonts w:eastAsiaTheme="minorEastAsia"/>
        </w:rPr>
        <w:instrText xml:space="preserve"> TIME \@ "dd MMMM yyyy" </w:instrText>
      </w:r>
      <w:r>
        <w:rPr>
          <w:rFonts w:eastAsiaTheme="minorEastAsia"/>
        </w:rPr>
        <w:fldChar w:fldCharType="separate"/>
      </w:r>
      <w:r>
        <w:rPr>
          <w:rFonts w:eastAsiaTheme="minorEastAsia"/>
          <w:noProof/>
        </w:rPr>
        <w:t>26 May 2023</w:t>
      </w:r>
      <w:r>
        <w:rPr>
          <w:rFonts w:eastAsiaTheme="minorEastAsia"/>
        </w:rPr>
        <w:fldChar w:fldCharType="end"/>
      </w:r>
      <w:r>
        <w:rPr>
          <w:rFonts w:eastAsiaTheme="minorEastAsia"/>
        </w:rPr>
        <w:t>].</w:t>
      </w:r>
    </w:p>
    <w:p w14:paraId="64644A96" w14:textId="77777777" w:rsidR="00FB6AD0" w:rsidRPr="00384E9D" w:rsidRDefault="00FB6AD0" w:rsidP="00F019F1">
      <w:pPr>
        <w:spacing w:line="240" w:lineRule="auto"/>
        <w:ind w:left="709" w:hanging="709"/>
        <w:rPr>
          <w:rFonts w:eastAsiaTheme="minorEastAsia"/>
        </w:rPr>
      </w:pPr>
      <w:r>
        <w:rPr>
          <w:rFonts w:eastAsiaTheme="minorEastAsia"/>
        </w:rPr>
        <w:t>3</w:t>
      </w:r>
      <w:r w:rsidRPr="00F019F1">
        <w:rPr>
          <w:rFonts w:eastAsiaTheme="minorEastAsia"/>
        </w:rPr>
        <w:t>.</w:t>
      </w:r>
      <w:r w:rsidRPr="00F019F1">
        <w:rPr>
          <w:rFonts w:eastAsiaTheme="minorEastAsia"/>
        </w:rPr>
        <w:tab/>
        <w:t xml:space="preserve">Drummond M, </w:t>
      </w:r>
      <w:proofErr w:type="spellStart"/>
      <w:r w:rsidRPr="00F019F1">
        <w:rPr>
          <w:rFonts w:eastAsiaTheme="minorEastAsia"/>
        </w:rPr>
        <w:t>Sculpher</w:t>
      </w:r>
      <w:proofErr w:type="spellEnd"/>
      <w:r w:rsidRPr="00F019F1">
        <w:rPr>
          <w:rFonts w:eastAsiaTheme="minorEastAsia"/>
        </w:rPr>
        <w:t xml:space="preserve"> M, O’Brien B, Stoddart G, Torrance G. Methods for the economic evaluation of health care programmes. Oxford: Oxford University Press; 2005.</w:t>
      </w:r>
    </w:p>
    <w:p w14:paraId="768E4191" w14:textId="77777777" w:rsidR="00FB6AD0" w:rsidRDefault="00FB6AD0" w:rsidP="006B1001">
      <w:pPr>
        <w:spacing w:line="240" w:lineRule="auto"/>
        <w:ind w:left="709" w:hanging="709"/>
        <w:rPr>
          <w:rFonts w:eastAsiaTheme="minorEastAsia"/>
        </w:rPr>
      </w:pPr>
      <w:r>
        <w:rPr>
          <w:rFonts w:eastAsiaTheme="minorEastAsia"/>
        </w:rPr>
        <w:t>4</w:t>
      </w:r>
      <w:r w:rsidRPr="00F019F1">
        <w:rPr>
          <w:rFonts w:eastAsiaTheme="minorEastAsia"/>
        </w:rPr>
        <w:t>.</w:t>
      </w:r>
      <w:r w:rsidRPr="00F019F1">
        <w:rPr>
          <w:rFonts w:eastAsiaTheme="minorEastAsia"/>
        </w:rPr>
        <w:tab/>
      </w:r>
      <w:r w:rsidRPr="006B1001">
        <w:rPr>
          <w:rFonts w:eastAsiaTheme="minorEastAsia"/>
        </w:rPr>
        <w:t>van Reenen M, Janssen</w:t>
      </w:r>
      <w:r w:rsidRPr="00F019F1">
        <w:rPr>
          <w:rFonts w:eastAsiaTheme="minorEastAsia"/>
        </w:rPr>
        <w:t xml:space="preserve"> </w:t>
      </w:r>
      <w:r>
        <w:rPr>
          <w:rFonts w:eastAsiaTheme="minorEastAsia"/>
        </w:rPr>
        <w:t>B</w:t>
      </w:r>
      <w:r w:rsidRPr="00F019F1">
        <w:rPr>
          <w:rFonts w:eastAsiaTheme="minorEastAsia"/>
        </w:rPr>
        <w:t xml:space="preserve">. EQ-5D user guide. </w:t>
      </w:r>
      <w:r w:rsidRPr="006B1001">
        <w:rPr>
          <w:rFonts w:eastAsiaTheme="minorEastAsia"/>
        </w:rPr>
        <w:t>Basic information on how to use the EQ-5D-5L instrument</w:t>
      </w:r>
      <w:r>
        <w:rPr>
          <w:rFonts w:eastAsiaTheme="minorEastAsia"/>
        </w:rPr>
        <w:t xml:space="preserve">. </w:t>
      </w:r>
      <w:r w:rsidRPr="00F019F1">
        <w:rPr>
          <w:rFonts w:eastAsiaTheme="minorEastAsia"/>
        </w:rPr>
        <w:t>Version 2.</w:t>
      </w:r>
      <w:r>
        <w:rPr>
          <w:rFonts w:eastAsiaTheme="minorEastAsia"/>
        </w:rPr>
        <w:t>1</w:t>
      </w:r>
      <w:r w:rsidRPr="00F019F1">
        <w:rPr>
          <w:rFonts w:eastAsiaTheme="minorEastAsia"/>
          <w:bdr w:val="none" w:sz="0" w:space="0" w:color="auto" w:frame="1"/>
        </w:rPr>
        <w:t xml:space="preserve">. </w:t>
      </w:r>
      <w:r w:rsidRPr="00F019F1">
        <w:rPr>
          <w:rFonts w:eastAsiaTheme="minorEastAsia"/>
        </w:rPr>
        <w:t xml:space="preserve">Rotterdam: </w:t>
      </w:r>
      <w:proofErr w:type="spellStart"/>
      <w:r w:rsidRPr="00F019F1">
        <w:rPr>
          <w:rFonts w:eastAsiaTheme="minorEastAsia"/>
        </w:rPr>
        <w:t>EuroQoL</w:t>
      </w:r>
      <w:proofErr w:type="spellEnd"/>
      <w:r w:rsidRPr="00F019F1">
        <w:rPr>
          <w:rFonts w:eastAsiaTheme="minorEastAsia"/>
        </w:rPr>
        <w:t xml:space="preserve"> Group; 2009.</w:t>
      </w:r>
      <w:r>
        <w:rPr>
          <w:rFonts w:eastAsiaTheme="minorEastAsia"/>
        </w:rPr>
        <w:t xml:space="preserve"> </w:t>
      </w:r>
      <w:hyperlink r:id="rId12" w:history="1">
        <w:r w:rsidRPr="00C829CC">
          <w:rPr>
            <w:rStyle w:val="Hyperlink"/>
            <w:rFonts w:eastAsiaTheme="minorEastAsia"/>
          </w:rPr>
          <w:t>https://apersu.ca/wp-content/uploads/2020/10/EQ-5D-5L_User-Guide.pdf</w:t>
        </w:r>
      </w:hyperlink>
      <w:r>
        <w:rPr>
          <w:rFonts w:eastAsiaTheme="minorEastAsia"/>
        </w:rPr>
        <w:t xml:space="preserve"> [Accessed </w:t>
      </w:r>
      <w:r>
        <w:rPr>
          <w:rFonts w:eastAsiaTheme="minorEastAsia"/>
        </w:rPr>
        <w:fldChar w:fldCharType="begin"/>
      </w:r>
      <w:r>
        <w:rPr>
          <w:rFonts w:eastAsiaTheme="minorEastAsia"/>
        </w:rPr>
        <w:instrText xml:space="preserve"> TIME \@ "dd MMMM yyyy" </w:instrText>
      </w:r>
      <w:r>
        <w:rPr>
          <w:rFonts w:eastAsiaTheme="minorEastAsia"/>
        </w:rPr>
        <w:fldChar w:fldCharType="separate"/>
      </w:r>
      <w:r>
        <w:rPr>
          <w:rFonts w:eastAsiaTheme="minorEastAsia"/>
          <w:noProof/>
        </w:rPr>
        <w:t>26 May 2023</w:t>
      </w:r>
      <w:r>
        <w:rPr>
          <w:rFonts w:eastAsiaTheme="minorEastAsia"/>
        </w:rPr>
        <w:fldChar w:fldCharType="end"/>
      </w:r>
      <w:r>
        <w:rPr>
          <w:rFonts w:eastAsiaTheme="minorEastAsia"/>
        </w:rPr>
        <w:t>].</w:t>
      </w:r>
    </w:p>
    <w:p w14:paraId="4A765927" w14:textId="77777777" w:rsidR="00FB6AD0" w:rsidRPr="00384E9D" w:rsidRDefault="00FB6AD0" w:rsidP="00F019F1">
      <w:pPr>
        <w:spacing w:line="240" w:lineRule="auto"/>
        <w:ind w:left="709" w:hanging="709"/>
        <w:rPr>
          <w:rFonts w:eastAsiaTheme="minorEastAsia"/>
        </w:rPr>
      </w:pPr>
      <w:r>
        <w:rPr>
          <w:rFonts w:eastAsiaTheme="minorEastAsia"/>
        </w:rPr>
        <w:t>5</w:t>
      </w:r>
      <w:r w:rsidRPr="00F019F1">
        <w:rPr>
          <w:rFonts w:eastAsiaTheme="minorEastAsia"/>
        </w:rPr>
        <w:t>.</w:t>
      </w:r>
      <w:r w:rsidRPr="00F019F1">
        <w:rPr>
          <w:rFonts w:eastAsiaTheme="minorEastAsia"/>
        </w:rPr>
        <w:tab/>
      </w:r>
      <w:proofErr w:type="spellStart"/>
      <w:r w:rsidRPr="00F019F1">
        <w:rPr>
          <w:rFonts w:eastAsiaTheme="minorEastAsia"/>
        </w:rPr>
        <w:t>Golicki</w:t>
      </w:r>
      <w:proofErr w:type="spellEnd"/>
      <w:r w:rsidRPr="00F019F1">
        <w:rPr>
          <w:rFonts w:eastAsiaTheme="minorEastAsia"/>
        </w:rPr>
        <w:t xml:space="preserve"> D, </w:t>
      </w:r>
      <w:proofErr w:type="spellStart"/>
      <w:r w:rsidRPr="00F019F1">
        <w:rPr>
          <w:rFonts w:eastAsiaTheme="minorEastAsia"/>
        </w:rPr>
        <w:t>Niewada</w:t>
      </w:r>
      <w:proofErr w:type="spellEnd"/>
      <w:r w:rsidRPr="00F019F1">
        <w:rPr>
          <w:rFonts w:eastAsiaTheme="minorEastAsia"/>
        </w:rPr>
        <w:t xml:space="preserve"> M, </w:t>
      </w:r>
      <w:proofErr w:type="spellStart"/>
      <w:r w:rsidRPr="00F019F1">
        <w:rPr>
          <w:rFonts w:eastAsiaTheme="minorEastAsia"/>
        </w:rPr>
        <w:t>Karlińska</w:t>
      </w:r>
      <w:proofErr w:type="spellEnd"/>
      <w:r w:rsidRPr="00F019F1">
        <w:rPr>
          <w:rFonts w:eastAsiaTheme="minorEastAsia"/>
        </w:rPr>
        <w:t xml:space="preserve"> A, </w:t>
      </w:r>
      <w:proofErr w:type="spellStart"/>
      <w:r w:rsidRPr="00F019F1">
        <w:rPr>
          <w:rFonts w:eastAsiaTheme="minorEastAsia"/>
        </w:rPr>
        <w:t>Buczek</w:t>
      </w:r>
      <w:proofErr w:type="spellEnd"/>
      <w:r w:rsidRPr="00F019F1">
        <w:rPr>
          <w:rFonts w:eastAsiaTheme="minorEastAsia"/>
        </w:rPr>
        <w:t xml:space="preserve"> J, Kobayashi A, Janssen MF, Pickard AS. Comparing responsiveness of the EQ-5D-5L, EQ-5D-3L and EQ VAS in stroke patients. Qual Life Res. 2015;24(6):1555–1563. </w:t>
      </w:r>
      <w:hyperlink r:id="rId13" w:tgtFrame="_blank" w:history="1">
        <w:r w:rsidRPr="00F019F1">
          <w:rPr>
            <w:rFonts w:eastAsiaTheme="minorEastAsia"/>
            <w:color w:val="0000FF"/>
            <w:u w:val="single"/>
          </w:rPr>
          <w:t>10.1007/s11136-014-0873-7</w:t>
        </w:r>
      </w:hyperlink>
      <w:r w:rsidRPr="00F019F1">
        <w:rPr>
          <w:rFonts w:eastAsiaTheme="minorEastAsia"/>
        </w:rPr>
        <w:t>.</w:t>
      </w:r>
    </w:p>
    <w:p w14:paraId="39470236" w14:textId="77777777" w:rsidR="00FB6AD0" w:rsidRPr="00384E9D" w:rsidRDefault="00FB6AD0" w:rsidP="00F019F1">
      <w:pPr>
        <w:spacing w:line="240" w:lineRule="auto"/>
        <w:ind w:left="709" w:hanging="709"/>
        <w:rPr>
          <w:rFonts w:eastAsiaTheme="minorEastAsia"/>
        </w:rPr>
      </w:pPr>
      <w:r>
        <w:rPr>
          <w:rFonts w:eastAsiaTheme="minorEastAsia"/>
        </w:rPr>
        <w:t>6</w:t>
      </w:r>
      <w:r w:rsidRPr="00F019F1">
        <w:rPr>
          <w:rFonts w:eastAsiaTheme="minorEastAsia"/>
        </w:rPr>
        <w:t>.</w:t>
      </w:r>
      <w:r w:rsidRPr="00F019F1">
        <w:rPr>
          <w:rFonts w:eastAsiaTheme="minorEastAsia"/>
        </w:rPr>
        <w:tab/>
        <w:t xml:space="preserve">Lu WS, Huang SL, Yang JF, Chen MH, Hsieh CL, Chou CY. Convergent validity and responsiveness of the EQ-5D utility weights for stroke survivors. J </w:t>
      </w:r>
      <w:proofErr w:type="spellStart"/>
      <w:r w:rsidRPr="00F019F1">
        <w:rPr>
          <w:rFonts w:eastAsiaTheme="minorEastAsia"/>
        </w:rPr>
        <w:t>Rehabil</w:t>
      </w:r>
      <w:proofErr w:type="spellEnd"/>
      <w:r w:rsidRPr="00F019F1">
        <w:rPr>
          <w:rFonts w:eastAsiaTheme="minorEastAsia"/>
        </w:rPr>
        <w:t xml:space="preserve"> Med. 2016;48(4):346–351. </w:t>
      </w:r>
      <w:hyperlink r:id="rId14" w:tgtFrame="_blank" w:history="1">
        <w:r w:rsidRPr="00F019F1">
          <w:rPr>
            <w:rFonts w:eastAsiaTheme="minorEastAsia"/>
            <w:color w:val="0000FF"/>
            <w:u w:val="single"/>
          </w:rPr>
          <w:t>10.2340/16501977-2069</w:t>
        </w:r>
      </w:hyperlink>
      <w:r w:rsidRPr="00F019F1">
        <w:rPr>
          <w:rFonts w:eastAsiaTheme="minorEastAsia"/>
        </w:rPr>
        <w:t>.</w:t>
      </w:r>
    </w:p>
    <w:p w14:paraId="742CB1AC" w14:textId="77777777" w:rsidR="00FB6AD0" w:rsidRPr="00384E9D" w:rsidRDefault="00FB6AD0" w:rsidP="00F019F1">
      <w:pPr>
        <w:spacing w:line="240" w:lineRule="auto"/>
        <w:ind w:left="709" w:hanging="709"/>
        <w:rPr>
          <w:rFonts w:eastAsiaTheme="minorEastAsia"/>
        </w:rPr>
      </w:pPr>
      <w:r>
        <w:rPr>
          <w:rFonts w:eastAsiaTheme="minorEastAsia"/>
        </w:rPr>
        <w:t>7</w:t>
      </w:r>
      <w:r w:rsidRPr="00F019F1">
        <w:rPr>
          <w:rFonts w:eastAsiaTheme="minorEastAsia"/>
        </w:rPr>
        <w:t>.</w:t>
      </w:r>
      <w:r w:rsidRPr="00F019F1">
        <w:rPr>
          <w:rFonts w:eastAsiaTheme="minorEastAsia"/>
        </w:rPr>
        <w:tab/>
        <w:t xml:space="preserve">Nolan CM, Longworth L, Lord J, Canavan JL, Jones SE, Kon SS, Man WD. The EQ-5D-5L health status questionnaire in COPD: validity, </w:t>
      </w:r>
      <w:proofErr w:type="gramStart"/>
      <w:r w:rsidRPr="00F019F1">
        <w:rPr>
          <w:rFonts w:eastAsiaTheme="minorEastAsia"/>
        </w:rPr>
        <w:t>responsiveness</w:t>
      </w:r>
      <w:proofErr w:type="gramEnd"/>
      <w:r w:rsidRPr="00F019F1">
        <w:rPr>
          <w:rFonts w:eastAsiaTheme="minorEastAsia"/>
        </w:rPr>
        <w:t xml:space="preserve"> and minimum important difference. Thorax. 2016;71(6):493–500. </w:t>
      </w:r>
      <w:hyperlink r:id="rId15" w:tgtFrame="_blank" w:history="1">
        <w:r w:rsidRPr="00F019F1">
          <w:rPr>
            <w:rFonts w:eastAsiaTheme="minorEastAsia"/>
            <w:color w:val="0000FF"/>
            <w:u w:val="single"/>
          </w:rPr>
          <w:t>10.1136/thoraxjnl-2015-207782</w:t>
        </w:r>
      </w:hyperlink>
      <w:r w:rsidRPr="00F019F1">
        <w:rPr>
          <w:rFonts w:eastAsiaTheme="minorEastAsia"/>
        </w:rPr>
        <w:t>.</w:t>
      </w:r>
    </w:p>
    <w:p w14:paraId="71A90E70" w14:textId="77777777" w:rsidR="00FB6AD0" w:rsidRPr="00384E9D" w:rsidRDefault="00FB6AD0" w:rsidP="00F019F1">
      <w:pPr>
        <w:spacing w:line="240" w:lineRule="auto"/>
        <w:ind w:left="709" w:hanging="709"/>
        <w:rPr>
          <w:rFonts w:eastAsiaTheme="minorEastAsia"/>
        </w:rPr>
      </w:pPr>
      <w:r>
        <w:rPr>
          <w:rFonts w:eastAsiaTheme="minorEastAsia"/>
        </w:rPr>
        <w:t>8</w:t>
      </w:r>
      <w:r w:rsidRPr="00F019F1">
        <w:rPr>
          <w:rFonts w:eastAsiaTheme="minorEastAsia"/>
        </w:rPr>
        <w:t>.</w:t>
      </w:r>
      <w:r w:rsidRPr="00F019F1">
        <w:rPr>
          <w:rFonts w:eastAsiaTheme="minorEastAsia"/>
        </w:rPr>
        <w:tab/>
        <w:t xml:space="preserve">Norman R, Cronin P, Viney R. A pilot discrete choice experiment to explore preferences for EQ-5D-5L health states. Appl Health Econ Health Policy. 2013;11(3):287–298. </w:t>
      </w:r>
      <w:hyperlink r:id="rId16" w:tgtFrame="_blank" w:history="1">
        <w:r w:rsidRPr="00F019F1">
          <w:rPr>
            <w:rFonts w:eastAsiaTheme="minorEastAsia"/>
            <w:color w:val="0000FF"/>
            <w:u w:val="single"/>
          </w:rPr>
          <w:t>10.1007/s40258-013-0035-z</w:t>
        </w:r>
      </w:hyperlink>
      <w:r w:rsidRPr="00F019F1">
        <w:rPr>
          <w:rFonts w:eastAsiaTheme="minorEastAsia"/>
        </w:rPr>
        <w:t>.</w:t>
      </w:r>
    </w:p>
    <w:p w14:paraId="7D9BE1BC" w14:textId="77777777" w:rsidR="00FB6AD0" w:rsidRPr="00384E9D" w:rsidRDefault="00FB6AD0" w:rsidP="00F019F1">
      <w:pPr>
        <w:spacing w:line="240" w:lineRule="auto"/>
        <w:ind w:left="709" w:hanging="709"/>
        <w:rPr>
          <w:rFonts w:eastAsiaTheme="minorEastAsia"/>
        </w:rPr>
      </w:pPr>
      <w:r>
        <w:rPr>
          <w:rFonts w:eastAsiaTheme="minorEastAsia"/>
        </w:rPr>
        <w:t>9</w:t>
      </w:r>
      <w:r w:rsidRPr="00F019F1">
        <w:rPr>
          <w:rFonts w:eastAsiaTheme="minorEastAsia"/>
        </w:rPr>
        <w:t>.</w:t>
      </w:r>
      <w:r w:rsidRPr="00F019F1">
        <w:rPr>
          <w:rFonts w:eastAsiaTheme="minorEastAsia"/>
        </w:rPr>
        <w:tab/>
        <w:t xml:space="preserve">Kind P, Hardman G, </w:t>
      </w:r>
      <w:proofErr w:type="spellStart"/>
      <w:r w:rsidRPr="00F019F1">
        <w:rPr>
          <w:rFonts w:eastAsiaTheme="minorEastAsia"/>
        </w:rPr>
        <w:t>Macran</w:t>
      </w:r>
      <w:proofErr w:type="spellEnd"/>
      <w:r w:rsidRPr="00F019F1">
        <w:rPr>
          <w:rFonts w:eastAsiaTheme="minorEastAsia"/>
        </w:rPr>
        <w:t xml:space="preserve"> S. UK population norms for EQ-5D: discussion paper 172. </w:t>
      </w:r>
      <w:proofErr w:type="spellStart"/>
      <w:r w:rsidRPr="00F019F1">
        <w:rPr>
          <w:rFonts w:eastAsiaTheme="minorEastAsia"/>
        </w:rPr>
        <w:t>Center</w:t>
      </w:r>
      <w:proofErr w:type="spellEnd"/>
      <w:r w:rsidRPr="00F019F1">
        <w:rPr>
          <w:rFonts w:eastAsiaTheme="minorEastAsia"/>
        </w:rPr>
        <w:t xml:space="preserve"> for Health Economics Discussion Paper Series. York: University of York</w:t>
      </w:r>
      <w:r>
        <w:rPr>
          <w:rFonts w:eastAsiaTheme="minorEastAsia"/>
        </w:rPr>
        <w:t>,</w:t>
      </w:r>
      <w:r w:rsidRPr="00F019F1">
        <w:rPr>
          <w:rFonts w:eastAsiaTheme="minorEastAsia"/>
        </w:rPr>
        <w:t xml:space="preserve"> Centre for Health Economics; 1999.</w:t>
      </w:r>
      <w:r>
        <w:rPr>
          <w:rFonts w:eastAsiaTheme="minorEastAsia"/>
        </w:rPr>
        <w:t xml:space="preserve"> </w:t>
      </w:r>
      <w:hyperlink r:id="rId17" w:history="1">
        <w:r w:rsidRPr="00C829CC">
          <w:rPr>
            <w:rStyle w:val="Hyperlink"/>
            <w:rFonts w:eastAsiaTheme="minorEastAsia"/>
          </w:rPr>
          <w:t>https://www.york.ac.uk/che/pdf/DP172.pdf</w:t>
        </w:r>
      </w:hyperlink>
      <w:r>
        <w:rPr>
          <w:rFonts w:eastAsiaTheme="minorEastAsia"/>
        </w:rPr>
        <w:t xml:space="preserve"> [Accessed </w:t>
      </w:r>
      <w:r>
        <w:rPr>
          <w:rFonts w:eastAsiaTheme="minorEastAsia"/>
        </w:rPr>
        <w:fldChar w:fldCharType="begin"/>
      </w:r>
      <w:r>
        <w:rPr>
          <w:rFonts w:eastAsiaTheme="minorEastAsia"/>
        </w:rPr>
        <w:instrText xml:space="preserve"> TIME \@ "dd MMMM yyyy" </w:instrText>
      </w:r>
      <w:r>
        <w:rPr>
          <w:rFonts w:eastAsiaTheme="minorEastAsia"/>
        </w:rPr>
        <w:fldChar w:fldCharType="separate"/>
      </w:r>
      <w:r>
        <w:rPr>
          <w:rFonts w:eastAsiaTheme="minorEastAsia"/>
          <w:noProof/>
        </w:rPr>
        <w:t>26 May 2023</w:t>
      </w:r>
      <w:r>
        <w:rPr>
          <w:rFonts w:eastAsiaTheme="minorEastAsia"/>
        </w:rPr>
        <w:fldChar w:fldCharType="end"/>
      </w:r>
      <w:r>
        <w:rPr>
          <w:rFonts w:eastAsiaTheme="minorEastAsia"/>
        </w:rPr>
        <w:t>].</w:t>
      </w:r>
    </w:p>
    <w:p w14:paraId="602FDDA9" w14:textId="77777777" w:rsidR="00FB6AD0" w:rsidRPr="00384E9D" w:rsidRDefault="00FB6AD0" w:rsidP="00F019F1">
      <w:pPr>
        <w:spacing w:line="240" w:lineRule="auto"/>
        <w:ind w:left="709" w:hanging="709"/>
        <w:rPr>
          <w:rFonts w:eastAsiaTheme="minorEastAsia"/>
        </w:rPr>
      </w:pPr>
      <w:r w:rsidRPr="00F019F1">
        <w:rPr>
          <w:rFonts w:eastAsiaTheme="minorEastAsia"/>
        </w:rPr>
        <w:t>1</w:t>
      </w:r>
      <w:r>
        <w:rPr>
          <w:rFonts w:eastAsiaTheme="minorEastAsia"/>
        </w:rPr>
        <w:t>0</w:t>
      </w:r>
      <w:r w:rsidRPr="00F019F1">
        <w:rPr>
          <w:rFonts w:eastAsiaTheme="minorEastAsia"/>
        </w:rPr>
        <w:t>.</w:t>
      </w:r>
      <w:r w:rsidRPr="00F019F1">
        <w:rPr>
          <w:rFonts w:eastAsiaTheme="minorEastAsia"/>
        </w:rPr>
        <w:tab/>
        <w:t xml:space="preserve">West B, </w:t>
      </w:r>
      <w:r w:rsidRPr="00F019F1">
        <w:rPr>
          <w:rFonts w:eastAsiaTheme="minorEastAsia"/>
          <w:bdr w:val="none" w:sz="0" w:space="0" w:color="auto" w:frame="1"/>
        </w:rPr>
        <w:t>T</w:t>
      </w:r>
      <w:r w:rsidRPr="00F019F1">
        <w:rPr>
          <w:rFonts w:eastAsiaTheme="minorEastAsia"/>
        </w:rPr>
        <w:t xml:space="preserve">, Welsch KN, </w:t>
      </w:r>
      <w:proofErr w:type="spellStart"/>
      <w:r w:rsidRPr="00F019F1">
        <w:rPr>
          <w:rFonts w:eastAsiaTheme="minorEastAsia"/>
        </w:rPr>
        <w:t>Galecki</w:t>
      </w:r>
      <w:proofErr w:type="spellEnd"/>
      <w:r w:rsidRPr="00F019F1">
        <w:rPr>
          <w:rFonts w:eastAsiaTheme="minorEastAsia"/>
        </w:rPr>
        <w:t xml:space="preserve"> AT. Linear mixed models: a practical guide using statistical software. Boca Raton: CRC Press; 2015.</w:t>
      </w:r>
    </w:p>
    <w:p w14:paraId="275779AF" w14:textId="77777777" w:rsidR="00FB6AD0" w:rsidRPr="00384E9D" w:rsidRDefault="00FB6AD0" w:rsidP="00F019F1">
      <w:pPr>
        <w:spacing w:line="240" w:lineRule="auto"/>
        <w:ind w:left="709" w:hanging="709"/>
        <w:rPr>
          <w:rFonts w:eastAsiaTheme="minorEastAsia"/>
        </w:rPr>
      </w:pPr>
      <w:r w:rsidRPr="00F019F1">
        <w:rPr>
          <w:rFonts w:eastAsiaTheme="minorEastAsia"/>
        </w:rPr>
        <w:t>1</w:t>
      </w:r>
      <w:r>
        <w:rPr>
          <w:rFonts w:eastAsiaTheme="minorEastAsia"/>
        </w:rPr>
        <w:t>1</w:t>
      </w:r>
      <w:r w:rsidRPr="00F019F1">
        <w:rPr>
          <w:rFonts w:eastAsiaTheme="minorEastAsia"/>
        </w:rPr>
        <w:t>.</w:t>
      </w:r>
      <w:r w:rsidRPr="00F019F1">
        <w:rPr>
          <w:rFonts w:eastAsiaTheme="minorEastAsia"/>
        </w:rPr>
        <w:tab/>
      </w:r>
      <w:proofErr w:type="spellStart"/>
      <w:r w:rsidRPr="00F019F1">
        <w:rPr>
          <w:rFonts w:eastAsiaTheme="minorEastAsia"/>
        </w:rPr>
        <w:t>Manca</w:t>
      </w:r>
      <w:proofErr w:type="spellEnd"/>
      <w:r w:rsidRPr="00F019F1">
        <w:rPr>
          <w:rFonts w:eastAsiaTheme="minorEastAsia"/>
        </w:rPr>
        <w:t xml:space="preserve"> A, Hawkins N, </w:t>
      </w:r>
      <w:proofErr w:type="spellStart"/>
      <w:r w:rsidRPr="00F019F1">
        <w:rPr>
          <w:rFonts w:eastAsiaTheme="minorEastAsia"/>
        </w:rPr>
        <w:t>Sculpher</w:t>
      </w:r>
      <w:proofErr w:type="spellEnd"/>
      <w:r w:rsidRPr="00F019F1">
        <w:rPr>
          <w:rFonts w:eastAsiaTheme="minorEastAsia"/>
        </w:rPr>
        <w:t xml:space="preserve"> MJ. Estimating mean QALYs in trial-based cost-effectiveness analysis: the importance of controlling for baseline utility. Health Econ. 2005;14(5):487–496. </w:t>
      </w:r>
      <w:hyperlink r:id="rId18" w:tgtFrame="_blank" w:history="1">
        <w:r w:rsidRPr="00F019F1">
          <w:rPr>
            <w:rFonts w:eastAsiaTheme="minorEastAsia"/>
            <w:color w:val="0000FF"/>
            <w:u w:val="single"/>
          </w:rPr>
          <w:t>10.1002/hec.944</w:t>
        </w:r>
      </w:hyperlink>
      <w:r w:rsidRPr="00F019F1">
        <w:rPr>
          <w:rFonts w:eastAsiaTheme="minorEastAsia"/>
        </w:rPr>
        <w:t>.</w:t>
      </w:r>
    </w:p>
    <w:p w14:paraId="61E3E785" w14:textId="77777777" w:rsidR="00FB6AD0" w:rsidRPr="00384E9D" w:rsidRDefault="00FB6AD0" w:rsidP="00F019F1">
      <w:pPr>
        <w:spacing w:line="240" w:lineRule="auto"/>
        <w:ind w:left="709" w:hanging="709"/>
        <w:rPr>
          <w:rFonts w:eastAsiaTheme="minorEastAsia"/>
        </w:rPr>
      </w:pPr>
      <w:r w:rsidRPr="00F019F1">
        <w:rPr>
          <w:rFonts w:eastAsiaTheme="minorEastAsia"/>
        </w:rPr>
        <w:t>1</w:t>
      </w:r>
      <w:r>
        <w:rPr>
          <w:rFonts w:eastAsiaTheme="minorEastAsia"/>
        </w:rPr>
        <w:t>2</w:t>
      </w:r>
      <w:r w:rsidRPr="00F019F1">
        <w:rPr>
          <w:rFonts w:eastAsiaTheme="minorEastAsia"/>
        </w:rPr>
        <w:t>.</w:t>
      </w:r>
      <w:r w:rsidRPr="00F019F1">
        <w:rPr>
          <w:rFonts w:eastAsiaTheme="minorEastAsia"/>
        </w:rPr>
        <w:tab/>
        <w:t xml:space="preserve">Barber JA, Thompson SG. Analysis of cost data in randomized trials: an application of the non-parametric bootstrap. Stat Med. 2000;19(23):3219-36. </w:t>
      </w:r>
      <w:hyperlink r:id="rId19" w:tgtFrame="_blank" w:history="1">
        <w:r w:rsidRPr="00F019F1">
          <w:rPr>
            <w:rFonts w:eastAsiaTheme="minorEastAsia"/>
            <w:color w:val="0000FF"/>
            <w:u w:val="single"/>
          </w:rPr>
          <w:t>10.1002/1097-0258(20001215)19:23&lt;</w:t>
        </w:r>
        <w:proofErr w:type="gramStart"/>
        <w:r w:rsidRPr="00F019F1">
          <w:rPr>
            <w:rFonts w:eastAsiaTheme="minorEastAsia"/>
            <w:color w:val="0000FF"/>
            <w:u w:val="single"/>
          </w:rPr>
          <w:t>3219::</w:t>
        </w:r>
        <w:proofErr w:type="gramEnd"/>
        <w:r w:rsidRPr="00F019F1">
          <w:rPr>
            <w:rFonts w:eastAsiaTheme="minorEastAsia"/>
            <w:color w:val="0000FF"/>
            <w:u w:val="single"/>
          </w:rPr>
          <w:t>aid-sim623&gt;3.0.co;2-p</w:t>
        </w:r>
      </w:hyperlink>
      <w:r w:rsidRPr="00F019F1">
        <w:rPr>
          <w:rFonts w:eastAsiaTheme="minorEastAsia"/>
        </w:rPr>
        <w:t>.</w:t>
      </w:r>
    </w:p>
    <w:p w14:paraId="7F35B4F3" w14:textId="77777777" w:rsidR="00FB6AD0" w:rsidRPr="00384E9D" w:rsidRDefault="00FB6AD0" w:rsidP="00F019F1">
      <w:pPr>
        <w:spacing w:line="240" w:lineRule="auto"/>
        <w:ind w:left="709" w:hanging="709"/>
        <w:rPr>
          <w:rFonts w:eastAsiaTheme="minorEastAsia"/>
        </w:rPr>
      </w:pPr>
      <w:r w:rsidRPr="00F019F1">
        <w:rPr>
          <w:rFonts w:eastAsiaTheme="minorEastAsia"/>
        </w:rPr>
        <w:t>1</w:t>
      </w:r>
      <w:r>
        <w:rPr>
          <w:rFonts w:eastAsiaTheme="minorEastAsia"/>
        </w:rPr>
        <w:t>3</w:t>
      </w:r>
      <w:r w:rsidRPr="00F019F1">
        <w:rPr>
          <w:rFonts w:eastAsiaTheme="minorEastAsia"/>
        </w:rPr>
        <w:t>.</w:t>
      </w:r>
      <w:r w:rsidRPr="00F019F1">
        <w:rPr>
          <w:rFonts w:eastAsiaTheme="minorEastAsia"/>
        </w:rPr>
        <w:tab/>
        <w:t xml:space="preserve">Black WC. The CE plane: a graphic representation of cost-effectiveness. Med </w:t>
      </w:r>
      <w:proofErr w:type="spellStart"/>
      <w:r w:rsidRPr="00F019F1">
        <w:rPr>
          <w:rFonts w:eastAsiaTheme="minorEastAsia"/>
        </w:rPr>
        <w:t>Decis</w:t>
      </w:r>
      <w:proofErr w:type="spellEnd"/>
      <w:r w:rsidRPr="00F019F1">
        <w:rPr>
          <w:rFonts w:eastAsiaTheme="minorEastAsia"/>
        </w:rPr>
        <w:t xml:space="preserve"> Making. 1990;10(3):212–214. </w:t>
      </w:r>
      <w:hyperlink r:id="rId20" w:tgtFrame="_blank" w:history="1">
        <w:r w:rsidRPr="00F019F1">
          <w:rPr>
            <w:rFonts w:eastAsiaTheme="minorEastAsia"/>
            <w:color w:val="0000FF"/>
            <w:u w:val="single"/>
          </w:rPr>
          <w:t>10.1177/0272989X9001000308</w:t>
        </w:r>
      </w:hyperlink>
      <w:r w:rsidRPr="00F019F1">
        <w:rPr>
          <w:rFonts w:eastAsiaTheme="minorEastAsia"/>
        </w:rPr>
        <w:t>.</w:t>
      </w:r>
    </w:p>
    <w:p w14:paraId="4A6BD419" w14:textId="77777777" w:rsidR="00FB6AD0" w:rsidRPr="00384E9D" w:rsidRDefault="00FB6AD0" w:rsidP="00F019F1">
      <w:pPr>
        <w:spacing w:line="240" w:lineRule="auto"/>
        <w:ind w:left="709" w:hanging="709"/>
        <w:rPr>
          <w:rFonts w:eastAsiaTheme="minorEastAsia"/>
        </w:rPr>
      </w:pPr>
      <w:r w:rsidRPr="00F019F1">
        <w:rPr>
          <w:rFonts w:eastAsiaTheme="minorEastAsia"/>
        </w:rPr>
        <w:lastRenderedPageBreak/>
        <w:t>1</w:t>
      </w:r>
      <w:r>
        <w:rPr>
          <w:rFonts w:eastAsiaTheme="minorEastAsia"/>
        </w:rPr>
        <w:t>4</w:t>
      </w:r>
      <w:r w:rsidRPr="00F019F1">
        <w:rPr>
          <w:rFonts w:eastAsiaTheme="minorEastAsia"/>
        </w:rPr>
        <w:t>.</w:t>
      </w:r>
      <w:r w:rsidRPr="00F019F1">
        <w:rPr>
          <w:rFonts w:eastAsiaTheme="minorEastAsia"/>
        </w:rPr>
        <w:tab/>
        <w:t xml:space="preserve">Harris AH, Hill SR, Chin G, Li JJ, </w:t>
      </w:r>
      <w:proofErr w:type="spellStart"/>
      <w:r w:rsidRPr="00F019F1">
        <w:rPr>
          <w:rFonts w:eastAsiaTheme="minorEastAsia"/>
        </w:rPr>
        <w:t>Walkom</w:t>
      </w:r>
      <w:proofErr w:type="spellEnd"/>
      <w:r w:rsidRPr="00F019F1">
        <w:rPr>
          <w:rFonts w:eastAsiaTheme="minorEastAsia"/>
        </w:rPr>
        <w:t xml:space="preserve"> E. The role of value for money in public insurance coverage decisions for drugs in Australia: a retrospective analysis 1994</w:t>
      </w:r>
      <w:r w:rsidRPr="00B10105">
        <w:rPr>
          <w:rFonts w:eastAsiaTheme="minorEastAsia"/>
        </w:rPr>
        <w:t>–</w:t>
      </w:r>
      <w:r w:rsidRPr="00F019F1">
        <w:rPr>
          <w:rFonts w:eastAsiaTheme="minorEastAsia"/>
        </w:rPr>
        <w:t xml:space="preserve">2004. Med </w:t>
      </w:r>
      <w:proofErr w:type="spellStart"/>
      <w:r w:rsidRPr="00F019F1">
        <w:rPr>
          <w:rFonts w:eastAsiaTheme="minorEastAsia"/>
        </w:rPr>
        <w:t>Decis</w:t>
      </w:r>
      <w:proofErr w:type="spellEnd"/>
      <w:r w:rsidRPr="00F019F1">
        <w:rPr>
          <w:rFonts w:eastAsiaTheme="minorEastAsia"/>
        </w:rPr>
        <w:t xml:space="preserve"> Making. 2008;28(5):713–722. </w:t>
      </w:r>
      <w:hyperlink r:id="rId21" w:tgtFrame="_blank" w:history="1">
        <w:r w:rsidRPr="00F019F1">
          <w:rPr>
            <w:rFonts w:eastAsiaTheme="minorEastAsia"/>
            <w:color w:val="0000FF"/>
            <w:u w:val="single"/>
          </w:rPr>
          <w:t>10.1177/0272989X08315247</w:t>
        </w:r>
      </w:hyperlink>
      <w:r w:rsidRPr="00F019F1">
        <w:rPr>
          <w:rFonts w:eastAsiaTheme="minorEastAsia"/>
        </w:rPr>
        <w:t>.</w:t>
      </w:r>
    </w:p>
    <w:p w14:paraId="25B4ACCF" w14:textId="77777777" w:rsidR="00FB6AD0" w:rsidRPr="00384E9D" w:rsidRDefault="00FB6AD0" w:rsidP="00F019F1">
      <w:pPr>
        <w:spacing w:line="240" w:lineRule="auto"/>
        <w:ind w:left="709" w:hanging="709"/>
        <w:rPr>
          <w:rFonts w:eastAsiaTheme="minorEastAsia"/>
        </w:rPr>
      </w:pPr>
      <w:r w:rsidRPr="00F019F1">
        <w:rPr>
          <w:rFonts w:eastAsiaTheme="minorEastAsia"/>
        </w:rPr>
        <w:t>1</w:t>
      </w:r>
      <w:r>
        <w:rPr>
          <w:rFonts w:eastAsiaTheme="minorEastAsia"/>
        </w:rPr>
        <w:t>5</w:t>
      </w:r>
      <w:r w:rsidRPr="00F019F1">
        <w:rPr>
          <w:rFonts w:eastAsiaTheme="minorEastAsia"/>
        </w:rPr>
        <w:t>.</w:t>
      </w:r>
      <w:r w:rsidRPr="00F019F1">
        <w:rPr>
          <w:rFonts w:eastAsiaTheme="minorEastAsia"/>
        </w:rPr>
        <w:tab/>
        <w:t xml:space="preserve">O’Sullivan AK, Thompson D, Drummond MF. Collection of health-economic data alongside clinical trials: is there a future for piggyback evaluations? Value Health. 2005;8(1):67–79. </w:t>
      </w:r>
      <w:hyperlink r:id="rId22" w:tgtFrame="_blank" w:history="1">
        <w:r w:rsidRPr="00F019F1">
          <w:rPr>
            <w:rFonts w:eastAsiaTheme="minorEastAsia"/>
            <w:color w:val="0000FF"/>
            <w:u w:val="single"/>
          </w:rPr>
          <w:t>10.1111/j.1524-4733.</w:t>
        </w:r>
        <w:proofErr w:type="gramStart"/>
        <w:r w:rsidRPr="00F019F1">
          <w:rPr>
            <w:rFonts w:eastAsiaTheme="minorEastAsia"/>
            <w:color w:val="0000FF"/>
            <w:u w:val="single"/>
          </w:rPr>
          <w:t>2005.03065.x</w:t>
        </w:r>
        <w:proofErr w:type="gramEnd"/>
      </w:hyperlink>
      <w:r w:rsidRPr="00F019F1">
        <w:rPr>
          <w:rFonts w:eastAsiaTheme="minorEastAsia"/>
        </w:rPr>
        <w:t>.</w:t>
      </w:r>
    </w:p>
    <w:p w14:paraId="1F563FFE" w14:textId="77777777" w:rsidR="00FB6AD0" w:rsidRPr="00384E9D" w:rsidRDefault="00FB6AD0" w:rsidP="00F019F1">
      <w:pPr>
        <w:spacing w:line="240" w:lineRule="auto"/>
        <w:ind w:left="709" w:hanging="709"/>
        <w:rPr>
          <w:rFonts w:eastAsiaTheme="minorEastAsia"/>
        </w:rPr>
      </w:pPr>
      <w:r w:rsidRPr="00F019F1">
        <w:rPr>
          <w:rFonts w:eastAsiaTheme="minorEastAsia"/>
        </w:rPr>
        <w:t>1</w:t>
      </w:r>
      <w:r>
        <w:rPr>
          <w:rFonts w:eastAsiaTheme="minorEastAsia"/>
        </w:rPr>
        <w:t>6</w:t>
      </w:r>
      <w:r w:rsidRPr="00F019F1">
        <w:rPr>
          <w:rFonts w:eastAsiaTheme="minorEastAsia"/>
        </w:rPr>
        <w:t>.</w:t>
      </w:r>
      <w:r w:rsidRPr="00F019F1">
        <w:rPr>
          <w:rFonts w:eastAsiaTheme="minorEastAsia"/>
        </w:rPr>
        <w:tab/>
      </w:r>
      <w:proofErr w:type="spellStart"/>
      <w:r w:rsidRPr="00F019F1">
        <w:rPr>
          <w:rFonts w:eastAsiaTheme="minorEastAsia"/>
        </w:rPr>
        <w:t>Petrou</w:t>
      </w:r>
      <w:proofErr w:type="spellEnd"/>
      <w:r w:rsidRPr="00F019F1">
        <w:rPr>
          <w:rFonts w:eastAsiaTheme="minorEastAsia"/>
        </w:rPr>
        <w:t xml:space="preserve"> S, Gray A. Economic evaluation alongside randomised controlled trials: design, conduct, analysis, and reporting. BMJ. 2011;</w:t>
      </w:r>
      <w:proofErr w:type="gramStart"/>
      <w:r w:rsidRPr="00F019F1">
        <w:rPr>
          <w:rFonts w:eastAsiaTheme="minorEastAsia"/>
        </w:rPr>
        <w:t>342:d</w:t>
      </w:r>
      <w:proofErr w:type="gramEnd"/>
      <w:r w:rsidRPr="00F019F1">
        <w:rPr>
          <w:rFonts w:eastAsiaTheme="minorEastAsia"/>
        </w:rPr>
        <w:t xml:space="preserve">1548. </w:t>
      </w:r>
      <w:hyperlink r:id="rId23" w:tgtFrame="_blank" w:history="1">
        <w:r w:rsidRPr="00F019F1">
          <w:rPr>
            <w:rFonts w:eastAsiaTheme="minorEastAsia"/>
            <w:color w:val="0000FF"/>
            <w:u w:val="single"/>
          </w:rPr>
          <w:t>10.1136/</w:t>
        </w:r>
        <w:proofErr w:type="gramStart"/>
        <w:r w:rsidRPr="00F019F1">
          <w:rPr>
            <w:rFonts w:eastAsiaTheme="minorEastAsia"/>
            <w:color w:val="0000FF"/>
            <w:u w:val="single"/>
          </w:rPr>
          <w:t>bmj.d</w:t>
        </w:r>
        <w:proofErr w:type="gramEnd"/>
        <w:r w:rsidRPr="00F019F1">
          <w:rPr>
            <w:rFonts w:eastAsiaTheme="minorEastAsia"/>
            <w:color w:val="0000FF"/>
            <w:u w:val="single"/>
          </w:rPr>
          <w:t>1548</w:t>
        </w:r>
      </w:hyperlink>
      <w:r w:rsidRPr="00F019F1">
        <w:rPr>
          <w:rFonts w:eastAsiaTheme="minorEastAsia"/>
        </w:rPr>
        <w:t>.</w:t>
      </w:r>
    </w:p>
    <w:p w14:paraId="4AE1AEFE" w14:textId="77777777" w:rsidR="00887B36" w:rsidRDefault="00887B36"/>
    <w:sectPr w:rsidR="00887B36" w:rsidSect="00BC70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213550"/>
      <w:docPartObj>
        <w:docPartGallery w:val="Page Numbers (Bottom of Page)"/>
        <w:docPartUnique/>
      </w:docPartObj>
    </w:sdtPr>
    <w:sdtEndPr>
      <w:rPr>
        <w:noProof/>
      </w:rPr>
    </w:sdtEndPr>
    <w:sdtContent>
      <w:p w14:paraId="6ED44D9F" w14:textId="77777777" w:rsidR="00B938FE" w:rsidRDefault="0075337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1B2BCC7" w14:textId="77777777" w:rsidR="00B938FE" w:rsidRDefault="00753379">
    <w:pPr>
      <w:pStyle w:val="Footer"/>
    </w:pPr>
  </w:p>
  <w:p w14:paraId="21010D6A" w14:textId="77777777" w:rsidR="00B938FE" w:rsidRDefault="00753379"/>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1397"/>
    <w:multiLevelType w:val="hybridMultilevel"/>
    <w:tmpl w:val="4424AE42"/>
    <w:lvl w:ilvl="0" w:tplc="4C3AD3FE">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85476C3"/>
    <w:multiLevelType w:val="hybridMultilevel"/>
    <w:tmpl w:val="6BB0BFDE"/>
    <w:lvl w:ilvl="0" w:tplc="C56C6B14">
      <w:start w:val="1"/>
      <w:numFmt w:val="lowerLetter"/>
      <w:lvlText w:val="(%1)"/>
      <w:lvlJc w:val="left"/>
      <w:pPr>
        <w:ind w:left="720" w:hanging="360"/>
      </w:pPr>
      <w:rPr>
        <w:rFonts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2EE752B"/>
    <w:multiLevelType w:val="multilevel"/>
    <w:tmpl w:val="A562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1491793">
    <w:abstractNumId w:val="0"/>
  </w:num>
  <w:num w:numId="2" w16cid:durableId="966548576">
    <w:abstractNumId w:val="2"/>
  </w:num>
  <w:num w:numId="3" w16cid:durableId="467162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B6AD0"/>
    <w:rsid w:val="00332838"/>
    <w:rsid w:val="00394FAD"/>
    <w:rsid w:val="00753379"/>
    <w:rsid w:val="00887B36"/>
    <w:rsid w:val="00F65908"/>
    <w:rsid w:val="00FB6A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64DBE"/>
  <w15:chartTrackingRefBased/>
  <w15:docId w15:val="{5932479B-C419-4D76-AB95-7016874A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AD0"/>
    <w:pPr>
      <w:spacing w:after="160" w:line="259" w:lineRule="auto"/>
    </w:pPr>
    <w:rPr>
      <w:kern w:val="0"/>
      <w14:ligatures w14:val="none"/>
    </w:rPr>
  </w:style>
  <w:style w:type="paragraph" w:styleId="Heading1">
    <w:name w:val="heading 1"/>
    <w:basedOn w:val="Normal"/>
    <w:next w:val="Normal"/>
    <w:link w:val="Heading1Char"/>
    <w:uiPriority w:val="9"/>
    <w:qFormat/>
    <w:rsid w:val="00FB6A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B6A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B6AD0"/>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rsid w:val="00FB6AD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B6AD0"/>
  </w:style>
  <w:style w:type="character" w:customStyle="1" w:styleId="Heading1Char">
    <w:name w:val="Heading 1 Char"/>
    <w:basedOn w:val="DefaultParagraphFont"/>
    <w:link w:val="Heading1"/>
    <w:uiPriority w:val="9"/>
    <w:rsid w:val="00FB6AD0"/>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semiHidden/>
    <w:rsid w:val="00FB6AD0"/>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FB6AD0"/>
    <w:rPr>
      <w:rFonts w:ascii="Times New Roman" w:eastAsia="Times New Roman" w:hAnsi="Times New Roman" w:cs="Times New Roman"/>
      <w:b/>
      <w:bCs/>
      <w:kern w:val="0"/>
      <w:sz w:val="27"/>
      <w:szCs w:val="27"/>
      <w:lang w:eastAsia="en-AU"/>
      <w14:ligatures w14:val="none"/>
    </w:rPr>
  </w:style>
  <w:style w:type="paragraph" w:styleId="ListParagraph">
    <w:name w:val="List Paragraph"/>
    <w:basedOn w:val="Normal"/>
    <w:uiPriority w:val="34"/>
    <w:qFormat/>
    <w:rsid w:val="00FB6AD0"/>
    <w:pPr>
      <w:ind w:left="720"/>
      <w:contextualSpacing/>
    </w:pPr>
  </w:style>
  <w:style w:type="paragraph" w:styleId="Header">
    <w:name w:val="header"/>
    <w:basedOn w:val="Normal"/>
    <w:link w:val="HeaderChar"/>
    <w:uiPriority w:val="99"/>
    <w:unhideWhenUsed/>
    <w:rsid w:val="00FB6A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AD0"/>
    <w:rPr>
      <w:kern w:val="0"/>
      <w14:ligatures w14:val="none"/>
    </w:rPr>
  </w:style>
  <w:style w:type="paragraph" w:styleId="Footer">
    <w:name w:val="footer"/>
    <w:basedOn w:val="Normal"/>
    <w:link w:val="FooterChar"/>
    <w:uiPriority w:val="99"/>
    <w:unhideWhenUsed/>
    <w:rsid w:val="00FB6A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AD0"/>
    <w:rPr>
      <w:kern w:val="0"/>
      <w14:ligatures w14:val="none"/>
    </w:rPr>
  </w:style>
  <w:style w:type="character" w:styleId="CommentReference">
    <w:name w:val="annotation reference"/>
    <w:basedOn w:val="DefaultParagraphFont"/>
    <w:uiPriority w:val="99"/>
    <w:semiHidden/>
    <w:unhideWhenUsed/>
    <w:rsid w:val="00FB6AD0"/>
    <w:rPr>
      <w:sz w:val="16"/>
      <w:szCs w:val="16"/>
    </w:rPr>
  </w:style>
  <w:style w:type="paragraph" w:styleId="CommentText">
    <w:name w:val="annotation text"/>
    <w:basedOn w:val="Normal"/>
    <w:link w:val="CommentTextChar"/>
    <w:uiPriority w:val="99"/>
    <w:semiHidden/>
    <w:unhideWhenUsed/>
    <w:rsid w:val="00FB6AD0"/>
    <w:pPr>
      <w:spacing w:line="240" w:lineRule="auto"/>
    </w:pPr>
    <w:rPr>
      <w:sz w:val="20"/>
      <w:szCs w:val="20"/>
    </w:rPr>
  </w:style>
  <w:style w:type="character" w:customStyle="1" w:styleId="CommentTextChar">
    <w:name w:val="Comment Text Char"/>
    <w:basedOn w:val="DefaultParagraphFont"/>
    <w:link w:val="CommentText"/>
    <w:uiPriority w:val="99"/>
    <w:semiHidden/>
    <w:rsid w:val="00FB6AD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B6AD0"/>
    <w:rPr>
      <w:b/>
      <w:bCs/>
    </w:rPr>
  </w:style>
  <w:style w:type="character" w:customStyle="1" w:styleId="CommentSubjectChar">
    <w:name w:val="Comment Subject Char"/>
    <w:basedOn w:val="CommentTextChar"/>
    <w:link w:val="CommentSubject"/>
    <w:uiPriority w:val="99"/>
    <w:semiHidden/>
    <w:rsid w:val="00FB6AD0"/>
    <w:rPr>
      <w:b/>
      <w:bCs/>
      <w:kern w:val="0"/>
      <w:sz w:val="20"/>
      <w:szCs w:val="20"/>
      <w14:ligatures w14:val="none"/>
    </w:rPr>
  </w:style>
  <w:style w:type="character" w:styleId="Hyperlink">
    <w:name w:val="Hyperlink"/>
    <w:basedOn w:val="DefaultParagraphFont"/>
    <w:uiPriority w:val="99"/>
    <w:unhideWhenUsed/>
    <w:rsid w:val="00FB6AD0"/>
    <w:rPr>
      <w:color w:val="0000FF"/>
      <w:u w:val="single"/>
    </w:rPr>
  </w:style>
  <w:style w:type="paragraph" w:styleId="NormalWeb">
    <w:name w:val="Normal (Web)"/>
    <w:basedOn w:val="Normal"/>
    <w:link w:val="NormalWebChar"/>
    <w:uiPriority w:val="99"/>
    <w:unhideWhenUsed/>
    <w:rsid w:val="00FB6A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odyCopy">
    <w:name w:val="*BodyCopy"/>
    <w:basedOn w:val="Normal"/>
    <w:uiPriority w:val="99"/>
    <w:qFormat/>
    <w:rsid w:val="00FB6AD0"/>
    <w:pPr>
      <w:tabs>
        <w:tab w:val="left" w:pos="2694"/>
      </w:tabs>
      <w:spacing w:after="0" w:line="240" w:lineRule="auto"/>
    </w:pPr>
    <w:rPr>
      <w:rFonts w:eastAsia="Cambria" w:cs="Arial"/>
      <w:szCs w:val="24"/>
    </w:rPr>
  </w:style>
  <w:style w:type="character" w:customStyle="1" w:styleId="UnresolvedMention1">
    <w:name w:val="Unresolved Mention1"/>
    <w:basedOn w:val="DefaultParagraphFont"/>
    <w:uiPriority w:val="99"/>
    <w:semiHidden/>
    <w:unhideWhenUsed/>
    <w:rsid w:val="00FB6AD0"/>
    <w:rPr>
      <w:color w:val="605E5C"/>
      <w:shd w:val="clear" w:color="auto" w:fill="E1DFDD"/>
    </w:rPr>
  </w:style>
  <w:style w:type="character" w:styleId="FollowedHyperlink">
    <w:name w:val="FollowedHyperlink"/>
    <w:basedOn w:val="DefaultParagraphFont"/>
    <w:uiPriority w:val="99"/>
    <w:semiHidden/>
    <w:unhideWhenUsed/>
    <w:rsid w:val="00FB6AD0"/>
    <w:rPr>
      <w:color w:val="954F72" w:themeColor="followedHyperlink"/>
      <w:u w:val="single"/>
    </w:rPr>
  </w:style>
  <w:style w:type="paragraph" w:customStyle="1" w:styleId="Default">
    <w:name w:val="Default"/>
    <w:rsid w:val="00FB6AD0"/>
    <w:pPr>
      <w:autoSpaceDE w:val="0"/>
      <w:autoSpaceDN w:val="0"/>
      <w:adjustRightInd w:val="0"/>
    </w:pPr>
    <w:rPr>
      <w:rFonts w:ascii="Times New Roman" w:hAnsi="Times New Roman" w:cs="Times New Roman"/>
      <w:color w:val="000000"/>
      <w:kern w:val="0"/>
      <w:sz w:val="24"/>
      <w:szCs w:val="24"/>
      <w14:ligatures w14:val="none"/>
    </w:rPr>
  </w:style>
  <w:style w:type="character" w:customStyle="1" w:styleId="markedcontent">
    <w:name w:val="markedcontent"/>
    <w:basedOn w:val="DefaultParagraphFont"/>
    <w:rsid w:val="00FB6AD0"/>
  </w:style>
  <w:style w:type="character" w:styleId="Emphasis">
    <w:name w:val="Emphasis"/>
    <w:basedOn w:val="DefaultParagraphFont"/>
    <w:uiPriority w:val="20"/>
    <w:qFormat/>
    <w:rsid w:val="00FB6AD0"/>
    <w:rPr>
      <w:i/>
      <w:iCs/>
    </w:rPr>
  </w:style>
  <w:style w:type="paragraph" w:styleId="Revision">
    <w:name w:val="Revision"/>
    <w:hidden/>
    <w:uiPriority w:val="99"/>
    <w:semiHidden/>
    <w:rsid w:val="00FB6AD0"/>
    <w:rPr>
      <w:kern w:val="0"/>
      <w14:ligatures w14:val="none"/>
    </w:rPr>
  </w:style>
  <w:style w:type="character" w:customStyle="1" w:styleId="separator">
    <w:name w:val="separator"/>
    <w:basedOn w:val="DefaultParagraphFont"/>
    <w:rsid w:val="00FB6AD0"/>
  </w:style>
  <w:style w:type="paragraph" w:customStyle="1" w:styleId="EndNoteBibliographyTitle">
    <w:name w:val="EndNote Bibliography Title"/>
    <w:basedOn w:val="Normal"/>
    <w:link w:val="EndNoteBibliographyTitleChar"/>
    <w:rsid w:val="00FB6AD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B6AD0"/>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FB6AD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B6AD0"/>
    <w:rPr>
      <w:rFonts w:ascii="Calibri" w:hAnsi="Calibri" w:cs="Calibri"/>
      <w:noProof/>
      <w:kern w:val="0"/>
      <w:lang w:val="en-US"/>
      <w14:ligatures w14:val="none"/>
    </w:rPr>
  </w:style>
  <w:style w:type="table" w:styleId="TableGrid">
    <w:name w:val="Table Grid"/>
    <w:basedOn w:val="TableNormal"/>
    <w:uiPriority w:val="59"/>
    <w:rsid w:val="00FB6AD0"/>
    <w:rPr>
      <w:rFonts w:ascii="Calibri" w:eastAsia="Arial" w:hAnsi="Calibri"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B6AD0"/>
    <w:pPr>
      <w:spacing w:after="0" w:line="240" w:lineRule="auto"/>
      <w:jc w:val="both"/>
    </w:pPr>
    <w:rPr>
      <w:rFonts w:eastAsia="Times New Roman" w:cs="Times New Roman"/>
      <w:szCs w:val="20"/>
    </w:rPr>
  </w:style>
  <w:style w:type="character" w:customStyle="1" w:styleId="BodyText2Char">
    <w:name w:val="Body Text 2 Char"/>
    <w:basedOn w:val="DefaultParagraphFont"/>
    <w:link w:val="BodyText2"/>
    <w:rsid w:val="00FB6AD0"/>
    <w:rPr>
      <w:rFonts w:eastAsia="Times New Roman" w:cs="Times New Roman"/>
      <w:kern w:val="0"/>
      <w:szCs w:val="20"/>
      <w14:ligatures w14:val="none"/>
    </w:rPr>
  </w:style>
  <w:style w:type="paragraph" w:styleId="Caption">
    <w:name w:val="caption"/>
    <w:basedOn w:val="Normal"/>
    <w:next w:val="Normal"/>
    <w:autoRedefine/>
    <w:uiPriority w:val="35"/>
    <w:unhideWhenUsed/>
    <w:qFormat/>
    <w:rsid w:val="00FB6AD0"/>
    <w:pPr>
      <w:spacing w:after="0" w:line="240" w:lineRule="auto"/>
    </w:pPr>
    <w:rPr>
      <w:rFonts w:eastAsia="Times New Roman" w:cstheme="minorHAnsi"/>
      <w:iCs/>
      <w:lang w:eastAsia="en-AU"/>
    </w:rPr>
  </w:style>
  <w:style w:type="character" w:customStyle="1" w:styleId="NormalWebChar">
    <w:name w:val="Normal (Web) Char"/>
    <w:basedOn w:val="DefaultParagraphFont"/>
    <w:link w:val="NormalWeb"/>
    <w:uiPriority w:val="99"/>
    <w:locked/>
    <w:rsid w:val="00FB6AD0"/>
    <w:rPr>
      <w:rFonts w:ascii="Times New Roman" w:eastAsia="Times New Roman" w:hAnsi="Times New Roman" w:cs="Times New Roman"/>
      <w:kern w:val="0"/>
      <w:sz w:val="24"/>
      <w:szCs w:val="24"/>
      <w:lang w:eastAsia="en-AU"/>
      <w14:ligatures w14:val="none"/>
    </w:rPr>
  </w:style>
  <w:style w:type="paragraph" w:styleId="BalloonText">
    <w:name w:val="Balloon Text"/>
    <w:basedOn w:val="Normal"/>
    <w:link w:val="BalloonTextChar"/>
    <w:uiPriority w:val="99"/>
    <w:semiHidden/>
    <w:unhideWhenUsed/>
    <w:rsid w:val="00FB6AD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6AD0"/>
    <w:rPr>
      <w:rFonts w:ascii="Lucida Grande" w:hAnsi="Lucida Grande" w:cs="Lucida Grande"/>
      <w:kern w:val="0"/>
      <w:sz w:val="18"/>
      <w:szCs w:val="18"/>
      <w14:ligatures w14:val="none"/>
    </w:rPr>
  </w:style>
  <w:style w:type="character" w:styleId="UnresolvedMention">
    <w:name w:val="Unresolved Mention"/>
    <w:basedOn w:val="DefaultParagraphFont"/>
    <w:uiPriority w:val="99"/>
    <w:semiHidden/>
    <w:unhideWhenUsed/>
    <w:rsid w:val="00FB6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doi.org/10.1007/s11136-014-0873-7" TargetMode="External"/><Relationship Id="rId18" Type="http://schemas.openxmlformats.org/officeDocument/2006/relationships/hyperlink" Target="https://doi.org/10.1002/hec.944" TargetMode="External"/><Relationship Id="rId3" Type="http://schemas.openxmlformats.org/officeDocument/2006/relationships/settings" Target="settings.xml"/><Relationship Id="rId21" Type="http://schemas.openxmlformats.org/officeDocument/2006/relationships/hyperlink" Target="https://doi.org/10.1177/0272989X08315247" TargetMode="External"/><Relationship Id="rId7" Type="http://schemas.openxmlformats.org/officeDocument/2006/relationships/chart" Target="charts/chart1.xml"/><Relationship Id="rId12" Type="http://schemas.openxmlformats.org/officeDocument/2006/relationships/hyperlink" Target="https://apersu.ca/wp-content/uploads/2020/10/EQ-5D-5L_User-Guide.pdf" TargetMode="External"/><Relationship Id="rId17" Type="http://schemas.openxmlformats.org/officeDocument/2006/relationships/hyperlink" Target="https://www.york.ac.uk/che/pdf/DP172.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07/s40258-013-0035-z" TargetMode="External"/><Relationship Id="rId20" Type="http://schemas.openxmlformats.org/officeDocument/2006/relationships/hyperlink" Target="https://doi.org/10.1177/0272989X9001000308"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footer" Target="footer1.xml"/><Relationship Id="rId15" Type="http://schemas.openxmlformats.org/officeDocument/2006/relationships/hyperlink" Target="https://doi.org/10.1136/thoraxjnl-2015-207782" TargetMode="External"/><Relationship Id="rId23" Type="http://schemas.openxmlformats.org/officeDocument/2006/relationships/hyperlink" Target="https://doi.org/10.1136/bmj.d1548" TargetMode="External"/><Relationship Id="rId10" Type="http://schemas.openxmlformats.org/officeDocument/2006/relationships/image" Target="media/image3.emf"/><Relationship Id="rId19" Type="http://schemas.openxmlformats.org/officeDocument/2006/relationships/hyperlink" Target="https://doi.org/10.1002/1097-0258(20001215)19:23%3C3219::aid-sim623%3E3.0.co;2-p"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yperlink" Target="https://doi.org/10.2340/16501977-2069" TargetMode="External"/><Relationship Id="rId22" Type="http://schemas.openxmlformats.org/officeDocument/2006/relationships/hyperlink" Target="https://doi.org/10.1111/j.1524-4733.2005.03065.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flinders-my.sharepoint.com/personal/kaam0001_flinders_edu_au/Documents/FLINDERS/PROJECTS/QUEST2/Merging%20old%20with%20new%20cost%20data/Correct%20PBS%20Costs/CEAC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flinders-my.sharepoint.com/personal/kaam0001_flinders_edu_au/Documents/FLINDERS/PROJECTS/QUEST2/Merging%20old%20with%20new%20cost%20data/Correct%20PBS%20Costs/CEACs.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flinders-my.sharepoint.com/personal/kaam0001_flinders_edu_au/Documents/FLINDERS/PROJECTS/QUEST2/Merging%20old%20with%20new%20cost%20data/Correct%20PBS%20Costs/CEAC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EQ5D5L_QALY_CEAC_All_Adults!$E$1</c:f>
              <c:strCache>
                <c:ptCount val="1"/>
                <c:pt idx="0">
                  <c:v>ProbCE2</c:v>
                </c:pt>
              </c:strCache>
            </c:strRef>
          </c:tx>
          <c:marker>
            <c:symbol val="none"/>
          </c:marker>
          <c:xVal>
            <c:numRef>
              <c:f>EQ5D5L_QALY_CEAC_All_Adults!$D$2:$D$20</c:f>
              <c:numCache>
                <c:formatCode>#,##0</c:formatCode>
                <c:ptCount val="19"/>
                <c:pt idx="0">
                  <c:v>10000</c:v>
                </c:pt>
                <c:pt idx="1">
                  <c:v>3000</c:v>
                </c:pt>
                <c:pt idx="2">
                  <c:v>2000</c:v>
                </c:pt>
                <c:pt idx="3">
                  <c:v>1000</c:v>
                </c:pt>
                <c:pt idx="4">
                  <c:v>750</c:v>
                </c:pt>
                <c:pt idx="5">
                  <c:v>500</c:v>
                </c:pt>
                <c:pt idx="6">
                  <c:v>200</c:v>
                </c:pt>
                <c:pt idx="7">
                  <c:v>100</c:v>
                </c:pt>
                <c:pt idx="8">
                  <c:v>80</c:v>
                </c:pt>
                <c:pt idx="9">
                  <c:v>50</c:v>
                </c:pt>
                <c:pt idx="10">
                  <c:v>30</c:v>
                </c:pt>
                <c:pt idx="11">
                  <c:v>20</c:v>
                </c:pt>
                <c:pt idx="12">
                  <c:v>10</c:v>
                </c:pt>
                <c:pt idx="13">
                  <c:v>8</c:v>
                </c:pt>
                <c:pt idx="14">
                  <c:v>5</c:v>
                </c:pt>
                <c:pt idx="15">
                  <c:v>3</c:v>
                </c:pt>
                <c:pt idx="16">
                  <c:v>1</c:v>
                </c:pt>
                <c:pt idx="17">
                  <c:v>0.5</c:v>
                </c:pt>
                <c:pt idx="18">
                  <c:v>0.1</c:v>
                </c:pt>
              </c:numCache>
            </c:numRef>
          </c:xVal>
          <c:yVal>
            <c:numRef>
              <c:f>EQ5D5L_QALY_CEAC_All_Adults!$E$2:$E$20</c:f>
              <c:numCache>
                <c:formatCode>General</c:formatCode>
                <c:ptCount val="19"/>
                <c:pt idx="0">
                  <c:v>0.99898063200815501</c:v>
                </c:pt>
                <c:pt idx="1">
                  <c:v>0.99898063200815501</c:v>
                </c:pt>
                <c:pt idx="2">
                  <c:v>0.99898063200815501</c:v>
                </c:pt>
                <c:pt idx="3">
                  <c:v>0.99796126401631002</c:v>
                </c:pt>
                <c:pt idx="4">
                  <c:v>0.99694189602446504</c:v>
                </c:pt>
                <c:pt idx="5">
                  <c:v>0.99490316004077495</c:v>
                </c:pt>
                <c:pt idx="6">
                  <c:v>0.97247706422018398</c:v>
                </c:pt>
                <c:pt idx="7">
                  <c:v>0.92048929663608603</c:v>
                </c:pt>
                <c:pt idx="8">
                  <c:v>0.89500509683995899</c:v>
                </c:pt>
                <c:pt idx="9">
                  <c:v>0.80020387359836898</c:v>
                </c:pt>
                <c:pt idx="10">
                  <c:v>0.68399592252803298</c:v>
                </c:pt>
                <c:pt idx="11">
                  <c:v>0.57390417940876703</c:v>
                </c:pt>
                <c:pt idx="12">
                  <c:v>0.44648318042813501</c:v>
                </c:pt>
                <c:pt idx="13">
                  <c:v>0.42711518858307801</c:v>
                </c:pt>
                <c:pt idx="14">
                  <c:v>0.39653414882772697</c:v>
                </c:pt>
                <c:pt idx="15">
                  <c:v>0.37614678899082599</c:v>
                </c:pt>
                <c:pt idx="16">
                  <c:v>0.35779816513761498</c:v>
                </c:pt>
                <c:pt idx="17">
                  <c:v>0.35168195718654399</c:v>
                </c:pt>
                <c:pt idx="18">
                  <c:v>0.34760448521916398</c:v>
                </c:pt>
              </c:numCache>
            </c:numRef>
          </c:yVal>
          <c:smooth val="1"/>
          <c:extLst>
            <c:ext xmlns:c16="http://schemas.microsoft.com/office/drawing/2014/chart" uri="{C3380CC4-5D6E-409C-BE32-E72D297353CC}">
              <c16:uniqueId val="{00000000-EC54-4DD6-8219-F61DB55AAA50}"/>
            </c:ext>
          </c:extLst>
        </c:ser>
        <c:dLbls>
          <c:showLegendKey val="0"/>
          <c:showVal val="0"/>
          <c:showCatName val="0"/>
          <c:showSerName val="0"/>
          <c:showPercent val="0"/>
          <c:showBubbleSize val="0"/>
        </c:dLbls>
        <c:axId val="2085798280"/>
        <c:axId val="2100151640"/>
      </c:scatterChart>
      <c:valAx>
        <c:axId val="2085798280"/>
        <c:scaling>
          <c:orientation val="minMax"/>
          <c:max val="500"/>
        </c:scaling>
        <c:delete val="0"/>
        <c:axPos val="b"/>
        <c:title>
          <c:tx>
            <c:rich>
              <a:bodyPr/>
              <a:lstStyle/>
              <a:p>
                <a:pPr>
                  <a:defRPr sz="1000" b="1" i="0" u="none" strike="noStrike" baseline="0">
                    <a:solidFill>
                      <a:srgbClr val="000000"/>
                    </a:solidFill>
                    <a:latin typeface="Calibri"/>
                    <a:ea typeface="Calibri"/>
                    <a:cs typeface="Calibri"/>
                  </a:defRPr>
                </a:pPr>
                <a:r>
                  <a:rPr lang="en-GB"/>
                  <a:t>Willingness to Pay in 000's of AUD</a:t>
                </a:r>
              </a:p>
            </c:rich>
          </c:tx>
          <c:overlay val="0"/>
        </c:title>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00151640"/>
        <c:crosses val="autoZero"/>
        <c:crossBetween val="midCat"/>
        <c:majorUnit val="50"/>
      </c:valAx>
      <c:valAx>
        <c:axId val="2100151640"/>
        <c:scaling>
          <c:orientation val="minMax"/>
          <c:max val="1"/>
          <c:min val="0"/>
        </c:scaling>
        <c:delete val="0"/>
        <c:axPos val="l"/>
        <c:majorGridlines/>
        <c:title>
          <c:tx>
            <c:rich>
              <a:bodyPr/>
              <a:lstStyle/>
              <a:p>
                <a:pPr>
                  <a:defRPr sz="1000" b="1" i="0" u="none" strike="noStrike" baseline="0">
                    <a:solidFill>
                      <a:srgbClr val="000000"/>
                    </a:solidFill>
                    <a:latin typeface="Calibri"/>
                    <a:ea typeface="Calibri"/>
                    <a:cs typeface="Calibri"/>
                  </a:defRPr>
                </a:pPr>
                <a:r>
                  <a:rPr lang="en-GB"/>
                  <a:t>Prob. of intervention being cost effective</a:t>
                </a:r>
              </a:p>
            </c:rich>
          </c:tx>
          <c:layout>
            <c:manualLayout>
              <c:xMode val="edge"/>
              <c:yMode val="edge"/>
              <c:x val="1.8018018018018001E-2"/>
              <c:y val="0.180161191972216"/>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085798280"/>
        <c:crosses val="autoZero"/>
        <c:crossBetween val="midCat"/>
        <c:majorUnit val="0.2"/>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EQ5D5L_QALY_CEAC_YoungAdults!$E$1</c:f>
              <c:strCache>
                <c:ptCount val="1"/>
                <c:pt idx="0">
                  <c:v>ProbCE2</c:v>
                </c:pt>
              </c:strCache>
            </c:strRef>
          </c:tx>
          <c:marker>
            <c:symbol val="none"/>
          </c:marker>
          <c:xVal>
            <c:numRef>
              <c:f>EQ5D5L_QALY_CEAC_YoungAdults!$D$2:$D$20</c:f>
              <c:numCache>
                <c:formatCode>#,##0</c:formatCode>
                <c:ptCount val="19"/>
                <c:pt idx="0">
                  <c:v>10000</c:v>
                </c:pt>
                <c:pt idx="1">
                  <c:v>3000</c:v>
                </c:pt>
                <c:pt idx="2">
                  <c:v>2000</c:v>
                </c:pt>
                <c:pt idx="3">
                  <c:v>1000</c:v>
                </c:pt>
                <c:pt idx="4">
                  <c:v>750</c:v>
                </c:pt>
                <c:pt idx="5">
                  <c:v>500</c:v>
                </c:pt>
                <c:pt idx="6">
                  <c:v>200</c:v>
                </c:pt>
                <c:pt idx="7">
                  <c:v>100</c:v>
                </c:pt>
                <c:pt idx="8">
                  <c:v>80</c:v>
                </c:pt>
                <c:pt idx="9">
                  <c:v>50</c:v>
                </c:pt>
                <c:pt idx="10">
                  <c:v>30</c:v>
                </c:pt>
                <c:pt idx="11">
                  <c:v>20</c:v>
                </c:pt>
                <c:pt idx="12">
                  <c:v>10</c:v>
                </c:pt>
                <c:pt idx="13">
                  <c:v>8</c:v>
                </c:pt>
                <c:pt idx="14">
                  <c:v>5</c:v>
                </c:pt>
                <c:pt idx="15">
                  <c:v>3</c:v>
                </c:pt>
                <c:pt idx="16">
                  <c:v>1</c:v>
                </c:pt>
                <c:pt idx="17">
                  <c:v>0.5</c:v>
                </c:pt>
                <c:pt idx="18">
                  <c:v>0.1</c:v>
                </c:pt>
              </c:numCache>
            </c:numRef>
          </c:xVal>
          <c:yVal>
            <c:numRef>
              <c:f>EQ5D5L_QALY_CEAC_YoungAdults!$E$2:$E$20</c:f>
              <c:numCache>
                <c:formatCode>General</c:formatCode>
                <c:ptCount val="19"/>
                <c:pt idx="0">
                  <c:v>0.994074074074074</c:v>
                </c:pt>
                <c:pt idx="1">
                  <c:v>0.98074074074074102</c:v>
                </c:pt>
                <c:pt idx="2">
                  <c:v>0.97481481481481502</c:v>
                </c:pt>
                <c:pt idx="3">
                  <c:v>0.94666666666666699</c:v>
                </c:pt>
                <c:pt idx="4">
                  <c:v>0.92740740740740801</c:v>
                </c:pt>
                <c:pt idx="5">
                  <c:v>0.90814814814814804</c:v>
                </c:pt>
                <c:pt idx="6">
                  <c:v>0.79703703703703699</c:v>
                </c:pt>
                <c:pt idx="7">
                  <c:v>0.63555555555555598</c:v>
                </c:pt>
                <c:pt idx="8">
                  <c:v>0.55259259259259297</c:v>
                </c:pt>
                <c:pt idx="9">
                  <c:v>0.45037037037036998</c:v>
                </c:pt>
                <c:pt idx="10">
                  <c:v>0.32888888888888901</c:v>
                </c:pt>
                <c:pt idx="11">
                  <c:v>0.25925925925925902</c:v>
                </c:pt>
                <c:pt idx="12">
                  <c:v>0.19407407407407401</c:v>
                </c:pt>
                <c:pt idx="13">
                  <c:v>0.18370370370370401</c:v>
                </c:pt>
                <c:pt idx="14">
                  <c:v>0.17481481481481501</c:v>
                </c:pt>
                <c:pt idx="15">
                  <c:v>0.16</c:v>
                </c:pt>
                <c:pt idx="16">
                  <c:v>0.146666666666667</c:v>
                </c:pt>
                <c:pt idx="17">
                  <c:v>0.146666666666667</c:v>
                </c:pt>
                <c:pt idx="18">
                  <c:v>0.146666666666667</c:v>
                </c:pt>
              </c:numCache>
            </c:numRef>
          </c:yVal>
          <c:smooth val="1"/>
          <c:extLst>
            <c:ext xmlns:c16="http://schemas.microsoft.com/office/drawing/2014/chart" uri="{C3380CC4-5D6E-409C-BE32-E72D297353CC}">
              <c16:uniqueId val="{00000000-353A-417A-B625-103DE8A72AA9}"/>
            </c:ext>
          </c:extLst>
        </c:ser>
        <c:dLbls>
          <c:showLegendKey val="0"/>
          <c:showVal val="0"/>
          <c:showCatName val="0"/>
          <c:showSerName val="0"/>
          <c:showPercent val="0"/>
          <c:showBubbleSize val="0"/>
        </c:dLbls>
        <c:axId val="2100808440"/>
        <c:axId val="2100814072"/>
      </c:scatterChart>
      <c:valAx>
        <c:axId val="2100808440"/>
        <c:scaling>
          <c:orientation val="minMax"/>
          <c:max val="500"/>
        </c:scaling>
        <c:delete val="0"/>
        <c:axPos val="b"/>
        <c:title>
          <c:tx>
            <c:rich>
              <a:bodyPr/>
              <a:lstStyle/>
              <a:p>
                <a:pPr>
                  <a:defRPr sz="1000" b="1" i="0" u="none" strike="noStrike" baseline="0">
                    <a:solidFill>
                      <a:srgbClr val="000000"/>
                    </a:solidFill>
                    <a:latin typeface="Calibri"/>
                    <a:ea typeface="Calibri"/>
                    <a:cs typeface="Calibri"/>
                  </a:defRPr>
                </a:pPr>
                <a:r>
                  <a:rPr lang="en-GB"/>
                  <a:t>Willingness to Pay in 000's of AUD</a:t>
                </a:r>
              </a:p>
            </c:rich>
          </c:tx>
          <c:overlay val="0"/>
        </c:title>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00814072"/>
        <c:crosses val="autoZero"/>
        <c:crossBetween val="midCat"/>
        <c:majorUnit val="50"/>
      </c:valAx>
      <c:valAx>
        <c:axId val="2100814072"/>
        <c:scaling>
          <c:orientation val="minMax"/>
          <c:max val="1"/>
          <c:min val="0"/>
        </c:scaling>
        <c:delete val="0"/>
        <c:axPos val="l"/>
        <c:majorGridlines/>
        <c:title>
          <c:tx>
            <c:rich>
              <a:bodyPr/>
              <a:lstStyle/>
              <a:p>
                <a:pPr>
                  <a:defRPr sz="1000" b="1" i="0" u="none" strike="noStrike" baseline="0">
                    <a:solidFill>
                      <a:srgbClr val="000000"/>
                    </a:solidFill>
                    <a:latin typeface="Calibri"/>
                    <a:ea typeface="Calibri"/>
                    <a:cs typeface="Calibri"/>
                  </a:defRPr>
                </a:pPr>
                <a:r>
                  <a:rPr lang="en-GB"/>
                  <a:t>Prob. of intervention being cost effective</a:t>
                </a:r>
              </a:p>
            </c:rich>
          </c:tx>
          <c:layout>
            <c:manualLayout>
              <c:xMode val="edge"/>
              <c:yMode val="edge"/>
              <c:x val="1.8018018018018001E-2"/>
              <c:y val="0.180161191972216"/>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00808440"/>
        <c:crosses val="autoZero"/>
        <c:crossBetween val="midCat"/>
        <c:majorUnit val="0.2"/>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EQ5D5L_QALY_CEAC_OlderAdults!$E$1</c:f>
              <c:strCache>
                <c:ptCount val="1"/>
                <c:pt idx="0">
                  <c:v>ProbCE2</c:v>
                </c:pt>
              </c:strCache>
            </c:strRef>
          </c:tx>
          <c:marker>
            <c:symbol val="none"/>
          </c:marker>
          <c:xVal>
            <c:numRef>
              <c:f>EQ5D5L_QALY_CEAC_OlderAdults!$D$6:$D$19</c:f>
              <c:numCache>
                <c:formatCode>#,##0</c:formatCode>
                <c:ptCount val="14"/>
                <c:pt idx="0">
                  <c:v>750</c:v>
                </c:pt>
                <c:pt idx="1">
                  <c:v>500</c:v>
                </c:pt>
                <c:pt idx="2">
                  <c:v>200</c:v>
                </c:pt>
                <c:pt idx="3">
                  <c:v>100</c:v>
                </c:pt>
                <c:pt idx="4">
                  <c:v>80</c:v>
                </c:pt>
                <c:pt idx="5">
                  <c:v>50</c:v>
                </c:pt>
                <c:pt idx="6">
                  <c:v>30</c:v>
                </c:pt>
                <c:pt idx="7">
                  <c:v>20</c:v>
                </c:pt>
                <c:pt idx="8">
                  <c:v>10</c:v>
                </c:pt>
                <c:pt idx="9">
                  <c:v>8</c:v>
                </c:pt>
                <c:pt idx="10">
                  <c:v>5</c:v>
                </c:pt>
                <c:pt idx="11">
                  <c:v>3</c:v>
                </c:pt>
                <c:pt idx="12">
                  <c:v>1</c:v>
                </c:pt>
                <c:pt idx="13">
                  <c:v>0.5</c:v>
                </c:pt>
              </c:numCache>
            </c:numRef>
          </c:xVal>
          <c:yVal>
            <c:numRef>
              <c:f>EQ5D5L_QALY_CEAC_OlderAdults!$E$6:$E$19</c:f>
              <c:numCache>
                <c:formatCode>General</c:formatCode>
                <c:ptCount val="14"/>
                <c:pt idx="0">
                  <c:v>0.98989898989898994</c:v>
                </c:pt>
                <c:pt idx="1">
                  <c:v>0.98787878787878802</c:v>
                </c:pt>
                <c:pt idx="2">
                  <c:v>0.97171717171717198</c:v>
                </c:pt>
                <c:pt idx="3">
                  <c:v>0.96464646464646497</c:v>
                </c:pt>
                <c:pt idx="4">
                  <c:v>0.95757575757575797</c:v>
                </c:pt>
                <c:pt idx="5">
                  <c:v>0.94141414141414104</c:v>
                </c:pt>
                <c:pt idx="6">
                  <c:v>0.88989898989898997</c:v>
                </c:pt>
                <c:pt idx="7">
                  <c:v>0.84949494949494897</c:v>
                </c:pt>
                <c:pt idx="8">
                  <c:v>0.78888888888888897</c:v>
                </c:pt>
                <c:pt idx="9">
                  <c:v>0.77373737373737395</c:v>
                </c:pt>
                <c:pt idx="10">
                  <c:v>0.74848484848484897</c:v>
                </c:pt>
                <c:pt idx="11">
                  <c:v>0.73030303030303001</c:v>
                </c:pt>
                <c:pt idx="12">
                  <c:v>0.71313131313131295</c:v>
                </c:pt>
                <c:pt idx="13">
                  <c:v>0.70909090909090899</c:v>
                </c:pt>
              </c:numCache>
            </c:numRef>
          </c:yVal>
          <c:smooth val="1"/>
          <c:extLst>
            <c:ext xmlns:c16="http://schemas.microsoft.com/office/drawing/2014/chart" uri="{C3380CC4-5D6E-409C-BE32-E72D297353CC}">
              <c16:uniqueId val="{00000000-EB23-4569-8835-5075F59C8177}"/>
            </c:ext>
          </c:extLst>
        </c:ser>
        <c:dLbls>
          <c:showLegendKey val="0"/>
          <c:showVal val="0"/>
          <c:showCatName val="0"/>
          <c:showSerName val="0"/>
          <c:showPercent val="0"/>
          <c:showBubbleSize val="0"/>
        </c:dLbls>
        <c:axId val="2100847464"/>
        <c:axId val="2100853144"/>
      </c:scatterChart>
      <c:valAx>
        <c:axId val="2100847464"/>
        <c:scaling>
          <c:orientation val="minMax"/>
          <c:max val="500"/>
        </c:scaling>
        <c:delete val="0"/>
        <c:axPos val="b"/>
        <c:title>
          <c:tx>
            <c:rich>
              <a:bodyPr/>
              <a:lstStyle/>
              <a:p>
                <a:pPr>
                  <a:defRPr sz="1000" b="1" i="0" u="none" strike="noStrike" baseline="0">
                    <a:solidFill>
                      <a:srgbClr val="000000"/>
                    </a:solidFill>
                    <a:latin typeface="Calibri"/>
                    <a:ea typeface="Calibri"/>
                    <a:cs typeface="Calibri"/>
                  </a:defRPr>
                </a:pPr>
                <a:r>
                  <a:rPr lang="en-GB"/>
                  <a:t>Willingness to Pay in 000's of AUD</a:t>
                </a:r>
              </a:p>
            </c:rich>
          </c:tx>
          <c:overlay val="0"/>
        </c:title>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00853144"/>
        <c:crosses val="autoZero"/>
        <c:crossBetween val="midCat"/>
        <c:majorUnit val="50"/>
      </c:valAx>
      <c:valAx>
        <c:axId val="2100853144"/>
        <c:scaling>
          <c:orientation val="minMax"/>
          <c:max val="1"/>
          <c:min val="0"/>
        </c:scaling>
        <c:delete val="0"/>
        <c:axPos val="l"/>
        <c:majorGridlines/>
        <c:title>
          <c:tx>
            <c:rich>
              <a:bodyPr/>
              <a:lstStyle/>
              <a:p>
                <a:pPr>
                  <a:defRPr sz="1000" b="1" i="0" u="none" strike="noStrike" baseline="0">
                    <a:solidFill>
                      <a:srgbClr val="000000"/>
                    </a:solidFill>
                    <a:latin typeface="Calibri"/>
                    <a:ea typeface="Calibri"/>
                    <a:cs typeface="Calibri"/>
                  </a:defRPr>
                </a:pPr>
                <a:r>
                  <a:rPr lang="en-GB"/>
                  <a:t>Prob. of intervention being cost effective</a:t>
                </a:r>
              </a:p>
            </c:rich>
          </c:tx>
          <c:layout>
            <c:manualLayout>
              <c:xMode val="edge"/>
              <c:yMode val="edge"/>
              <c:x val="1.8018018018018001E-2"/>
              <c:y val="0.180161191972216"/>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00847464"/>
        <c:crosses val="autoZero"/>
        <c:crossBetween val="midCat"/>
        <c:majorUnit val="0.2"/>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3837</Words>
  <Characters>21876</Characters>
  <Application>Microsoft Office Word</Application>
  <DocSecurity>0</DocSecurity>
  <Lines>182</Lines>
  <Paragraphs>51</Paragraphs>
  <ScaleCrop>false</ScaleCrop>
  <Company/>
  <LinksUpToDate>false</LinksUpToDate>
  <CharactersWithSpaces>25662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Roeger</dc:creator>
  <cp:keywords/>
  <dc:description/>
  <cp:lastModifiedBy>Leigh Roeger</cp:lastModifiedBy>
  <cp:revision>2</cp:revision>
  <dcterms:created xsi:type="dcterms:W3CDTF">2023-05-26T00:40:00Z</dcterms:created>
  <dcterms:modified xsi:type="dcterms:W3CDTF">2023-05-26T00:40:00Z</dcterms:modified>
</cp:coreProperties>
</file>