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F0D95" w14:textId="77777777" w:rsidR="00D5037C" w:rsidRPr="009C25E3" w:rsidRDefault="00D5037C" w:rsidP="00D5037C">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Experimental Design, Considerations and Limitations</w:t>
      </w:r>
    </w:p>
    <w:p w14:paraId="65A8EBB0" w14:textId="77777777" w:rsidR="00D5037C" w:rsidRDefault="00D5037C" w:rsidP="00D5037C">
      <w:pPr>
        <w:pStyle w:val="NormalWeb"/>
        <w:spacing w:before="240" w:beforeAutospacing="0" w:after="240" w:afterAutospacing="0" w:line="480" w:lineRule="auto"/>
        <w:ind w:left="-280"/>
        <w:jc w:val="both"/>
        <w:rPr>
          <w:rFonts w:ascii="Arial" w:hAnsi="Arial" w:cs="Arial"/>
          <w:color w:val="000000"/>
        </w:rPr>
      </w:pPr>
      <w:r>
        <w:rPr>
          <w:rFonts w:ascii="Arial" w:hAnsi="Arial" w:cs="Arial"/>
          <w:color w:val="000000"/>
        </w:rPr>
        <w:t xml:space="preserve">For all animal studies, only wildtype and untreated/vehicle control animals were used for data analysis. To maintain consistency and comparability, when studies had serial longitudinal measurements in both control and exposure-treated animals, the control and treatment groups were directly compared rather than comparing the differences from baseline. Where feasible to do so, persons involved in data acquisition or analysis were kept blinded to group identity to minimise the risk of investigator bias. </w:t>
      </w:r>
    </w:p>
    <w:p w14:paraId="1C66A19F" w14:textId="77777777" w:rsidR="00D5037C" w:rsidRDefault="00D5037C" w:rsidP="00D5037C">
      <w:pPr>
        <w:pStyle w:val="NormalWeb"/>
        <w:spacing w:before="240" w:beforeAutospacing="0" w:after="240" w:afterAutospacing="0" w:line="480" w:lineRule="auto"/>
        <w:ind w:left="-280"/>
        <w:jc w:val="both"/>
        <w:rPr>
          <w:rFonts w:ascii="Arial" w:hAnsi="Arial" w:cs="Arial"/>
          <w:color w:val="000000"/>
        </w:rPr>
      </w:pPr>
      <w:r>
        <w:rPr>
          <w:rFonts w:ascii="Arial" w:hAnsi="Arial" w:cs="Arial"/>
          <w:color w:val="000000"/>
        </w:rPr>
        <w:t>In the absence of in-flight measurements (L+ or FD+) we chose to look at post-flight (R+) timepoints as close to splashdown as possible to capture spaceflight phenomena with minimal influence from readaptation to microgravity.</w:t>
      </w:r>
    </w:p>
    <w:p w14:paraId="28530CB5" w14:textId="68D48ABC" w:rsidR="00D5037C" w:rsidRDefault="00D5037C" w:rsidP="00D5037C">
      <w:pPr>
        <w:pStyle w:val="NormalWeb"/>
        <w:spacing w:before="240" w:beforeAutospacing="0" w:after="240" w:afterAutospacing="0" w:line="480" w:lineRule="auto"/>
        <w:ind w:left="-280"/>
        <w:jc w:val="both"/>
        <w:rPr>
          <w:rFonts w:ascii="Arial" w:hAnsi="Arial" w:cs="Arial"/>
          <w:color w:val="000000"/>
        </w:rPr>
      </w:pPr>
      <w:r>
        <w:rPr>
          <w:rFonts w:ascii="Arial" w:hAnsi="Arial" w:cs="Arial"/>
          <w:color w:val="000000"/>
        </w:rPr>
        <w:t>Most spaceflight harvested samples would have gone through freeze-thaw cycles, however the quality of data was assessed, and any unsuitable datasets or samples were excluded on this technical basis. Another caveat that should be noted is that kidney that omics from RR-1, RR-3, RR-7, RR-23 animals were performed on different 1/6</w:t>
      </w:r>
      <w:r w:rsidRPr="002F2A32">
        <w:rPr>
          <w:rFonts w:ascii="Arial" w:hAnsi="Arial" w:cs="Arial"/>
          <w:color w:val="000000"/>
          <w:vertAlign w:val="superscript"/>
        </w:rPr>
        <w:t>th</w:t>
      </w:r>
      <w:r>
        <w:rPr>
          <w:rFonts w:ascii="Arial" w:hAnsi="Arial" w:cs="Arial"/>
          <w:color w:val="000000"/>
        </w:rPr>
        <w:t xml:space="preserve"> portions cut from the kidney. While these portions likely came from the same anatomical region for each omics modality, it is likely that this introduced increased intra-assay variability due to over or under representation of different anatomical regions arising from difficulties in dissecting perfectly reproducible 1/6</w:t>
      </w:r>
      <w:r w:rsidRPr="00862F69">
        <w:rPr>
          <w:rFonts w:ascii="Arial" w:hAnsi="Arial" w:cs="Arial"/>
          <w:color w:val="000000"/>
          <w:vertAlign w:val="superscript"/>
        </w:rPr>
        <w:t>th</w:t>
      </w:r>
      <w:r>
        <w:rPr>
          <w:rFonts w:ascii="Arial" w:hAnsi="Arial" w:cs="Arial"/>
          <w:color w:val="000000"/>
        </w:rPr>
        <w:t xml:space="preserve"> portions form the kidney. And as the kidney is relatively heterogeneous organ, it is likely inter-assay comparisons may be confounded by differences in anatomical regions present in different 1/6</w:t>
      </w:r>
      <w:r w:rsidRPr="00862F69">
        <w:rPr>
          <w:rFonts w:ascii="Arial" w:hAnsi="Arial" w:cs="Arial"/>
          <w:color w:val="000000"/>
          <w:vertAlign w:val="superscript"/>
        </w:rPr>
        <w:t>th</w:t>
      </w:r>
      <w:r>
        <w:rPr>
          <w:rFonts w:ascii="Arial" w:hAnsi="Arial" w:cs="Arial"/>
          <w:color w:val="000000"/>
        </w:rPr>
        <w:t xml:space="preserve"> portions from the same kidney. All other missions whole or hemi-sected or hemisected kidneys were processed under dry-ice/liquid nitrogen to generate a homogenised powder to ensure all anatomical regions were proportionally represented and results from assays could be more accurately compared to one another.</w:t>
      </w:r>
    </w:p>
    <w:p w14:paraId="13D6192F" w14:textId="36027AF9" w:rsidR="001A0F82" w:rsidRPr="001A0F82" w:rsidRDefault="00D5037C" w:rsidP="001A0F82">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lastRenderedPageBreak/>
        <w:t>Ethics</w:t>
      </w:r>
      <w:r w:rsidR="001E3540">
        <w:rPr>
          <w:rFonts w:ascii="Arial" w:hAnsi="Arial" w:cs="Arial"/>
          <w:color w:val="000000"/>
          <w:sz w:val="22"/>
          <w:szCs w:val="22"/>
        </w:rPr>
        <w:br/>
      </w:r>
      <w:r w:rsidR="001A0F82" w:rsidRPr="001A0F82">
        <w:rPr>
          <w:rFonts w:ascii="Arial" w:hAnsi="Arial" w:cs="Arial"/>
          <w:color w:val="000000"/>
          <w:sz w:val="22"/>
          <w:szCs w:val="22"/>
        </w:rPr>
        <w:t>All crews from the NASA and JAXA-led spaceflights provided informed written consent prior to their participation. More specifics are detailed below:</w:t>
      </w:r>
    </w:p>
    <w:p w14:paraId="77AAD2D0" w14:textId="1B57D6BF" w:rsidR="00F01959" w:rsidRPr="00F01959" w:rsidRDefault="00F01959" w:rsidP="00346387">
      <w:pPr>
        <w:pStyle w:val="NormalWeb"/>
        <w:spacing w:before="240" w:after="240" w:line="480" w:lineRule="auto"/>
        <w:ind w:left="-280"/>
        <w:jc w:val="both"/>
        <w:rPr>
          <w:rFonts w:ascii="Arial" w:hAnsi="Arial" w:cs="Arial"/>
          <w:color w:val="000000"/>
          <w:sz w:val="22"/>
          <w:szCs w:val="22"/>
        </w:rPr>
      </w:pPr>
      <w:r w:rsidRPr="00F01959">
        <w:rPr>
          <w:rFonts w:ascii="Arial" w:hAnsi="Arial" w:cs="Arial"/>
          <w:color w:val="000000"/>
          <w:sz w:val="22"/>
          <w:szCs w:val="22"/>
        </w:rPr>
        <w:t>Inspiration4 subjects were consented at an informed consent briefing (ICB) at SpaceX (Hawthorne, CA),</w:t>
      </w:r>
      <w:r w:rsidR="00457F73">
        <w:rPr>
          <w:rFonts w:ascii="Arial" w:hAnsi="Arial" w:cs="Arial"/>
          <w:color w:val="000000"/>
          <w:sz w:val="22"/>
          <w:szCs w:val="22"/>
        </w:rPr>
        <w:t xml:space="preserve"> </w:t>
      </w:r>
      <w:r w:rsidRPr="00F01959">
        <w:rPr>
          <w:rFonts w:ascii="Arial" w:hAnsi="Arial" w:cs="Arial"/>
          <w:color w:val="000000"/>
          <w:sz w:val="22"/>
          <w:szCs w:val="22"/>
        </w:rPr>
        <w:t>and samples were collected and processed under the approval of the Institutional Review Board</w:t>
      </w:r>
      <w:r w:rsidR="00457F73">
        <w:rPr>
          <w:rFonts w:ascii="Arial" w:hAnsi="Arial" w:cs="Arial"/>
          <w:color w:val="000000"/>
          <w:sz w:val="22"/>
          <w:szCs w:val="22"/>
        </w:rPr>
        <w:t xml:space="preserve"> </w:t>
      </w:r>
      <w:r w:rsidRPr="00F01959">
        <w:rPr>
          <w:rFonts w:ascii="Arial" w:hAnsi="Arial" w:cs="Arial"/>
          <w:color w:val="000000"/>
          <w:sz w:val="22"/>
          <w:szCs w:val="22"/>
        </w:rPr>
        <w:t>(IRB) at Weill Cornell Medicine, under Protocol 21-05023569. All crew members have</w:t>
      </w:r>
      <w:r w:rsidR="00457F73">
        <w:rPr>
          <w:rFonts w:ascii="Arial" w:hAnsi="Arial" w:cs="Arial"/>
          <w:color w:val="000000"/>
          <w:sz w:val="22"/>
          <w:szCs w:val="22"/>
        </w:rPr>
        <w:t xml:space="preserve"> </w:t>
      </w:r>
      <w:r w:rsidRPr="00F01959">
        <w:rPr>
          <w:rFonts w:ascii="Arial" w:hAnsi="Arial" w:cs="Arial"/>
          <w:color w:val="000000"/>
          <w:sz w:val="22"/>
          <w:szCs w:val="22"/>
        </w:rPr>
        <w:t>consented for data and sample sharing. Tissue samples were provided by SpaceX Inspiration4</w:t>
      </w:r>
      <w:r w:rsidR="00457F73">
        <w:rPr>
          <w:rFonts w:ascii="Arial" w:hAnsi="Arial" w:cs="Arial"/>
          <w:color w:val="000000"/>
          <w:sz w:val="22"/>
          <w:szCs w:val="22"/>
        </w:rPr>
        <w:t xml:space="preserve"> </w:t>
      </w:r>
      <w:r w:rsidRPr="00F01959">
        <w:rPr>
          <w:rFonts w:ascii="Arial" w:hAnsi="Arial" w:cs="Arial"/>
          <w:color w:val="000000"/>
          <w:sz w:val="22"/>
          <w:szCs w:val="22"/>
        </w:rPr>
        <w:t>crew members after consent for research use of the biopsies, swabs, and biological materials.</w:t>
      </w:r>
      <w:r w:rsidR="00D17DFE">
        <w:rPr>
          <w:rFonts w:ascii="Arial" w:hAnsi="Arial" w:cs="Arial"/>
          <w:color w:val="000000"/>
          <w:sz w:val="22"/>
          <w:szCs w:val="22"/>
        </w:rPr>
        <w:t xml:space="preserve"> </w:t>
      </w:r>
      <w:r w:rsidRPr="00F01959">
        <w:rPr>
          <w:rFonts w:ascii="Arial" w:hAnsi="Arial" w:cs="Arial"/>
          <w:color w:val="000000"/>
          <w:sz w:val="22"/>
          <w:szCs w:val="22"/>
        </w:rPr>
        <w:t>The procedure followed guidelines set by the Health Insurance Portability and Accountability</w:t>
      </w:r>
      <w:r w:rsidR="00D17DFE">
        <w:rPr>
          <w:rFonts w:ascii="Arial" w:hAnsi="Arial" w:cs="Arial"/>
          <w:color w:val="000000"/>
          <w:sz w:val="22"/>
          <w:szCs w:val="22"/>
        </w:rPr>
        <w:t xml:space="preserve"> </w:t>
      </w:r>
      <w:r w:rsidRPr="00F01959">
        <w:rPr>
          <w:rFonts w:ascii="Arial" w:hAnsi="Arial" w:cs="Arial"/>
          <w:color w:val="000000"/>
          <w:sz w:val="22"/>
          <w:szCs w:val="22"/>
        </w:rPr>
        <w:t>Act (HIPAA) and operated under Institutional Review Board (IRB) approved protocols.</w:t>
      </w:r>
      <w:r w:rsidR="00D17DFE">
        <w:rPr>
          <w:rFonts w:ascii="Arial" w:hAnsi="Arial" w:cs="Arial"/>
          <w:color w:val="000000"/>
          <w:sz w:val="22"/>
          <w:szCs w:val="22"/>
        </w:rPr>
        <w:t xml:space="preserve"> </w:t>
      </w:r>
      <w:r w:rsidRPr="00F01959">
        <w:rPr>
          <w:rFonts w:ascii="Arial" w:hAnsi="Arial" w:cs="Arial"/>
          <w:color w:val="000000"/>
          <w:sz w:val="22"/>
          <w:szCs w:val="22"/>
        </w:rPr>
        <w:t>Experiments were conducted in accordance with local regulations and with the approval of the</w:t>
      </w:r>
      <w:r w:rsidR="00D17DFE">
        <w:rPr>
          <w:rFonts w:ascii="Arial" w:hAnsi="Arial" w:cs="Arial"/>
          <w:color w:val="000000"/>
          <w:sz w:val="22"/>
          <w:szCs w:val="22"/>
        </w:rPr>
        <w:t xml:space="preserve"> </w:t>
      </w:r>
      <w:r w:rsidRPr="00F01959">
        <w:rPr>
          <w:rFonts w:ascii="Arial" w:hAnsi="Arial" w:cs="Arial"/>
          <w:color w:val="000000"/>
          <w:sz w:val="22"/>
          <w:szCs w:val="22"/>
        </w:rPr>
        <w:t>IRB at Weill Cornell Medicine (IRB #21-05023569).</w:t>
      </w:r>
    </w:p>
    <w:p w14:paraId="45511986" w14:textId="3780425F" w:rsidR="00F01959" w:rsidRPr="00F01959" w:rsidRDefault="00965AF3" w:rsidP="00F01959">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Ethical approvals were ob</w:t>
      </w:r>
      <w:r w:rsidR="00CE5119">
        <w:rPr>
          <w:rFonts w:ascii="Arial" w:hAnsi="Arial" w:cs="Arial"/>
          <w:color w:val="000000"/>
          <w:sz w:val="22"/>
          <w:szCs w:val="22"/>
        </w:rPr>
        <w:t xml:space="preserve">tained from </w:t>
      </w:r>
      <w:r w:rsidR="00F01959" w:rsidRPr="00F01959">
        <w:rPr>
          <w:rFonts w:ascii="Arial" w:hAnsi="Arial" w:cs="Arial"/>
          <w:color w:val="000000"/>
          <w:sz w:val="22"/>
          <w:szCs w:val="22"/>
        </w:rPr>
        <w:t>NASA IRB (</w:t>
      </w:r>
      <w:r w:rsidR="00F679E0">
        <w:rPr>
          <w:rFonts w:ascii="Arial" w:hAnsi="Arial" w:cs="Arial"/>
          <w:color w:val="000000"/>
          <w:sz w:val="22"/>
          <w:szCs w:val="22"/>
        </w:rPr>
        <w:t>Canadian Space Agency [</w:t>
      </w:r>
      <w:r w:rsidR="00F01959" w:rsidRPr="00F01959">
        <w:rPr>
          <w:rFonts w:ascii="Arial" w:hAnsi="Arial" w:cs="Arial"/>
          <w:color w:val="000000"/>
          <w:sz w:val="22"/>
          <w:szCs w:val="22"/>
        </w:rPr>
        <w:t>CSA</w:t>
      </w:r>
      <w:r w:rsidR="00F679E0">
        <w:rPr>
          <w:rFonts w:ascii="Arial" w:hAnsi="Arial" w:cs="Arial"/>
          <w:color w:val="000000"/>
          <w:sz w:val="22"/>
          <w:szCs w:val="22"/>
        </w:rPr>
        <w:t>]</w:t>
      </w:r>
      <w:r w:rsidR="00F01959" w:rsidRPr="00F01959">
        <w:rPr>
          <w:rFonts w:ascii="Arial" w:hAnsi="Arial" w:cs="Arial"/>
          <w:color w:val="000000"/>
          <w:sz w:val="22"/>
          <w:szCs w:val="22"/>
        </w:rPr>
        <w:t xml:space="preserve"> defers to NASA's IRB</w:t>
      </w:r>
      <w:r w:rsidR="00D17DFE">
        <w:rPr>
          <w:rFonts w:ascii="Arial" w:hAnsi="Arial" w:cs="Arial"/>
          <w:color w:val="000000"/>
          <w:sz w:val="22"/>
          <w:szCs w:val="22"/>
        </w:rPr>
        <w:t xml:space="preserve"> in this instance</w:t>
      </w:r>
      <w:r w:rsidR="00F01959" w:rsidRPr="00F01959">
        <w:rPr>
          <w:rFonts w:ascii="Arial" w:hAnsi="Arial" w:cs="Arial"/>
          <w:color w:val="000000"/>
          <w:sz w:val="22"/>
          <w:szCs w:val="22"/>
        </w:rPr>
        <w:t xml:space="preserve">), ESA IRB, JAXA IRB for their respective crewmembers </w:t>
      </w:r>
      <w:r w:rsidR="00CE5119">
        <w:rPr>
          <w:rFonts w:ascii="Arial" w:hAnsi="Arial" w:cs="Arial"/>
          <w:color w:val="000000"/>
          <w:sz w:val="22"/>
          <w:szCs w:val="22"/>
        </w:rPr>
        <w:t>for</w:t>
      </w:r>
      <w:r w:rsidR="00F01959" w:rsidRPr="00F01959">
        <w:rPr>
          <w:rFonts w:ascii="Arial" w:hAnsi="Arial" w:cs="Arial"/>
          <w:color w:val="000000"/>
          <w:sz w:val="22"/>
          <w:szCs w:val="22"/>
        </w:rPr>
        <w:t xml:space="preserve"> Biochemical Profile (NASA IRB Pro0797) and Nutritional Status Assessment: SMO 016E (pro0326) projects.</w:t>
      </w:r>
      <w:r w:rsidR="00AF7F48">
        <w:rPr>
          <w:rFonts w:ascii="Arial" w:hAnsi="Arial" w:cs="Arial"/>
          <w:color w:val="000000"/>
          <w:sz w:val="22"/>
          <w:szCs w:val="22"/>
        </w:rPr>
        <w:t xml:space="preserve"> A</w:t>
      </w:r>
      <w:r w:rsidR="00AF7F48" w:rsidRPr="00AF7F48">
        <w:rPr>
          <w:rFonts w:ascii="Arial" w:hAnsi="Arial" w:cs="Arial"/>
          <w:color w:val="000000"/>
          <w:sz w:val="22"/>
          <w:szCs w:val="22"/>
        </w:rPr>
        <w:t>ll crews provided informed written consent prior to participation</w:t>
      </w:r>
      <w:r w:rsidR="00AF7F48">
        <w:rPr>
          <w:rFonts w:ascii="Arial" w:hAnsi="Arial" w:cs="Arial"/>
          <w:color w:val="000000"/>
          <w:sz w:val="22"/>
          <w:szCs w:val="22"/>
        </w:rPr>
        <w:t>.</w:t>
      </w:r>
    </w:p>
    <w:p w14:paraId="6AFE934A" w14:textId="77777777" w:rsidR="00CE5119" w:rsidRDefault="00F01959" w:rsidP="00F01959">
      <w:pPr>
        <w:pStyle w:val="NormalWeb"/>
        <w:spacing w:before="240" w:after="240" w:line="480" w:lineRule="auto"/>
        <w:ind w:left="-280"/>
        <w:jc w:val="both"/>
        <w:rPr>
          <w:rFonts w:ascii="Arial" w:hAnsi="Arial" w:cs="Arial"/>
          <w:color w:val="000000"/>
          <w:sz w:val="22"/>
          <w:szCs w:val="22"/>
        </w:rPr>
      </w:pPr>
      <w:r w:rsidRPr="00F01959">
        <w:rPr>
          <w:rFonts w:ascii="Arial" w:hAnsi="Arial" w:cs="Arial"/>
          <w:color w:val="000000"/>
          <w:sz w:val="22"/>
          <w:szCs w:val="22"/>
        </w:rPr>
        <w:t>The JAXA human spaceflight study was proposed to and supported by the 2014 International Life Sciences Research Announcements, JAXA, and NASA. Ethics committee approvals were obtained at the University of Tsukuba (No. 251, Nov. 27, 2015), JAXA (JX-IRBA-20-071, Aug. 30, 2016), NASA (Pro1995, Feb. 28, 2017), ESA (2017_04_09, Apr. 20, 2017). Informed consent was obtained by the personal information manager of the study, and de-identified samples were made available to researchers who performed sample processing and data analysis.</w:t>
      </w:r>
    </w:p>
    <w:p w14:paraId="7203B8DA" w14:textId="2F5387DA" w:rsidR="00CE5119" w:rsidRDefault="00CE5119" w:rsidP="00CE5119">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All</w:t>
      </w:r>
      <w:r w:rsidR="00B74F7A">
        <w:rPr>
          <w:rFonts w:ascii="Arial" w:hAnsi="Arial" w:cs="Arial"/>
          <w:color w:val="000000"/>
          <w:sz w:val="22"/>
          <w:szCs w:val="22"/>
        </w:rPr>
        <w:t xml:space="preserve"> other</w:t>
      </w:r>
      <w:r>
        <w:rPr>
          <w:rFonts w:ascii="Arial" w:hAnsi="Arial" w:cs="Arial"/>
          <w:color w:val="000000"/>
          <w:sz w:val="22"/>
          <w:szCs w:val="22"/>
        </w:rPr>
        <w:t xml:space="preserve"> human</w:t>
      </w:r>
      <w:r w:rsidR="00B74F7A">
        <w:rPr>
          <w:rFonts w:ascii="Arial" w:hAnsi="Arial" w:cs="Arial"/>
          <w:color w:val="000000"/>
          <w:sz w:val="22"/>
          <w:szCs w:val="22"/>
        </w:rPr>
        <w:t xml:space="preserve"> (from the literature</w:t>
      </w:r>
      <w:r w:rsidR="009333C6">
        <w:rPr>
          <w:rFonts w:ascii="Arial" w:hAnsi="Arial" w:cs="Arial"/>
          <w:color w:val="000000"/>
          <w:sz w:val="22"/>
          <w:szCs w:val="22"/>
        </w:rPr>
        <w:t>/databases</w:t>
      </w:r>
      <w:r w:rsidR="00B74F7A">
        <w:rPr>
          <w:rFonts w:ascii="Arial" w:hAnsi="Arial" w:cs="Arial"/>
          <w:color w:val="000000"/>
          <w:sz w:val="22"/>
          <w:szCs w:val="22"/>
        </w:rPr>
        <w:t>)</w:t>
      </w:r>
      <w:r>
        <w:rPr>
          <w:rFonts w:ascii="Arial" w:hAnsi="Arial" w:cs="Arial"/>
          <w:color w:val="000000"/>
          <w:sz w:val="22"/>
          <w:szCs w:val="22"/>
        </w:rPr>
        <w:t xml:space="preserve"> and animal experiments were approved by </w:t>
      </w:r>
      <w:r w:rsidRPr="00DF67AA">
        <w:rPr>
          <w:rFonts w:ascii="Arial" w:hAnsi="Arial" w:cs="Arial"/>
          <w:color w:val="000000"/>
          <w:sz w:val="22"/>
          <w:szCs w:val="22"/>
        </w:rPr>
        <w:t>institutional animal care and use committee</w:t>
      </w:r>
      <w:r>
        <w:rPr>
          <w:rFonts w:ascii="Arial" w:hAnsi="Arial" w:cs="Arial"/>
          <w:color w:val="000000"/>
          <w:sz w:val="22"/>
          <w:szCs w:val="22"/>
        </w:rPr>
        <w:t xml:space="preserve">s (IACUC/AREC) and human research ethics committees (HREC). In line with the principles of the 3Rs, extant data and tissues were used </w:t>
      </w:r>
      <w:r>
        <w:rPr>
          <w:rFonts w:ascii="Arial" w:hAnsi="Arial" w:cs="Arial"/>
          <w:color w:val="000000"/>
          <w:sz w:val="22"/>
          <w:szCs w:val="22"/>
        </w:rPr>
        <w:lastRenderedPageBreak/>
        <w:t xml:space="preserve">where possible to reduce the use of additional animals. Human data was anonymised, and group data averages were used where possible to maintain anonymity. </w:t>
      </w:r>
    </w:p>
    <w:p w14:paraId="1DE5E205" w14:textId="77777777" w:rsidR="000C6BD5" w:rsidRDefault="000C6BD5" w:rsidP="00CE5119">
      <w:pPr>
        <w:pStyle w:val="NormalWeb"/>
        <w:spacing w:before="240" w:beforeAutospacing="0" w:after="240" w:afterAutospacing="0" w:line="480" w:lineRule="auto"/>
        <w:ind w:left="-280"/>
        <w:jc w:val="both"/>
        <w:rPr>
          <w:rFonts w:ascii="Arial" w:hAnsi="Arial" w:cs="Arial"/>
          <w:color w:val="000000"/>
          <w:sz w:val="22"/>
          <w:szCs w:val="22"/>
        </w:rPr>
      </w:pPr>
    </w:p>
    <w:p w14:paraId="56324AF2" w14:textId="6B90A7DF" w:rsidR="00A04AE9" w:rsidRPr="009C25E3" w:rsidRDefault="00A04AE9" w:rsidP="00A04AE9">
      <w:pPr>
        <w:pStyle w:val="NormalWeb"/>
        <w:spacing w:before="240" w:beforeAutospacing="0" w:after="240" w:afterAutospacing="0" w:line="480" w:lineRule="auto"/>
        <w:ind w:left="-280"/>
        <w:jc w:val="both"/>
        <w:rPr>
          <w:rFonts w:ascii="Arial" w:hAnsi="Arial" w:cs="Arial"/>
          <w:b/>
          <w:bCs/>
          <w:color w:val="000000"/>
          <w:u w:val="single"/>
        </w:rPr>
      </w:pPr>
      <w:r w:rsidRPr="009C25E3">
        <w:rPr>
          <w:rFonts w:ascii="Arial" w:hAnsi="Arial" w:cs="Arial"/>
          <w:b/>
          <w:bCs/>
          <w:color w:val="000000"/>
          <w:u w:val="single"/>
        </w:rPr>
        <w:t>Epigenom</w:t>
      </w:r>
      <w:r w:rsidR="00746D6F" w:rsidRPr="009C25E3">
        <w:rPr>
          <w:rFonts w:ascii="Arial" w:hAnsi="Arial" w:cs="Arial"/>
          <w:b/>
          <w:bCs/>
          <w:color w:val="000000"/>
          <w:u w:val="single"/>
        </w:rPr>
        <w:t>e</w:t>
      </w:r>
    </w:p>
    <w:p w14:paraId="1D1CA6D8" w14:textId="24979F70" w:rsidR="00BC3400" w:rsidRDefault="00BC3400" w:rsidP="00A04AE9">
      <w:pPr>
        <w:pStyle w:val="NormalWeb"/>
        <w:spacing w:before="240" w:beforeAutospacing="0" w:after="240" w:afterAutospacing="0" w:line="480" w:lineRule="auto"/>
        <w:ind w:left="-280"/>
        <w:jc w:val="both"/>
        <w:rPr>
          <w:rFonts w:ascii="Arial" w:hAnsi="Arial" w:cs="Arial"/>
          <w:b/>
          <w:bCs/>
          <w:i/>
          <w:iCs/>
          <w:color w:val="000000"/>
          <w:sz w:val="22"/>
          <w:szCs w:val="22"/>
        </w:rPr>
      </w:pPr>
      <w:r w:rsidRPr="009C25E3">
        <w:rPr>
          <w:rFonts w:ascii="Arial" w:hAnsi="Arial" w:cs="Arial"/>
          <w:b/>
          <w:bCs/>
          <w:i/>
          <w:iCs/>
          <w:color w:val="000000"/>
          <w:sz w:val="22"/>
          <w:szCs w:val="22"/>
        </w:rPr>
        <w:t>Whole-genome bisulfite sequencing</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3C5011" w:rsidRPr="002E73F2" w14:paraId="50F3809D" w14:textId="77777777" w:rsidTr="00B36387">
        <w:trPr>
          <w:trHeight w:val="103"/>
        </w:trPr>
        <w:tc>
          <w:tcPr>
            <w:tcW w:w="1551" w:type="dxa"/>
            <w:vAlign w:val="center"/>
          </w:tcPr>
          <w:p w14:paraId="683333F6" w14:textId="7E2C6A86" w:rsidR="003C5011" w:rsidRPr="002E73F2" w:rsidRDefault="003C5011" w:rsidP="003C5011">
            <w:pPr>
              <w:pStyle w:val="NormalWeb"/>
              <w:spacing w:before="0" w:beforeAutospacing="0" w:after="0" w:afterAutospacing="0"/>
              <w:rPr>
                <w:rFonts w:ascii="Arial" w:hAnsi="Arial" w:cs="Arial"/>
                <w:b/>
                <w:bCs/>
                <w:color w:val="000000"/>
                <w:sz w:val="20"/>
                <w:szCs w:val="20"/>
              </w:rPr>
            </w:pPr>
            <w:r w:rsidRPr="002E73F2">
              <w:rPr>
                <w:rFonts w:ascii="Arial" w:hAnsi="Arial" w:cs="Arial"/>
                <w:b/>
                <w:bCs/>
                <w:color w:val="000000"/>
                <w:sz w:val="20"/>
                <w:szCs w:val="20"/>
              </w:rPr>
              <w:t>Cohort</w:t>
            </w:r>
          </w:p>
        </w:tc>
        <w:tc>
          <w:tcPr>
            <w:tcW w:w="1415" w:type="dxa"/>
            <w:vAlign w:val="center"/>
          </w:tcPr>
          <w:p w14:paraId="0F5D4361" w14:textId="4F2F9A93" w:rsidR="003C5011" w:rsidRPr="002E73F2" w:rsidRDefault="003C5011" w:rsidP="003C5011">
            <w:pPr>
              <w:pStyle w:val="NormalWeb"/>
              <w:spacing w:before="0" w:beforeAutospacing="0" w:after="0" w:afterAutospacing="0"/>
              <w:rPr>
                <w:rFonts w:ascii="Arial" w:hAnsi="Arial" w:cs="Arial"/>
                <w:b/>
                <w:bCs/>
                <w:color w:val="000000"/>
                <w:sz w:val="20"/>
                <w:szCs w:val="20"/>
              </w:rPr>
            </w:pPr>
            <w:r w:rsidRPr="002E73F2">
              <w:rPr>
                <w:rFonts w:ascii="Arial" w:hAnsi="Arial" w:cs="Arial"/>
                <w:b/>
                <w:bCs/>
                <w:color w:val="000000"/>
                <w:sz w:val="20"/>
                <w:szCs w:val="20"/>
              </w:rPr>
              <w:t>Specimen</w:t>
            </w:r>
          </w:p>
        </w:tc>
        <w:tc>
          <w:tcPr>
            <w:tcW w:w="1845" w:type="dxa"/>
            <w:vAlign w:val="center"/>
          </w:tcPr>
          <w:p w14:paraId="07EEA002" w14:textId="5ECEB9F0" w:rsidR="003C5011" w:rsidRPr="002E73F2" w:rsidRDefault="003C5011" w:rsidP="003C5011">
            <w:pPr>
              <w:pStyle w:val="NormalWeb"/>
              <w:spacing w:before="0" w:beforeAutospacing="0" w:after="0" w:afterAutospacing="0"/>
              <w:rPr>
                <w:rFonts w:ascii="Arial" w:hAnsi="Arial" w:cs="Arial"/>
                <w:b/>
                <w:bCs/>
                <w:color w:val="000000"/>
                <w:sz w:val="20"/>
                <w:szCs w:val="20"/>
              </w:rPr>
            </w:pPr>
            <w:r w:rsidRPr="002E73F2">
              <w:rPr>
                <w:rFonts w:ascii="Arial" w:hAnsi="Arial" w:cs="Arial"/>
                <w:b/>
                <w:bCs/>
                <w:color w:val="000000"/>
                <w:sz w:val="20"/>
                <w:szCs w:val="20"/>
              </w:rPr>
              <w:t>Experiment</w:t>
            </w:r>
          </w:p>
        </w:tc>
        <w:tc>
          <w:tcPr>
            <w:tcW w:w="1418" w:type="dxa"/>
            <w:vAlign w:val="center"/>
          </w:tcPr>
          <w:p w14:paraId="687D0FF1" w14:textId="54DB9C5D" w:rsidR="003C5011" w:rsidRPr="002E73F2" w:rsidRDefault="003C5011" w:rsidP="003C5011">
            <w:pPr>
              <w:pStyle w:val="NormalWeb"/>
              <w:spacing w:before="0" w:beforeAutospacing="0" w:after="0" w:afterAutospacing="0"/>
              <w:rPr>
                <w:rFonts w:ascii="Arial" w:hAnsi="Arial" w:cs="Arial"/>
                <w:b/>
                <w:bCs/>
                <w:color w:val="000000"/>
                <w:sz w:val="20"/>
                <w:szCs w:val="20"/>
              </w:rPr>
            </w:pPr>
            <w:r w:rsidRPr="002E73F2">
              <w:rPr>
                <w:rFonts w:ascii="Arial" w:hAnsi="Arial" w:cs="Arial"/>
                <w:b/>
                <w:bCs/>
                <w:color w:val="000000"/>
                <w:sz w:val="20"/>
                <w:szCs w:val="20"/>
              </w:rPr>
              <w:t>Raw Data</w:t>
            </w:r>
          </w:p>
        </w:tc>
        <w:tc>
          <w:tcPr>
            <w:tcW w:w="1276" w:type="dxa"/>
          </w:tcPr>
          <w:p w14:paraId="20D978A1" w14:textId="15B3BCC3" w:rsidR="003C5011" w:rsidRPr="002E73F2" w:rsidRDefault="003C5011" w:rsidP="003C5011">
            <w:pPr>
              <w:pStyle w:val="NormalWeb"/>
              <w:spacing w:before="0" w:beforeAutospacing="0" w:after="0" w:afterAutospacing="0"/>
              <w:rPr>
                <w:rFonts w:ascii="Arial" w:hAnsi="Arial" w:cs="Arial"/>
                <w:b/>
                <w:bCs/>
                <w:sz w:val="20"/>
                <w:szCs w:val="20"/>
              </w:rPr>
            </w:pPr>
            <w:r>
              <w:rPr>
                <w:rFonts w:ascii="Arial" w:hAnsi="Arial" w:cs="Arial"/>
                <w:b/>
                <w:bCs/>
                <w:color w:val="000000"/>
                <w:sz w:val="20"/>
                <w:szCs w:val="20"/>
              </w:rPr>
              <w:t>Processed</w:t>
            </w:r>
          </w:p>
        </w:tc>
        <w:tc>
          <w:tcPr>
            <w:tcW w:w="1791" w:type="dxa"/>
            <w:vAlign w:val="center"/>
          </w:tcPr>
          <w:p w14:paraId="51F5776D" w14:textId="361D60DE" w:rsidR="003C5011" w:rsidRPr="002E73F2" w:rsidRDefault="003C5011" w:rsidP="003C5011">
            <w:pPr>
              <w:pStyle w:val="NormalWeb"/>
              <w:spacing w:before="0" w:beforeAutospacing="0" w:after="0" w:afterAutospacing="0"/>
              <w:rPr>
                <w:rFonts w:ascii="Arial" w:hAnsi="Arial" w:cs="Arial"/>
                <w:b/>
                <w:bCs/>
                <w:color w:val="000000"/>
                <w:sz w:val="20"/>
                <w:szCs w:val="20"/>
              </w:rPr>
            </w:pPr>
            <w:r w:rsidRPr="002E73F2">
              <w:rPr>
                <w:rFonts w:ascii="Arial" w:hAnsi="Arial" w:cs="Arial"/>
                <w:b/>
                <w:bCs/>
                <w:color w:val="000000"/>
                <w:sz w:val="20"/>
                <w:szCs w:val="20"/>
              </w:rPr>
              <w:t>Analysis</w:t>
            </w:r>
          </w:p>
        </w:tc>
      </w:tr>
      <w:tr w:rsidR="003C5011" w:rsidRPr="002E73F2" w14:paraId="0DE069D6" w14:textId="77777777" w:rsidTr="00B36387">
        <w:trPr>
          <w:trHeight w:val="103"/>
        </w:trPr>
        <w:tc>
          <w:tcPr>
            <w:tcW w:w="1551" w:type="dxa"/>
          </w:tcPr>
          <w:p w14:paraId="2899F615" w14:textId="21B4C288" w:rsidR="003C5011" w:rsidRPr="002E73F2" w:rsidRDefault="003C5011" w:rsidP="003C5011">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RR-1</w:t>
            </w:r>
          </w:p>
        </w:tc>
        <w:tc>
          <w:tcPr>
            <w:tcW w:w="1415" w:type="dxa"/>
          </w:tcPr>
          <w:p w14:paraId="35823E73" w14:textId="08AFF600" w:rsidR="003C5011" w:rsidRPr="002E73F2" w:rsidRDefault="003C5011" w:rsidP="003C5011">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Kidney</w:t>
            </w:r>
          </w:p>
        </w:tc>
        <w:tc>
          <w:tcPr>
            <w:tcW w:w="1845" w:type="dxa"/>
            <w:vAlign w:val="center"/>
          </w:tcPr>
          <w:p w14:paraId="60A28BCE" w14:textId="05BE592B" w:rsidR="003C5011" w:rsidRPr="002E73F2" w:rsidRDefault="00406534" w:rsidP="003C5011">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{"citationID":"3FWEDY2l","properties":{"formattedCitation":"\\super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418" w:type="dxa"/>
            <w:vAlign w:val="center"/>
          </w:tcPr>
          <w:p w14:paraId="56DA495B" w14:textId="629F53FA" w:rsidR="003C5011" w:rsidRPr="002E73F2" w:rsidRDefault="00406534" w:rsidP="003C5011">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{"citationID":"VGav7nYm","properties":{"formattedCitation":"\\super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276" w:type="dxa"/>
          </w:tcPr>
          <w:p w14:paraId="0F3D1B00" w14:textId="6B0DB332" w:rsidR="003C5011" w:rsidRPr="002E73F2" w:rsidRDefault="00406534" w:rsidP="003C5011">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476A30">
              <w:rPr>
                <w:rFonts w:ascii="Arial" w:hAnsi="Arial" w:cs="Arial"/>
                <w:sz w:val="20"/>
                <w:szCs w:val="20"/>
              </w:rPr>
              <w:instrText xml:space="preserve"> ADDIN ZOTERO_ITEM CSL_CITATION {"citationID":"bnA1oSSk","properties":{"formattedCitation":"\\super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sz w:val="20"/>
                <w:szCs w:val="20"/>
              </w:rPr>
              <w:fldChar w:fldCharType="separate"/>
            </w:r>
            <w:r w:rsidRPr="00406534">
              <w:rPr>
                <w:rFonts w:ascii="Arial" w:hAnsi="Arial" w:cs="Arial"/>
                <w:sz w:val="20"/>
                <w:vertAlign w:val="superscript"/>
              </w:rPr>
              <w:t>2</w:t>
            </w:r>
            <w:r>
              <w:rPr>
                <w:rFonts w:ascii="Arial" w:hAnsi="Arial" w:cs="Arial"/>
                <w:sz w:val="20"/>
                <w:szCs w:val="20"/>
              </w:rPr>
              <w:fldChar w:fldCharType="end"/>
            </w:r>
          </w:p>
        </w:tc>
        <w:tc>
          <w:tcPr>
            <w:tcW w:w="1791" w:type="dxa"/>
            <w:vAlign w:val="center"/>
          </w:tcPr>
          <w:p w14:paraId="36419AE7" w14:textId="63F50A1A" w:rsidR="003C5011" w:rsidRPr="002E73F2" w:rsidRDefault="00406534" w:rsidP="003C5011">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{"citationID":"eM0WAM01","properties":{"formattedCitation":"\\super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2</w:t>
            </w:r>
            <w:r>
              <w:rPr>
                <w:rFonts w:ascii="Arial" w:hAnsi="Arial" w:cs="Arial"/>
                <w:color w:val="000000"/>
                <w:sz w:val="20"/>
                <w:szCs w:val="20"/>
              </w:rPr>
              <w:fldChar w:fldCharType="end"/>
            </w:r>
          </w:p>
        </w:tc>
      </w:tr>
      <w:tr w:rsidR="003C5011" w:rsidRPr="002E73F2" w14:paraId="094D13FC" w14:textId="77777777" w:rsidTr="00B36387">
        <w:trPr>
          <w:trHeight w:val="103"/>
        </w:trPr>
        <w:tc>
          <w:tcPr>
            <w:tcW w:w="1551" w:type="dxa"/>
          </w:tcPr>
          <w:p w14:paraId="7548E904" w14:textId="28CA60B9" w:rsidR="003C5011" w:rsidRPr="002E73F2" w:rsidRDefault="003C5011" w:rsidP="003C5011">
            <w:pPr>
              <w:pStyle w:val="NormalWeb"/>
              <w:spacing w:before="0" w:beforeAutospacing="0" w:after="0" w:afterAutospacing="0"/>
              <w:rPr>
                <w:rFonts w:ascii="Arial" w:hAnsi="Arial" w:cs="Arial"/>
                <w:sz w:val="20"/>
                <w:szCs w:val="20"/>
              </w:rPr>
            </w:pPr>
            <w:r w:rsidRPr="002E73F2">
              <w:rPr>
                <w:rFonts w:ascii="Arial" w:hAnsi="Arial" w:cs="Arial"/>
                <w:sz w:val="20"/>
                <w:szCs w:val="20"/>
              </w:rPr>
              <w:t>RR-3</w:t>
            </w:r>
          </w:p>
        </w:tc>
        <w:tc>
          <w:tcPr>
            <w:tcW w:w="1415" w:type="dxa"/>
          </w:tcPr>
          <w:p w14:paraId="09203A17" w14:textId="0CA8B8F3" w:rsidR="003C5011" w:rsidRPr="002E73F2" w:rsidRDefault="003C5011" w:rsidP="003C5011">
            <w:pPr>
              <w:pStyle w:val="NormalWeb"/>
              <w:spacing w:before="0" w:beforeAutospacing="0" w:after="0" w:afterAutospacing="0"/>
              <w:rPr>
                <w:rFonts w:ascii="Arial" w:hAnsi="Arial" w:cs="Arial"/>
                <w:sz w:val="20"/>
                <w:szCs w:val="20"/>
              </w:rPr>
            </w:pPr>
            <w:r w:rsidRPr="002E73F2">
              <w:rPr>
                <w:rFonts w:ascii="Arial" w:hAnsi="Arial" w:cs="Arial"/>
                <w:sz w:val="20"/>
                <w:szCs w:val="20"/>
              </w:rPr>
              <w:t>Kidney</w:t>
            </w:r>
          </w:p>
        </w:tc>
        <w:tc>
          <w:tcPr>
            <w:tcW w:w="1845" w:type="dxa"/>
            <w:vAlign w:val="center"/>
          </w:tcPr>
          <w:p w14:paraId="34612CBE" w14:textId="51D7F3AA" w:rsidR="003C5011" w:rsidRPr="002E73F2" w:rsidRDefault="00406534" w:rsidP="003C5011">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{"citationID":"epUVFpkc","properties":{"formattedCitation":"\\super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c>
          <w:tcPr>
            <w:tcW w:w="1418" w:type="dxa"/>
            <w:vAlign w:val="center"/>
          </w:tcPr>
          <w:p w14:paraId="0EFE4B32" w14:textId="429C15E7" w:rsidR="003C5011" w:rsidRPr="002E73F2" w:rsidRDefault="00406534" w:rsidP="003C5011">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{"citationID":"xkcYhfuH","properties":{"formattedCitation":"\\super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c>
          <w:tcPr>
            <w:tcW w:w="1276" w:type="dxa"/>
          </w:tcPr>
          <w:p w14:paraId="4C976C4B" w14:textId="2F0CA540" w:rsidR="003C5011" w:rsidRPr="002E73F2" w:rsidRDefault="00406534" w:rsidP="003C5011">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476A30">
              <w:rPr>
                <w:rFonts w:ascii="Arial" w:hAnsi="Arial" w:cs="Arial"/>
                <w:sz w:val="20"/>
                <w:szCs w:val="20"/>
              </w:rPr>
              <w:instrText xml:space="preserve"> ADDIN ZOTERO_ITEM CSL_CITATION {"citationID":"aNmiQNWc","properties":{"formattedCitation":"\\super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sz w:val="20"/>
                <w:szCs w:val="20"/>
              </w:rPr>
              <w:fldChar w:fldCharType="separate"/>
            </w:r>
            <w:r w:rsidRPr="00406534">
              <w:rPr>
                <w:rFonts w:ascii="Arial" w:hAnsi="Arial" w:cs="Arial"/>
                <w:sz w:val="20"/>
                <w:vertAlign w:val="superscript"/>
              </w:rPr>
              <w:t>2</w:t>
            </w:r>
            <w:r>
              <w:rPr>
                <w:rFonts w:ascii="Arial" w:hAnsi="Arial" w:cs="Arial"/>
                <w:sz w:val="20"/>
                <w:szCs w:val="20"/>
              </w:rPr>
              <w:fldChar w:fldCharType="end"/>
            </w:r>
          </w:p>
        </w:tc>
        <w:tc>
          <w:tcPr>
            <w:tcW w:w="1791" w:type="dxa"/>
            <w:vAlign w:val="center"/>
          </w:tcPr>
          <w:p w14:paraId="68225CC0" w14:textId="1658362D" w:rsidR="003C5011" w:rsidRPr="002E73F2" w:rsidRDefault="00406534" w:rsidP="003C5011">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476A30">
              <w:rPr>
                <w:rFonts w:ascii="Arial" w:hAnsi="Arial" w:cs="Arial"/>
                <w:sz w:val="20"/>
                <w:szCs w:val="20"/>
              </w:rPr>
              <w:instrText xml:space="preserve"> ADDIN ZOTERO_ITEM CSL_CITATION {"citationID":"U00iCaTE","properties":{"formattedCitation":"\\super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sz w:val="20"/>
                <w:szCs w:val="20"/>
              </w:rPr>
              <w:fldChar w:fldCharType="separate"/>
            </w:r>
            <w:r w:rsidRPr="00406534">
              <w:rPr>
                <w:rFonts w:ascii="Arial" w:hAnsi="Arial" w:cs="Arial"/>
                <w:sz w:val="20"/>
                <w:vertAlign w:val="superscript"/>
              </w:rPr>
              <w:t>2</w:t>
            </w:r>
            <w:r>
              <w:rPr>
                <w:rFonts w:ascii="Arial" w:hAnsi="Arial" w:cs="Arial"/>
                <w:sz w:val="20"/>
                <w:szCs w:val="20"/>
              </w:rPr>
              <w:fldChar w:fldCharType="end"/>
            </w:r>
          </w:p>
        </w:tc>
      </w:tr>
    </w:tbl>
    <w:p w14:paraId="4169FA40" w14:textId="668E0BDE" w:rsidR="00BC3400" w:rsidRPr="002E73F2" w:rsidRDefault="00BC3400" w:rsidP="00BC3400">
      <w:pPr>
        <w:pStyle w:val="NormalWeb"/>
        <w:spacing w:before="240" w:beforeAutospacing="0" w:after="240" w:afterAutospacing="0" w:line="480" w:lineRule="auto"/>
        <w:ind w:left="-280"/>
        <w:jc w:val="both"/>
        <w:rPr>
          <w:rFonts w:ascii="Arial" w:hAnsi="Arial" w:cs="Arial"/>
          <w:color w:val="000000"/>
          <w:sz w:val="22"/>
          <w:szCs w:val="22"/>
        </w:rPr>
      </w:pPr>
    </w:p>
    <w:p w14:paraId="0608B069" w14:textId="27E14DA9" w:rsidR="00BC3400" w:rsidRPr="009C25E3" w:rsidRDefault="00BC3400" w:rsidP="00BC3400">
      <w:pPr>
        <w:pStyle w:val="NormalWeb"/>
        <w:spacing w:before="240" w:beforeAutospacing="0" w:after="240" w:afterAutospacing="0" w:line="480" w:lineRule="auto"/>
        <w:ind w:left="-280"/>
        <w:jc w:val="both"/>
        <w:rPr>
          <w:rFonts w:ascii="Arial" w:hAnsi="Arial" w:cs="Arial"/>
          <w:b/>
          <w:bCs/>
          <w:color w:val="000000"/>
          <w:u w:val="single"/>
        </w:rPr>
      </w:pPr>
      <w:r w:rsidRPr="009C25E3">
        <w:rPr>
          <w:rFonts w:ascii="Arial" w:hAnsi="Arial" w:cs="Arial"/>
          <w:b/>
          <w:bCs/>
          <w:color w:val="000000"/>
          <w:u w:val="single"/>
        </w:rPr>
        <w:t>Transcriptome</w:t>
      </w:r>
    </w:p>
    <w:p w14:paraId="16644F70" w14:textId="411AA1F3" w:rsidR="00BC3400" w:rsidRPr="009C25E3" w:rsidRDefault="002E73F2" w:rsidP="00BC3400">
      <w:pPr>
        <w:pStyle w:val="NormalWeb"/>
        <w:spacing w:before="240" w:beforeAutospacing="0" w:after="240" w:afterAutospacing="0" w:line="480" w:lineRule="auto"/>
        <w:ind w:left="-280"/>
        <w:jc w:val="both"/>
        <w:rPr>
          <w:rFonts w:ascii="Arial" w:hAnsi="Arial" w:cs="Arial"/>
          <w:b/>
          <w:bCs/>
          <w:i/>
          <w:iCs/>
          <w:color w:val="000000"/>
          <w:sz w:val="22"/>
          <w:szCs w:val="22"/>
        </w:rPr>
      </w:pPr>
      <w:r w:rsidRPr="009C25E3">
        <w:rPr>
          <w:rFonts w:ascii="Arial" w:hAnsi="Arial" w:cs="Arial"/>
          <w:b/>
          <w:bCs/>
          <w:i/>
          <w:iCs/>
          <w:color w:val="000000"/>
          <w:sz w:val="22"/>
          <w:szCs w:val="22"/>
        </w:rPr>
        <w:t>Bulk RNA sequencing</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033C71" w:rsidRPr="002E73F2" w14:paraId="10467EF2" w14:textId="77777777" w:rsidTr="0036382E">
        <w:trPr>
          <w:trHeight w:val="103"/>
        </w:trPr>
        <w:tc>
          <w:tcPr>
            <w:tcW w:w="1551" w:type="dxa"/>
          </w:tcPr>
          <w:p w14:paraId="604E3F13" w14:textId="1D4EE3F4" w:rsidR="00033C71" w:rsidRPr="002E73F2" w:rsidRDefault="00033C71" w:rsidP="002E73F2">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5" w:type="dxa"/>
          </w:tcPr>
          <w:p w14:paraId="34D698D0" w14:textId="6C7EBE13" w:rsidR="00033C71" w:rsidRPr="002E73F2" w:rsidRDefault="00033C71" w:rsidP="002E73F2">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27B14665" w14:textId="490957A6" w:rsidR="00033C71" w:rsidRPr="002E73F2" w:rsidRDefault="00033C71" w:rsidP="002E73F2">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56E65A92" w14:textId="378EA2A4" w:rsidR="00033C71" w:rsidRPr="002E73F2" w:rsidRDefault="00033C71" w:rsidP="002E73F2">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1248A317" w14:textId="2AA7F490" w:rsidR="00033C71" w:rsidRPr="002E73F2" w:rsidRDefault="00033C71" w:rsidP="002E73F2">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5E2D709F" w14:textId="226EDE08" w:rsidR="00033C71" w:rsidRPr="002E73F2" w:rsidRDefault="00033C71" w:rsidP="002E73F2">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033C71" w:rsidRPr="002E73F2" w14:paraId="416BF16C" w14:textId="77777777" w:rsidTr="0036382E">
        <w:trPr>
          <w:trHeight w:val="103"/>
        </w:trPr>
        <w:tc>
          <w:tcPr>
            <w:tcW w:w="1551" w:type="dxa"/>
          </w:tcPr>
          <w:p w14:paraId="7B80D510" w14:textId="23C3AE68" w:rsidR="00033C71" w:rsidRPr="002E73F2" w:rsidRDefault="00033C71" w:rsidP="002E73F2">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RR-1</w:t>
            </w:r>
          </w:p>
        </w:tc>
        <w:tc>
          <w:tcPr>
            <w:tcW w:w="1415" w:type="dxa"/>
          </w:tcPr>
          <w:p w14:paraId="187ACE23" w14:textId="07694057" w:rsidR="00033C71" w:rsidRPr="002E73F2" w:rsidRDefault="00033C71" w:rsidP="002E73F2">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Kidney</w:t>
            </w:r>
          </w:p>
        </w:tc>
        <w:tc>
          <w:tcPr>
            <w:tcW w:w="1845" w:type="dxa"/>
          </w:tcPr>
          <w:p w14:paraId="3A42C9FD" w14:textId="56F64D98" w:rsidR="00033C71" w:rsidRPr="002E73F2" w:rsidRDefault="00406534"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{"citationID":"7CU4Ipib","properties":{"formattedCitation":"\\super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418" w:type="dxa"/>
          </w:tcPr>
          <w:p w14:paraId="2F4BCE5F" w14:textId="4C78CFEB" w:rsidR="00033C71" w:rsidRPr="002E73F2" w:rsidRDefault="00406534"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{"citationID":"RjRlxvd4","properties":{"formattedCitation":"\\super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276" w:type="dxa"/>
          </w:tcPr>
          <w:p w14:paraId="6CE474B0" w14:textId="6E7E1B51" w:rsidR="00033C71" w:rsidRPr="002E73F2" w:rsidRDefault="00406534" w:rsidP="002E73F2">
            <w:pPr>
              <w:pStyle w:val="NormalWeb"/>
              <w:spacing w:before="0" w:beforeAutospacing="0" w:after="0" w:afterAutospacing="0"/>
              <w:rPr>
                <w:rFonts w:ascii="Arial" w:hAnsi="Arial" w:cs="Arial"/>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{"citationID":"nU8xfGDZ","properties":{"formattedCitation":"\\super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791" w:type="dxa"/>
          </w:tcPr>
          <w:p w14:paraId="0A38D5BA" w14:textId="4EC604C1" w:rsidR="00033C71" w:rsidRPr="002E73F2" w:rsidRDefault="00406534"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{"citationID":"LIPZhmM2","properties":{"formattedCitation":"\\super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r>
      <w:tr w:rsidR="00033C71" w:rsidRPr="002E73F2" w14:paraId="50ABBDF8" w14:textId="77777777" w:rsidTr="0036382E">
        <w:trPr>
          <w:trHeight w:val="103"/>
        </w:trPr>
        <w:tc>
          <w:tcPr>
            <w:tcW w:w="1551" w:type="dxa"/>
          </w:tcPr>
          <w:p w14:paraId="7C115C27" w14:textId="52AB3EEC"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RR-3</w:t>
            </w:r>
          </w:p>
        </w:tc>
        <w:tc>
          <w:tcPr>
            <w:tcW w:w="1415" w:type="dxa"/>
          </w:tcPr>
          <w:p w14:paraId="410933A9" w14:textId="0E99D148"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Kidney</w:t>
            </w:r>
          </w:p>
        </w:tc>
        <w:tc>
          <w:tcPr>
            <w:tcW w:w="1845" w:type="dxa"/>
          </w:tcPr>
          <w:p w14:paraId="190FBF07" w14:textId="1003AA19"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{"citationID":"XJh9E3G3","properties":{"formattedCitation":"\\super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c>
          <w:tcPr>
            <w:tcW w:w="1418" w:type="dxa"/>
          </w:tcPr>
          <w:p w14:paraId="0C2020D9" w14:textId="46A27C6A"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{"citationID":"zL7s33mk","properties":{"formattedCitation":"\\super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c>
          <w:tcPr>
            <w:tcW w:w="1276" w:type="dxa"/>
          </w:tcPr>
          <w:p w14:paraId="03A94197" w14:textId="19673C03" w:rsidR="00033C71" w:rsidRPr="002E73F2" w:rsidRDefault="00FF78DD" w:rsidP="002E73F2">
            <w:pPr>
              <w:pStyle w:val="NormalWeb"/>
              <w:spacing w:before="0" w:beforeAutospacing="0" w:after="0" w:afterAutospacing="0"/>
              <w:rPr>
                <w:rFonts w:ascii="Arial" w:hAnsi="Arial" w:cs="Arial"/>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{"citationID":"huBZa68t","properties":{"formattedCitation":"\\super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c>
          <w:tcPr>
            <w:tcW w:w="1791" w:type="dxa"/>
          </w:tcPr>
          <w:p w14:paraId="4798EC3D" w14:textId="73F19F50"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{"citationID":"nkcWfAGV","properties":{"formattedCitation":"\\super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r>
      <w:tr w:rsidR="00033C71" w:rsidRPr="002E73F2" w14:paraId="079102B6" w14:textId="77777777" w:rsidTr="0036382E">
        <w:trPr>
          <w:trHeight w:val="103"/>
        </w:trPr>
        <w:tc>
          <w:tcPr>
            <w:tcW w:w="1551" w:type="dxa"/>
          </w:tcPr>
          <w:p w14:paraId="475C70ED" w14:textId="7A3B7AC1"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 xml:space="preserve">RR-7 </w:t>
            </w:r>
          </w:p>
        </w:tc>
        <w:tc>
          <w:tcPr>
            <w:tcW w:w="1415" w:type="dxa"/>
          </w:tcPr>
          <w:p w14:paraId="40651967" w14:textId="56E1267D"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Kidney</w:t>
            </w:r>
          </w:p>
        </w:tc>
        <w:tc>
          <w:tcPr>
            <w:tcW w:w="1845" w:type="dxa"/>
          </w:tcPr>
          <w:p w14:paraId="018C4E14" w14:textId="2E297DE0"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{"citationID":"HR0EKEbp","properties":{"formattedCitation":"\\super 4\\nosupersub{}","plainCitation":"4","noteIndex":0},"citationItems":[{"id":15888,"uris":["http://zotero.org/users/1547967/items/VB4FLQPC"],"itemData":{"id":15888,"type":"webpage","title":"NASA OSDR: Open Science for Life in Space","URL":"https://osdr.nasa.gov/bio/repo/data/studies/OSD-253","accessed":{"date-parts":[["2023",5,25]]}}}],"schema":"https://github.com/citation-style-language/schema/raw/master/csl-citation.json"}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4</w:t>
            </w:r>
            <w:r>
              <w:rPr>
                <w:rFonts w:ascii="Arial" w:hAnsi="Arial" w:cs="Arial"/>
                <w:color w:val="000000"/>
                <w:sz w:val="20"/>
                <w:szCs w:val="20"/>
              </w:rPr>
              <w:fldChar w:fldCharType="end"/>
            </w:r>
          </w:p>
        </w:tc>
        <w:tc>
          <w:tcPr>
            <w:tcW w:w="1418" w:type="dxa"/>
          </w:tcPr>
          <w:p w14:paraId="7E9BF794" w14:textId="771CC9E0"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{"citationID":"i11P4j0N","properties":{"formattedCitation":"\\super 4\\nosupersub{}","plainCitation":"4","noteIndex":0},"citationItems":[{"id":15888,"uris":["http://zotero.org/users/1547967/items/VB4FLQPC"],"itemData":{"id":15888,"type":"webpage","title":"NASA OSDR: Open Science for Life in Space","URL":"https://osdr.nasa.gov/bio/repo/data/studies/OSD-253","accessed":{"date-parts":[["2023",5,25]]}}}],"schema":"https://github.com/citation-style-language/schema/raw/master/csl-citation.json"}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4</w:t>
            </w:r>
            <w:r>
              <w:rPr>
                <w:rFonts w:ascii="Arial" w:hAnsi="Arial" w:cs="Arial"/>
                <w:color w:val="000000"/>
                <w:sz w:val="20"/>
                <w:szCs w:val="20"/>
              </w:rPr>
              <w:fldChar w:fldCharType="end"/>
            </w:r>
          </w:p>
        </w:tc>
        <w:tc>
          <w:tcPr>
            <w:tcW w:w="1276" w:type="dxa"/>
          </w:tcPr>
          <w:p w14:paraId="09B83683" w14:textId="70CA6942" w:rsidR="00033C71"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{"citationID":"sZFreL2M","properties":{"formattedCitation":"\\super 4\\nosupersub{}","plainCitation":"4","noteIndex":0},"citationItems":[{"id":15888,"uris":["http://zotero.org/users/1547967/items/VB4FLQPC"],"itemData":{"id":15888,"type":"webpage","title":"NASA OSDR: Open Science for Life in Space","URL":"https://osdr.nasa.gov/bio/repo/data/studies/OSD-253","accessed":{"date-parts":[["2023",5,25]]}}}],"schema":"https://github.com/citation-style-language/schema/raw/master/csl-citation.json"}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4</w:t>
            </w:r>
            <w:r>
              <w:rPr>
                <w:rFonts w:ascii="Arial" w:hAnsi="Arial" w:cs="Arial"/>
                <w:color w:val="000000"/>
                <w:sz w:val="20"/>
                <w:szCs w:val="20"/>
              </w:rPr>
              <w:fldChar w:fldCharType="end"/>
            </w:r>
          </w:p>
        </w:tc>
        <w:tc>
          <w:tcPr>
            <w:tcW w:w="1791" w:type="dxa"/>
          </w:tcPr>
          <w:p w14:paraId="4075F050" w14:textId="1DA08D7A"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{"citationID":"PLKQloVd","properties":{"formattedCitation":"\\super 4\\nosupersub{}","plainCitation":"4","noteIndex":0},"citationItems":[{"id":15888,"uris":["http://zotero.org/users/1547967/items/VB4FLQPC"],"itemData":{"id":15888,"type":"webpage","title":"NASA OSDR: Open Science for Life in Space","URL":"https://osdr.nasa.gov/bio/repo/data/studies/OSD-253","accessed":{"date-parts":[["2023",5,25]]}}}],"schema":"https://github.com/citation-style-language/schema/raw/master/csl-citation.json"}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4</w:t>
            </w:r>
            <w:r>
              <w:rPr>
                <w:rFonts w:ascii="Arial" w:hAnsi="Arial" w:cs="Arial"/>
                <w:color w:val="000000"/>
                <w:sz w:val="20"/>
                <w:szCs w:val="20"/>
              </w:rPr>
              <w:fldChar w:fldCharType="end"/>
            </w:r>
          </w:p>
        </w:tc>
      </w:tr>
      <w:tr w:rsidR="00033C71" w:rsidRPr="002E73F2" w14:paraId="35F4E930" w14:textId="77777777" w:rsidTr="0036382E">
        <w:trPr>
          <w:trHeight w:val="103"/>
        </w:trPr>
        <w:tc>
          <w:tcPr>
            <w:tcW w:w="1551" w:type="dxa"/>
          </w:tcPr>
          <w:p w14:paraId="142A3C76" w14:textId="168E644D"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RR-10</w:t>
            </w:r>
          </w:p>
        </w:tc>
        <w:tc>
          <w:tcPr>
            <w:tcW w:w="1415" w:type="dxa"/>
          </w:tcPr>
          <w:p w14:paraId="335E2EA2" w14:textId="6FAA9E1C"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Kidney</w:t>
            </w:r>
          </w:p>
        </w:tc>
        <w:tc>
          <w:tcPr>
            <w:tcW w:w="1845" w:type="dxa"/>
          </w:tcPr>
          <w:p w14:paraId="3F2FDB26" w14:textId="5AEA6CEF"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{"citationID":"V5GGF2Do","properties":{"formattedCitation":"\\super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418" w:type="dxa"/>
          </w:tcPr>
          <w:p w14:paraId="29F71E48" w14:textId="67E07EF4"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{"citationID":"oeAW7st4","properties":{"formattedCitation":"\\super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276" w:type="dxa"/>
          </w:tcPr>
          <w:p w14:paraId="2CC4922B" w14:textId="281BBEBA" w:rsidR="00033C71"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{"citationID":"wruGIhua","properties":{"formattedCitation":"\\super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791" w:type="dxa"/>
          </w:tcPr>
          <w:p w14:paraId="0851674F" w14:textId="7542CF34"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{"citationID":"unLew1wn","properties":{"formattedCitation":"\\super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r>
      <w:tr w:rsidR="00033C71" w:rsidRPr="002E73F2" w14:paraId="00E3C97A" w14:textId="77777777" w:rsidTr="0036382E">
        <w:trPr>
          <w:trHeight w:val="103"/>
        </w:trPr>
        <w:tc>
          <w:tcPr>
            <w:tcW w:w="1551" w:type="dxa"/>
          </w:tcPr>
          <w:p w14:paraId="2FA5C53A" w14:textId="7F808497"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RR-23</w:t>
            </w:r>
          </w:p>
        </w:tc>
        <w:tc>
          <w:tcPr>
            <w:tcW w:w="1415" w:type="dxa"/>
          </w:tcPr>
          <w:p w14:paraId="058C03DC" w14:textId="006B8EC5" w:rsidR="00033C71" w:rsidRPr="002E73F2" w:rsidRDefault="00033C71" w:rsidP="002E73F2">
            <w:pPr>
              <w:pStyle w:val="NormalWeb"/>
              <w:spacing w:before="0" w:beforeAutospacing="0" w:after="0" w:afterAutospacing="0"/>
              <w:rPr>
                <w:rFonts w:ascii="Arial" w:hAnsi="Arial" w:cs="Arial"/>
                <w:sz w:val="20"/>
                <w:szCs w:val="20"/>
              </w:rPr>
            </w:pPr>
            <w:r w:rsidRPr="002E73F2">
              <w:rPr>
                <w:rFonts w:ascii="Arial" w:hAnsi="Arial" w:cs="Arial"/>
                <w:sz w:val="20"/>
                <w:szCs w:val="20"/>
              </w:rPr>
              <w:t>Kidney</w:t>
            </w:r>
          </w:p>
        </w:tc>
        <w:tc>
          <w:tcPr>
            <w:tcW w:w="1845" w:type="dxa"/>
          </w:tcPr>
          <w:p w14:paraId="677CD4D4" w14:textId="02C640C9"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{"citationID":"X9W3gh3K","properties":{"formattedCitation":"\\super 6\\nosupersub{}","plainCitation":"6","noteIndex":0},"citationItems":[{"id":15955,"uris":["http://zotero.org/users/1547967/items/TYYQNF3H"],"itemData":{"id":15955,"type":"webpage","title":"NASA OSDR: Open Science for Life in Space","URL":"https://osdr.nasa.gov/bio/repo/data/studies/OSD-513","accessed":{"date-parts":[["2023",5,25]]}}}],"schema":"https://github.com/citation-style-language/schema/raw/master/csl-citation.json"}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6</w:t>
            </w:r>
            <w:r>
              <w:rPr>
                <w:rFonts w:ascii="Arial" w:hAnsi="Arial" w:cs="Arial"/>
                <w:color w:val="000000"/>
                <w:sz w:val="20"/>
                <w:szCs w:val="20"/>
              </w:rPr>
              <w:fldChar w:fldCharType="end"/>
            </w:r>
          </w:p>
        </w:tc>
        <w:tc>
          <w:tcPr>
            <w:tcW w:w="1418" w:type="dxa"/>
          </w:tcPr>
          <w:p w14:paraId="3AFDB4EA" w14:textId="1606018E"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{"citationID":"Z9swnaie","properties":{"formattedCitation":"\\super 6\\nosupersub{}","plainCitation":"6","noteIndex":0},"citationItems":[{"id":15955,"uris":["http://zotero.org/users/1547967/items/TYYQNF3H"],"itemData":{"id":15955,"type":"webpage","title":"NASA OSDR: Open Science for Life in Space","URL":"https://osdr.nasa.gov/bio/repo/data/studies/OSD-513","accessed":{"date-parts":[["2023",5,25]]}}}],"schema":"https://github.com/citation-style-language/schema/raw/master/csl-citation.json"}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6</w:t>
            </w:r>
            <w:r>
              <w:rPr>
                <w:rFonts w:ascii="Arial" w:hAnsi="Arial" w:cs="Arial"/>
                <w:color w:val="000000"/>
                <w:sz w:val="20"/>
                <w:szCs w:val="20"/>
              </w:rPr>
              <w:fldChar w:fldCharType="end"/>
            </w:r>
          </w:p>
        </w:tc>
        <w:tc>
          <w:tcPr>
            <w:tcW w:w="1276" w:type="dxa"/>
          </w:tcPr>
          <w:p w14:paraId="02B3DDEC" w14:textId="2AC65ED3" w:rsidR="00033C71"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{"citationID":"gaBqvPP6","properties":{"formattedCitation":"\\super 6\\nosupersub{}","plainCitation":"6","noteIndex":0},"citationItems":[{"id":15955,"uris":["http://zotero.org/users/1547967/items/TYYQNF3H"],"itemData":{"id":15955,"type":"webpage","title":"NASA OSDR: Open Science for Life in Space","URL":"https://osdr.nasa.gov/bio/repo/data/studies/OSD-513","accessed":{"date-parts":[["2023",5,25]]}}}],"schema":"https://github.com/citation-style-language/schema/raw/master/csl-citation.json"}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6</w:t>
            </w:r>
            <w:r>
              <w:rPr>
                <w:rFonts w:ascii="Arial" w:hAnsi="Arial" w:cs="Arial"/>
                <w:color w:val="000000"/>
                <w:sz w:val="20"/>
                <w:szCs w:val="20"/>
              </w:rPr>
              <w:fldChar w:fldCharType="end"/>
            </w:r>
          </w:p>
        </w:tc>
        <w:tc>
          <w:tcPr>
            <w:tcW w:w="1791" w:type="dxa"/>
          </w:tcPr>
          <w:p w14:paraId="32123E10" w14:textId="5A22382B"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{"citationID":"D1VFBYzt","properties":{"formattedCitation":"\\super 6\\nosupersub{}","plainCitation":"6","noteIndex":0},"citationItems":[{"id":15955,"uris":["http://zotero.org/users/1547967/items/TYYQNF3H"],"itemData":{"id":15955,"type":"webpage","title":"NASA OSDR: Open Science for Life in Space","URL":"https://osdr.nasa.gov/bio/repo/data/studies/OSD-513","accessed":{"date-parts":[["2023",5,25]]}}}],"schema":"https://github.com/citation-style-language/schema/raw/master/csl-citation.json"}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6</w:t>
            </w:r>
            <w:r>
              <w:rPr>
                <w:rFonts w:ascii="Arial" w:hAnsi="Arial" w:cs="Arial"/>
                <w:color w:val="000000"/>
                <w:sz w:val="20"/>
                <w:szCs w:val="20"/>
              </w:rPr>
              <w:fldChar w:fldCharType="end"/>
            </w:r>
          </w:p>
        </w:tc>
      </w:tr>
      <w:tr w:rsidR="00033C71" w:rsidRPr="002E73F2" w14:paraId="4C0D5803" w14:textId="77777777" w:rsidTr="0036382E">
        <w:trPr>
          <w:trHeight w:val="103"/>
        </w:trPr>
        <w:tc>
          <w:tcPr>
            <w:tcW w:w="1551" w:type="dxa"/>
          </w:tcPr>
          <w:p w14:paraId="6519A68E" w14:textId="6971C9B5" w:rsidR="00033C71" w:rsidRPr="002E73F2" w:rsidRDefault="00033C71" w:rsidP="002E73F2">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MHU-3</w:t>
            </w:r>
          </w:p>
        </w:tc>
        <w:tc>
          <w:tcPr>
            <w:tcW w:w="1415" w:type="dxa"/>
          </w:tcPr>
          <w:p w14:paraId="24178C20" w14:textId="2ABF7A5E" w:rsidR="00033C71" w:rsidRPr="002E73F2" w:rsidRDefault="00033C71" w:rsidP="002E73F2">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Kidney</w:t>
            </w:r>
          </w:p>
        </w:tc>
        <w:tc>
          <w:tcPr>
            <w:tcW w:w="1845" w:type="dxa"/>
          </w:tcPr>
          <w:p w14:paraId="366768BD" w14:textId="1AB0A1F4"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{"citationID":"N5NkitKv","properties":{"formattedCitation":"\\super 7\\uc0\\u8211{}9\\nosupersub{}","plainCitation":"7–9","noteIndex":0},"citationItems":[{"id":15954,"uris":["http://zotero.org/users/1547967/items/V73GUWW8"],"itemData":{"id":15954,"type":"article-journal","abstract":"Space flight produces an extreme environment with unique stressors, but little is known about how our body responds to these stresses. While there are many intractable limitations for in-flight space research, some can be overcome by utilizing gene knockout-disease model mice. Here, we report how deletion of Nrf2, a master regulator of stress defense pathways, affects the health of mice transported for a stay in the International Space Station (ISS). After 31 days in the ISS, all flight mice returned safely to Earth. Transcriptome and metabolome analyses revealed that the stresses of space travel evoked ageing-like changes of plasma metabolites and activated the Nrf2 signaling pathway. Especially, Nrf2 was found to be important for maintaining homeostasis of white adipose tissues. This study opens approaches for future space research utilizing murine gene knockout-disease models, and provides insights into mitigating space-induced stresses that limit the further exploration of space by humans.","container-title":"Communications Biology","DOI":"10.1038/s42003-020-01227-2","ISSN":"2399-3642","issue":"1","journalAbbreviation":"Commun Biol","language":"en","license":"2020 The Author(s)","note":"number: 1\npublisher: Nature Publishing Group","page":"1-14","source":"www.nature.com","title":"Nrf2 contributes to the weight gain of mice during space travel","volume":"3","author":[{"family":"Suzuki","given":"Takafumi"},{"family":"Uruno","given":"Akira"},{"family":"Yumoto","given":"Akane"},{"family":"Taguchi","given":"Keiko"},{"family":"Suzuki","given":"Mikiko"},{"family":"Harada","given":"Nobuhiko"},{"family":"Ryoke","given":"Rie"},{"family":"Naganuma","given":"Eriko"},{"family":"Osanai","given":"Nanae"},{"family":"Goto","given":"Aya"},{"family":"Suda","given":"Hiromi"},{"family":"Browne","given":"Ryan"},{"family":"Otsuki","given":"Akihito"},{"family":"Katsuoka","given":"Fumiki"},{"family":"Zorzi","given":"Michael"},{"family":"Yamazaki","given":"Takahiro"},{"family":"Saigusa","given":"Daisuke"},{"family":"Koshiba","given":"Seizo"},{"family":"Nakamura","given":"Takashi"},{"family":"Fukumoto","given":"Satoshi"},{"family":"Ikehata","given":"Hironobu"},{"family":"Nishikawa","given":"Keizo"},{"family":"Suzuki","given":"Norio"},{"family":"Hirano","given":"Ikuo"},{"family":"Shimizu","given":"Ritsuko"},{"family":"Oishi","given":"Tetsuya"},{"family":"Motohashi","given":"Hozumi"},{"family":"Tsubouchi","given":"Hirona"},{"family":"Okada","given":"Risa"},{"family":"Kudo","given":"Takashi"},{"family":"Shimomura","given":"Michihiko"},{"family":"Kensler","given":"Thomas W."},{"family":"Mizuno","given":"Hiroyasu"},{"family":"Shirakawa","given":"Masaki"},{"family":"Takahashi","given":"Satoru"},{"family":"Shiba","given":"Dai"},{"family":"Yamamoto","given":"Masayuki"}],"issued":{"date-parts":[["2020",9,8]]}}},{"id":15953,"uris":["http://zotero.org/users/1547967/items/KPICE9XI"],"itemData":{"id":15953,"type":"webpage","title":"NASA OSDR: Open Science for Life in Space","URL":"https://osdr.nasa.gov/bio/repo/data/studies/OSD-457","accessed":{"date-parts":[["2023",5,25]]}}},{"id":16177,"uris":["http://zotero.org/users/1547967/items/2XZZ6V36"],"itemData":{"id":16177,"type":"article-journal","abstract":"Space travel burdens health by imposing considerable environmental stress associated with radioactivity and microgravity. In particular, gravity change predominantly impacts blood pressure and bone homeostasis, both of which are controlled mainly by the kidneys. Nuclear factor erythroid-2-related transcription factor 2 (Nrf2) plays essential roles in protecting the kidneys from various environmental stresses and injuries. To elucidate the effects of space travel on mammals in preparation for the upcoming space era, our study investigated the contribution of Nrf2 to kidney function in mice two days after their return from a 31-day stay in the International Space Station using Nrf2 knockout mice. Meaningfully, expression levels of genes regulating bone mineralization, blood pressure and lipid metabolism were found to be significantly altered in the kidneys after space travel in an Nrf2-independent manner. In particular, uridine diphosphate-glucuronosyltransferase 1A (Ugt1a) isoform genes were found to be expressed in an Nrf2-dependent manner and induced exclusively in the kidneys after return to Earth. Since spaceflight elevated the concentrations of fatty acids in the mouse plasma, we suggest that Ugt1a isoform expression in the kidneys was induced to promote glucuronidation of excessively accumulated lipids and excrete them into urine after the return from space. Thus, the kidneys were proven to play central roles in adaptation to gravity changes caused by going to and returning from space by controlling blood pressure and bone mineralization. Additionally, kidney Ugt1a isoform induction after space travel implies a significant role of the kidneys for space travelers in the excretion of excessive lipids.","container-title":"Kidney International","DOI":"10.1016/j.kint.2021.09.031","ISSN":"1523-1755","issue":"1","journalAbbreviation":"Kidney Int","language":"eng","note":"PMID: 34767829","page":"92-105","source":"PubMed","title":"Gene expression changes related to bone mineralization, blood pressure and lipid metabolism in mouse kidneys after space travel","volume":"101","author":[{"family":"Suzuki","given":"Norio"},{"family":"Iwamura","given":"Yuma"},{"family":"Nakai","given":"Taku"},{"family":"Kato","given":"Koichiro"},{"family":"Otsuki","given":"Akihito"},{"family":"Uruno","given":"Akira"},{"family":"Saigusa","given":"Daisuke"},{"family":"Taguchi","given":"Keiko"},{"family":"Suzuki","given":"Mikiko"},{"family":"Shimizu","given":"Ritsuko"},{"family":"Yumoto","given":"Akane"},{"family":"Okada","given":"Risa"},{"family":"Shirakawa","given":"Masaki"},{"family":"Shiba","given":"Dai"},{"family":"Takahashi","given":"Satoru"},{"family":"Suzuki","given":"Takafumi"},{"family":"Yamamoto","given":"Masayuki"}],"issued":{"date-parts":[["2022",1]]}}}],"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7–9</w:t>
            </w:r>
            <w:r>
              <w:rPr>
                <w:rFonts w:ascii="Arial" w:hAnsi="Arial" w:cs="Arial"/>
                <w:color w:val="000000"/>
                <w:sz w:val="20"/>
                <w:szCs w:val="20"/>
              </w:rPr>
              <w:fldChar w:fldCharType="end"/>
            </w:r>
          </w:p>
        </w:tc>
        <w:tc>
          <w:tcPr>
            <w:tcW w:w="1418" w:type="dxa"/>
          </w:tcPr>
          <w:p w14:paraId="3829EE95" w14:textId="74E9587C" w:rsidR="00033C71" w:rsidRPr="002E73F2"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{"citationID":"g99G0QMD","properties":{"formattedCitation":"\\super 8\\nosupersub{}","plainCitation":"8","noteIndex":0},"citationItems":[{"id":15953,"uris":["http://zotero.org/users/1547967/items/KPICE9XI"],"itemData":{"id":15953,"type":"webpage","title":"NASA OSDR: Open Science for Life in Space","URL":"https://osdr.nasa.gov/bio/repo/data/studies/OSD-457","accessed":{"date-parts":[["2023",5,25]]}}}],"schema":"https://github.com/citation-style-language/schema/raw/master/csl-citation.json"}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8</w:t>
            </w:r>
            <w:r>
              <w:rPr>
                <w:rFonts w:ascii="Arial" w:hAnsi="Arial" w:cs="Arial"/>
                <w:color w:val="000000"/>
                <w:sz w:val="20"/>
                <w:szCs w:val="20"/>
              </w:rPr>
              <w:fldChar w:fldCharType="end"/>
            </w:r>
          </w:p>
        </w:tc>
        <w:tc>
          <w:tcPr>
            <w:tcW w:w="1276" w:type="dxa"/>
          </w:tcPr>
          <w:p w14:paraId="6A55DC95" w14:textId="3022BC47" w:rsidR="00033C71" w:rsidRDefault="00FF78DD"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{"citationID":"ijGDcMur","properties":{"formattedCitation":"\\super 10\\nosupersub{}","plainCitation":"10","noteIndex":0},"citationItems":[{"id":15952,"uris":["http://zotero.org/users/1547967/items/XKH47UAB"],"itemData":{"id":15952,"type":"webpage","title":"GEO Accession viewer","URL":"https://www.ncbi.nlm.nih.gov/geo/query/acc.cgi?acc=GSE152382","accessed":{"date-parts":[["2023",5,25]]}}}],"schema":"https://github.com/citation-style-language/schema/raw/master/csl-citation.json"}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10</w:t>
            </w:r>
            <w:r>
              <w:rPr>
                <w:rFonts w:ascii="Arial" w:hAnsi="Arial" w:cs="Arial"/>
                <w:color w:val="000000"/>
                <w:sz w:val="20"/>
                <w:szCs w:val="20"/>
              </w:rPr>
              <w:fldChar w:fldCharType="end"/>
            </w:r>
          </w:p>
        </w:tc>
        <w:tc>
          <w:tcPr>
            <w:tcW w:w="1791" w:type="dxa"/>
          </w:tcPr>
          <w:p w14:paraId="3BB28E64" w14:textId="722E1465" w:rsidR="00033C71" w:rsidRPr="002E73F2" w:rsidRDefault="00F2747F"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See below</w:t>
            </w:r>
          </w:p>
        </w:tc>
      </w:tr>
      <w:tr w:rsidR="00033C71" w:rsidRPr="002E73F2" w14:paraId="6F4EC305" w14:textId="77777777" w:rsidTr="0036382E">
        <w:trPr>
          <w:trHeight w:val="103"/>
        </w:trPr>
        <w:tc>
          <w:tcPr>
            <w:tcW w:w="1551" w:type="dxa"/>
          </w:tcPr>
          <w:p w14:paraId="359EC71B" w14:textId="1BC25141" w:rsidR="00033C71" w:rsidRPr="002E73F2" w:rsidRDefault="00033C71" w:rsidP="002E73F2">
            <w:pPr>
              <w:pStyle w:val="NormalWeb"/>
              <w:spacing w:before="0" w:beforeAutospacing="0" w:after="0" w:afterAutospacing="0"/>
              <w:rPr>
                <w:rFonts w:ascii="Arial" w:hAnsi="Arial" w:cs="Arial"/>
                <w:sz w:val="20"/>
                <w:szCs w:val="20"/>
              </w:rPr>
            </w:pPr>
            <w:r>
              <w:rPr>
                <w:rFonts w:ascii="Arial" w:hAnsi="Arial" w:cs="Arial"/>
                <w:sz w:val="20"/>
                <w:szCs w:val="20"/>
              </w:rPr>
              <w:t>MHU-1</w:t>
            </w:r>
          </w:p>
        </w:tc>
        <w:tc>
          <w:tcPr>
            <w:tcW w:w="1415" w:type="dxa"/>
          </w:tcPr>
          <w:p w14:paraId="27491D51" w14:textId="2346D023" w:rsidR="00033C71" w:rsidRPr="002E73F2" w:rsidRDefault="00033C71" w:rsidP="002E73F2">
            <w:pPr>
              <w:pStyle w:val="NormalWeb"/>
              <w:spacing w:before="0" w:beforeAutospacing="0" w:after="0" w:afterAutospacing="0"/>
              <w:rPr>
                <w:rFonts w:ascii="Arial" w:hAnsi="Arial" w:cs="Arial"/>
                <w:sz w:val="20"/>
                <w:szCs w:val="20"/>
              </w:rPr>
            </w:pPr>
            <w:r>
              <w:rPr>
                <w:rFonts w:ascii="Arial" w:hAnsi="Arial" w:cs="Arial"/>
                <w:sz w:val="20"/>
                <w:szCs w:val="20"/>
              </w:rPr>
              <w:t>Plasma</w:t>
            </w:r>
          </w:p>
        </w:tc>
        <w:tc>
          <w:tcPr>
            <w:tcW w:w="1845" w:type="dxa"/>
          </w:tcPr>
          <w:p w14:paraId="3AF68358" w14:textId="349878E8" w:rsidR="00033C71" w:rsidRDefault="002C3303"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{"citationID":"6vGB47uK","properties":{"formattedCitation":"\\super 11,12\\nosupersub{}","plainCitation":"11,12","noteIndex":0},"citationItems":[{"id":15951,"uris":["http://zotero.org/users/1547967/items/2YC2AW67"],"itemData":{"id":15951,"type":"article-journal","abstract":"This Japan Aerospace Exploration Agency project focused on elucidating the impacts of partial gravity (partial g) and microgravity (μg) on mice using newly developed mouse habitat cage units (HCU) that can be installed in the Centrifuge-equipped Biological Experiment Facility in the International Space Station. In the first mission, 12 C57BL/6 J male mice were housed under μg or artificial earth-gravity (1 g). Mouse activity was monitored daily via downlinked videos; μg mice floated inside the HCU, whereas artificial 1 g mice were on their feet on the floor. After 35 days of habitation, all mice were returned to the Earth and processed. Significant decreases were evident in femur bone density and the soleus/gastrocnemius muscle weights of μg mice, whereas artificial 1 g mice maintained the same bone density and muscle weight as mice in the ground control experiment, in which housing conditions in the flight experiment were replicated. These data indicate that these changes were particularly because of gravity. They also present the first evidence that the addition of gravity can prevent decreases in bone density and muscle mass, and that the new platform ‘MARS’ may provide novel insights on the molecular-mechanisms regulating biological processes controlled by partial g/μg.","container-title":"Scientific Reports","DOI":"10.1038/s41598-017-10998-4","ISSN":"2045-2322","issue":"1","journalAbbreviation":"Sci Rep","language":"en","license":"2017 The Author(s)","note":"number: 1\npublisher: Nature Publishing Group","page":"10837","source":"www.nature.com","title":"Development of new experimental platform ‘MARS’—Multiple Artificial-gravity Research System—to elucidate the impacts of micro/partial gravity on mice","volume":"7","author":[{"family":"Shiba","given":"Dai"},{"family":"Mizuno","given":"Hiroyasu"},{"family":"Yumoto","given":"Akane"},{"family":"Shimomura","given":"Michihiko"},{"family":"Kobayashi","given":"Hiroe"},{"family":"Morita","given":"Hironobu"},{"family":"Shimbo","given":"Miki"},{"family":"Hamada","given":"Michito"},{"family":"Kudo","given":"Takashi"},{"family":"Shinohara","given":"Masahiro"},{"family":"Asahara","given":"Hiroshi"},{"family":"Shirakawa","given":"Masaki"},{"family":"Takahashi","given":"Satoru"}],"issued":{"date-parts":[["2017",9,7]]}}},{"id":15950,"uris":["http://zotero.org/users/1547967/items/LIWEIIFP"],"itemData":{"id":15950,"type":"webpage","title":"NASA OSDR: Open Science for Life in Space","URL":"https://osdr.nasa.gov/bio/repo/data/studies/OSD-532","accessed":{"date-parts":[["2023",5,25]]}}}],"schema":"https://github.com/citation-style-language/schema/raw/master/csl-citation.json"}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11,12</w:t>
            </w:r>
            <w:r>
              <w:rPr>
                <w:rFonts w:ascii="Arial" w:hAnsi="Arial" w:cs="Arial"/>
                <w:color w:val="000000"/>
                <w:sz w:val="20"/>
                <w:szCs w:val="20"/>
              </w:rPr>
              <w:fldChar w:fldCharType="end"/>
            </w:r>
          </w:p>
        </w:tc>
        <w:tc>
          <w:tcPr>
            <w:tcW w:w="1418" w:type="dxa"/>
          </w:tcPr>
          <w:p w14:paraId="1E19956C" w14:textId="7C29004C" w:rsidR="00033C71" w:rsidRDefault="002C3303"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{"citationID":"451gNXpn","properties":{"formattedCitation":"\\super 12\\nosupersub{}","plainCitation":"12","noteIndex":0},"citationItems":[{"id":15950,"uris":["http://zotero.org/users/1547967/items/LIWEIIFP"],"itemData":{"id":15950,"type":"webpage","title":"NASA OSDR: Open Science for Life in Space","URL":"https://osdr.nasa.gov/bio/repo/data/studies/OSD-532","accessed":{"date-parts":[["2023",5,25]]}}}],"schema":"https://github.com/citation-style-language/schema/raw/master/csl-citation.json"}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12</w:t>
            </w:r>
            <w:r>
              <w:rPr>
                <w:rFonts w:ascii="Arial" w:hAnsi="Arial" w:cs="Arial"/>
                <w:color w:val="000000"/>
                <w:sz w:val="20"/>
                <w:szCs w:val="20"/>
              </w:rPr>
              <w:fldChar w:fldCharType="end"/>
            </w:r>
          </w:p>
        </w:tc>
        <w:tc>
          <w:tcPr>
            <w:tcW w:w="1276" w:type="dxa"/>
          </w:tcPr>
          <w:p w14:paraId="384B84ED" w14:textId="7B8212B7" w:rsidR="00033C71" w:rsidRDefault="002C3303"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{"citationID":"aST0UEBM","properties":{"formattedCitation":"\\super 13\\nosupersub{}","plainCitation":"13","noteIndex":0},"citationItems":[{"id":15949,"uris":["http://zotero.org/users/1547967/items/G5EUB5LR"],"itemData":{"id":15949,"type":"webpage","title":"GEO Accession viewer","URL":"https://www.ncbi.nlm.nih.gov/geo/query/acc.cgi?acc=GSE213808","author":[{"family":"Masafumi","given":"M"}],"accessed":{"date-parts":[["2023",5,25]]}}}],"schema":"https://github.com/citation-style-language/schema/raw/master/csl-citation.json"}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13</w:t>
            </w:r>
            <w:r>
              <w:rPr>
                <w:rFonts w:ascii="Arial" w:hAnsi="Arial" w:cs="Arial"/>
                <w:color w:val="000000"/>
                <w:sz w:val="20"/>
                <w:szCs w:val="20"/>
              </w:rPr>
              <w:fldChar w:fldCharType="end"/>
            </w:r>
          </w:p>
        </w:tc>
        <w:tc>
          <w:tcPr>
            <w:tcW w:w="1791" w:type="dxa"/>
          </w:tcPr>
          <w:p w14:paraId="56860A87" w14:textId="77AA7EAB" w:rsidR="00033C71" w:rsidRDefault="002C3303"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{"citationID":"E3jBOimT","properties":{"formattedCitation":"\\super 13\\nosupersub{}","plainCitation":"13","noteIndex":0},"citationItems":[{"id":15949,"uris":["http://zotero.org/users/1547967/items/G5EUB5LR"],"itemData":{"id":15949,"type":"webpage","title":"GEO Accession viewer","URL":"https://www.ncbi.nlm.nih.gov/geo/query/acc.cgi?acc=GSE213808","author":[{"family":"Masafumi","given":"M"}],"accessed":{"date-parts":[["2023",5,25]]}}}],"schema":"https://github.com/citation-style-language/schema/raw/master/csl-citation.json"}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13</w:t>
            </w:r>
            <w:r>
              <w:rPr>
                <w:rFonts w:ascii="Arial" w:hAnsi="Arial" w:cs="Arial"/>
                <w:color w:val="000000"/>
                <w:sz w:val="20"/>
                <w:szCs w:val="20"/>
              </w:rPr>
              <w:fldChar w:fldCharType="end"/>
            </w:r>
            <w:r w:rsidR="003C5011">
              <w:rPr>
                <w:rFonts w:ascii="Arial" w:hAnsi="Arial" w:cs="Arial"/>
                <w:color w:val="000000"/>
                <w:sz w:val="20"/>
                <w:szCs w:val="20"/>
              </w:rPr>
              <w:t xml:space="preserve">, </w:t>
            </w:r>
            <w:r w:rsidR="00F2747F">
              <w:rPr>
                <w:rFonts w:ascii="Arial" w:hAnsi="Arial" w:cs="Arial"/>
                <w:color w:val="000000"/>
                <w:sz w:val="20"/>
                <w:szCs w:val="20"/>
              </w:rPr>
              <w:t>See below</w:t>
            </w:r>
          </w:p>
        </w:tc>
      </w:tr>
      <w:tr w:rsidR="00033C71" w:rsidRPr="002E73F2" w14:paraId="3CD9A4BA" w14:textId="77777777" w:rsidTr="0036382E">
        <w:trPr>
          <w:trHeight w:val="103"/>
        </w:trPr>
        <w:tc>
          <w:tcPr>
            <w:tcW w:w="1551" w:type="dxa"/>
          </w:tcPr>
          <w:p w14:paraId="79416F0C" w14:textId="60D9157A" w:rsidR="00033C71" w:rsidRPr="002E73F2" w:rsidRDefault="00033C71" w:rsidP="002E73F2">
            <w:pPr>
              <w:pStyle w:val="NormalWeb"/>
              <w:spacing w:before="0" w:beforeAutospacing="0" w:after="0" w:afterAutospacing="0"/>
              <w:rPr>
                <w:rFonts w:ascii="Arial" w:hAnsi="Arial" w:cs="Arial"/>
                <w:sz w:val="20"/>
                <w:szCs w:val="20"/>
              </w:rPr>
            </w:pPr>
            <w:r>
              <w:rPr>
                <w:rFonts w:ascii="Arial" w:hAnsi="Arial" w:cs="Arial"/>
                <w:sz w:val="20"/>
                <w:szCs w:val="20"/>
              </w:rPr>
              <w:t>JAXA</w:t>
            </w:r>
          </w:p>
        </w:tc>
        <w:tc>
          <w:tcPr>
            <w:tcW w:w="1415" w:type="dxa"/>
          </w:tcPr>
          <w:p w14:paraId="5E4E1F69" w14:textId="3ABD8A2E" w:rsidR="00033C71" w:rsidRPr="002E73F2" w:rsidRDefault="00033C71" w:rsidP="002E73F2">
            <w:pPr>
              <w:pStyle w:val="NormalWeb"/>
              <w:spacing w:before="0" w:beforeAutospacing="0" w:after="0" w:afterAutospacing="0"/>
              <w:rPr>
                <w:rFonts w:ascii="Arial" w:hAnsi="Arial" w:cs="Arial"/>
                <w:sz w:val="20"/>
                <w:szCs w:val="20"/>
              </w:rPr>
            </w:pPr>
            <w:r>
              <w:rPr>
                <w:rFonts w:ascii="Arial" w:hAnsi="Arial" w:cs="Arial"/>
                <w:sz w:val="20"/>
                <w:szCs w:val="20"/>
              </w:rPr>
              <w:t>Plasma</w:t>
            </w:r>
          </w:p>
        </w:tc>
        <w:tc>
          <w:tcPr>
            <w:tcW w:w="1845" w:type="dxa"/>
          </w:tcPr>
          <w:p w14:paraId="7617E951" w14:textId="0B47BEB3" w:rsidR="00033C71" w:rsidRDefault="002C3303"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{"citationID":"GJzfbftA","properties":{"formattedCitation":"\\super 14,15\\nosupersub{}","plainCitation":"14,15","noteIndex":0},"citationItems":[{"id":15948,"uris":["http://zotero.org/users/1547967/items/SZ42JKSI"],"itemData":{"id":15948,"type":"webpage","title":"NASA OSDR: Open Science for Life in Space","URL":"https://osdr.nasa.gov/bio/repo/data/studies/OSD-530","accessed":{"date-parts":[["2023",5,25]]}}},{"id":15946,"uris":["http://zotero.org/users/1547967/items/BGNMWBPZ"],"itemData":{"id":15946,"type":"article-journal","title":"CD36-associated extracellular mitochondria as a hallmark of space response","author":[{"family":"Masafumi","given":"M"}]}}],"schema":"https://github.com/citation-style-language/schema/raw/master/csl-citation.json"}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14,15</w:t>
            </w:r>
            <w:r>
              <w:rPr>
                <w:rFonts w:ascii="Arial" w:hAnsi="Arial" w:cs="Arial"/>
                <w:color w:val="000000"/>
                <w:sz w:val="20"/>
                <w:szCs w:val="20"/>
              </w:rPr>
              <w:fldChar w:fldCharType="end"/>
            </w:r>
          </w:p>
        </w:tc>
        <w:tc>
          <w:tcPr>
            <w:tcW w:w="1418" w:type="dxa"/>
          </w:tcPr>
          <w:p w14:paraId="0E5EB107" w14:textId="6B2653FC" w:rsidR="00033C71" w:rsidRDefault="00033C71"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 xml:space="preserve">Not </w:t>
            </w:r>
            <w:r w:rsidR="009A20E2">
              <w:rPr>
                <w:rFonts w:ascii="Arial" w:hAnsi="Arial" w:cs="Arial"/>
                <w:color w:val="000000"/>
                <w:sz w:val="20"/>
                <w:szCs w:val="20"/>
              </w:rPr>
              <w:t>a</w:t>
            </w:r>
            <w:r>
              <w:rPr>
                <w:rFonts w:ascii="Arial" w:hAnsi="Arial" w:cs="Arial"/>
                <w:color w:val="000000"/>
                <w:sz w:val="20"/>
                <w:szCs w:val="20"/>
              </w:rPr>
              <w:t>vailable</w:t>
            </w:r>
          </w:p>
        </w:tc>
        <w:tc>
          <w:tcPr>
            <w:tcW w:w="1276" w:type="dxa"/>
          </w:tcPr>
          <w:p w14:paraId="16DC920E" w14:textId="6141FD43" w:rsidR="00033C71" w:rsidRDefault="009A76DB" w:rsidP="002E73F2">
            <w:pPr>
              <w:pStyle w:val="NormalWeb"/>
              <w:spacing w:before="0" w:beforeAutospacing="0" w:after="0" w:afterAutospacing="0"/>
              <w:rPr>
                <w:rFonts w:ascii="Arial" w:hAnsi="Arial" w:cs="Arial"/>
                <w:color w:val="000000"/>
                <w:sz w:val="20"/>
                <w:szCs w:val="20"/>
              </w:rPr>
            </w:pPr>
            <w:r w:rsidRPr="009A76DB">
              <w:rPr>
                <w:rFonts w:ascii="Arial" w:hAnsi="Arial" w:cs="Arial"/>
                <w:sz w:val="20"/>
                <w:vertAlign w:val="superscript"/>
              </w:rPr>
              <w:t>1</w:t>
            </w:r>
          </w:p>
        </w:tc>
        <w:tc>
          <w:tcPr>
            <w:tcW w:w="1791" w:type="dxa"/>
          </w:tcPr>
          <w:p w14:paraId="61BA22E5" w14:textId="39C85AC9" w:rsidR="00033C71" w:rsidRDefault="00F2747F" w:rsidP="002E73F2">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See below</w:t>
            </w:r>
          </w:p>
        </w:tc>
      </w:tr>
    </w:tbl>
    <w:p w14:paraId="35CE6ED1" w14:textId="575151E9" w:rsidR="00BC3400" w:rsidRDefault="00BC3400" w:rsidP="00A04AE9">
      <w:pPr>
        <w:pStyle w:val="NormalWeb"/>
        <w:spacing w:before="240" w:beforeAutospacing="0" w:after="240" w:afterAutospacing="0" w:line="480" w:lineRule="auto"/>
        <w:ind w:left="-280"/>
        <w:jc w:val="both"/>
        <w:rPr>
          <w:rFonts w:ascii="Arial" w:hAnsi="Arial" w:cs="Arial"/>
          <w:b/>
          <w:bCs/>
          <w:color w:val="000000"/>
          <w:sz w:val="22"/>
          <w:szCs w:val="22"/>
        </w:rPr>
      </w:pPr>
    </w:p>
    <w:p w14:paraId="34988418" w14:textId="6ED21ECF" w:rsidR="00844D4D" w:rsidRPr="00844D4D" w:rsidRDefault="00844D4D" w:rsidP="00A04AE9">
      <w:pPr>
        <w:pStyle w:val="NormalWeb"/>
        <w:spacing w:before="240" w:beforeAutospacing="0" w:after="240" w:afterAutospacing="0" w:line="480" w:lineRule="auto"/>
        <w:ind w:left="-280"/>
        <w:jc w:val="both"/>
        <w:rPr>
          <w:rFonts w:ascii="Arial" w:hAnsi="Arial" w:cs="Arial"/>
          <w:color w:val="000000"/>
          <w:sz w:val="22"/>
          <w:szCs w:val="22"/>
          <w:u w:val="single"/>
        </w:rPr>
      </w:pPr>
      <w:r>
        <w:rPr>
          <w:rFonts w:ascii="Arial" w:hAnsi="Arial" w:cs="Arial"/>
          <w:color w:val="000000"/>
          <w:sz w:val="22"/>
          <w:szCs w:val="22"/>
          <w:u w:val="single"/>
        </w:rPr>
        <w:t>Differential abundance analysis</w:t>
      </w:r>
    </w:p>
    <w:p w14:paraId="3CB15C48" w14:textId="49DC7041" w:rsidR="009C25E3" w:rsidRPr="003C3DE2" w:rsidRDefault="009C25E3" w:rsidP="009C25E3">
      <w:pPr>
        <w:pStyle w:val="NormalWeb"/>
        <w:spacing w:before="240" w:after="240" w:line="480" w:lineRule="auto"/>
        <w:ind w:left="-280"/>
        <w:jc w:val="both"/>
        <w:rPr>
          <w:rFonts w:ascii="Arial" w:hAnsi="Arial" w:cs="Arial"/>
          <w:i/>
          <w:iCs/>
          <w:color w:val="000000"/>
          <w:sz w:val="22"/>
          <w:szCs w:val="22"/>
        </w:rPr>
      </w:pPr>
      <w:r w:rsidRPr="003C3DE2">
        <w:rPr>
          <w:rFonts w:ascii="Arial" w:hAnsi="Arial" w:cs="Arial"/>
          <w:i/>
          <w:iCs/>
          <w:color w:val="000000"/>
          <w:sz w:val="22"/>
          <w:szCs w:val="22"/>
        </w:rPr>
        <w:t>MHU-3</w:t>
      </w:r>
    </w:p>
    <w:p w14:paraId="228E309C" w14:textId="5DFF1EB0" w:rsidR="009C25E3" w:rsidRDefault="009C25E3" w:rsidP="009C25E3">
      <w:pPr>
        <w:pStyle w:val="NormalWeb"/>
        <w:spacing w:before="240" w:after="240" w:line="480" w:lineRule="auto"/>
        <w:ind w:left="-280"/>
        <w:jc w:val="both"/>
        <w:rPr>
          <w:rFonts w:ascii="Arial" w:hAnsi="Arial" w:cs="Arial"/>
          <w:color w:val="000000"/>
          <w:sz w:val="22"/>
          <w:szCs w:val="22"/>
        </w:rPr>
      </w:pPr>
      <w:r w:rsidRPr="009C25E3">
        <w:rPr>
          <w:rFonts w:ascii="Arial" w:hAnsi="Arial" w:cs="Arial"/>
          <w:color w:val="000000"/>
          <w:sz w:val="22"/>
          <w:szCs w:val="22"/>
        </w:rPr>
        <w:t xml:space="preserve">Through the </w:t>
      </w:r>
      <w:r>
        <w:rPr>
          <w:rFonts w:ascii="Arial" w:hAnsi="Arial" w:cs="Arial"/>
          <w:color w:val="000000"/>
          <w:sz w:val="22"/>
          <w:szCs w:val="22"/>
        </w:rPr>
        <w:t>J</w:t>
      </w:r>
      <w:r w:rsidRPr="009C25E3">
        <w:rPr>
          <w:rFonts w:ascii="Arial" w:hAnsi="Arial" w:cs="Arial"/>
          <w:color w:val="000000"/>
          <w:sz w:val="22"/>
          <w:szCs w:val="22"/>
        </w:rPr>
        <w:t>upyter platform, accessing the Science Managed Cloud Environment (SMCE) database, the default settings</w:t>
      </w:r>
      <w:r>
        <w:rPr>
          <w:rFonts w:ascii="Arial" w:hAnsi="Arial" w:cs="Arial"/>
          <w:color w:val="000000"/>
          <w:sz w:val="22"/>
          <w:szCs w:val="22"/>
        </w:rPr>
        <w:t xml:space="preserve"> were used to generate </w:t>
      </w:r>
      <w:r w:rsidRPr="009C25E3">
        <w:rPr>
          <w:rFonts w:ascii="Arial" w:hAnsi="Arial" w:cs="Arial"/>
          <w:color w:val="000000"/>
          <w:sz w:val="22"/>
          <w:szCs w:val="22"/>
        </w:rPr>
        <w:t>differential expression</w:t>
      </w:r>
      <w:r>
        <w:rPr>
          <w:rFonts w:ascii="Arial" w:hAnsi="Arial" w:cs="Arial"/>
          <w:color w:val="000000"/>
          <w:sz w:val="22"/>
          <w:szCs w:val="22"/>
        </w:rPr>
        <w:t xml:space="preserve"> analysis</w:t>
      </w:r>
      <w:r w:rsidRPr="009C25E3">
        <w:rPr>
          <w:rFonts w:ascii="Arial" w:hAnsi="Arial" w:cs="Arial"/>
          <w:color w:val="000000"/>
          <w:sz w:val="22"/>
          <w:szCs w:val="22"/>
        </w:rPr>
        <w:t xml:space="preserve">, normalization, and volcanoplot </w:t>
      </w:r>
      <w:r>
        <w:rPr>
          <w:rFonts w:ascii="Arial" w:hAnsi="Arial" w:cs="Arial"/>
          <w:color w:val="000000"/>
          <w:sz w:val="22"/>
          <w:szCs w:val="22"/>
        </w:rPr>
        <w:t>using t</w:t>
      </w:r>
      <w:r w:rsidRPr="009C25E3">
        <w:rPr>
          <w:rFonts w:ascii="Arial" w:hAnsi="Arial" w:cs="Arial"/>
          <w:color w:val="000000"/>
          <w:sz w:val="22"/>
          <w:szCs w:val="22"/>
        </w:rPr>
        <w:t>he DESeq2 library (v 1.38.3)</w:t>
      </w:r>
      <w:r>
        <w:rPr>
          <w:rFonts w:ascii="Arial" w:hAnsi="Arial" w:cs="Arial"/>
          <w:color w:val="000000"/>
          <w:sz w:val="22"/>
          <w:szCs w:val="22"/>
        </w:rPr>
        <w:t xml:space="preserve"> </w:t>
      </w:r>
      <w:r w:rsidR="00FB3713">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{"citationID":"1p36VSc7","properties":{"formattedCitation":"\\super 16\\nosupersub{}","plainCitation":"16","noteIndex":0},"citationItems":[{"id":15885,"uris":["http://zotero.org/users/1547967/items/N4923ZEJ"],"itemData":{"id":15885,"type":"article-journal","abstract":"In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http://www.bioconductor.org/packages/release/bioc/html/DESeq2.html.","container-title":"Genome Biology","DOI":"10.1186/s13059-014-0550-8","ISSN":"1474-760X","issue":"12","journalAbbreviation":"Genome Biology","page":"550","source":"BioMed Central","title":"Moderated estimation of fold change and dispersion for RNA-seq data with DESeq2","volume":"15","author":[{"family":"Love","given":"Michael I."},{"family":"Huber","given":"Wolfgang"},{"family":"Anders","given":"Simon"}],"issued":{"date-parts":[["2014",12,5]]}}}],"schema":"https://github.com/citation-style-language/schema/raw/master/csl-citation.json"} </w:instrText>
      </w:r>
      <w:r w:rsidR="00FB3713">
        <w:rPr>
          <w:rFonts w:ascii="Arial" w:hAnsi="Arial" w:cs="Arial"/>
          <w:color w:val="000000"/>
          <w:sz w:val="22"/>
          <w:szCs w:val="22"/>
        </w:rPr>
        <w:fldChar w:fldCharType="separate"/>
      </w:r>
      <w:r w:rsidR="00305DD2" w:rsidRPr="00305DD2">
        <w:rPr>
          <w:rFonts w:ascii="Arial" w:hAnsi="Arial" w:cs="Arial"/>
          <w:sz w:val="22"/>
          <w:vertAlign w:val="superscript"/>
        </w:rPr>
        <w:t>16</w:t>
      </w:r>
      <w:r w:rsidR="00FB3713">
        <w:rPr>
          <w:rFonts w:ascii="Arial" w:hAnsi="Arial" w:cs="Arial"/>
          <w:color w:val="000000"/>
          <w:sz w:val="22"/>
          <w:szCs w:val="22"/>
        </w:rPr>
        <w:fldChar w:fldCharType="end"/>
      </w:r>
      <w:r>
        <w:rPr>
          <w:rFonts w:ascii="Arial" w:hAnsi="Arial" w:cs="Arial"/>
          <w:color w:val="000000"/>
          <w:sz w:val="22"/>
          <w:szCs w:val="22"/>
        </w:rPr>
        <w:t>in</w:t>
      </w:r>
      <w:r w:rsidRPr="009C25E3">
        <w:rPr>
          <w:rFonts w:ascii="Arial" w:hAnsi="Arial" w:cs="Arial"/>
          <w:color w:val="000000"/>
          <w:sz w:val="22"/>
          <w:szCs w:val="22"/>
        </w:rPr>
        <w:t xml:space="preserve"> R language (v 4.2). Gene annotation for</w:t>
      </w:r>
      <w:r>
        <w:rPr>
          <w:rFonts w:ascii="Arial" w:hAnsi="Arial" w:cs="Arial"/>
          <w:color w:val="000000"/>
          <w:sz w:val="22"/>
          <w:szCs w:val="22"/>
        </w:rPr>
        <w:t xml:space="preserve"> the</w:t>
      </w:r>
      <w:r w:rsidRPr="009C25E3">
        <w:rPr>
          <w:rFonts w:ascii="Arial" w:hAnsi="Arial" w:cs="Arial"/>
          <w:color w:val="000000"/>
          <w:sz w:val="22"/>
          <w:szCs w:val="22"/>
        </w:rPr>
        <w:t xml:space="preserve"> differential expression analysis was performed with the bioMart library (v </w:t>
      </w:r>
      <w:r w:rsidRPr="009C25E3">
        <w:rPr>
          <w:rFonts w:ascii="Arial" w:hAnsi="Arial" w:cs="Arial"/>
          <w:color w:val="000000"/>
          <w:sz w:val="22"/>
          <w:szCs w:val="22"/>
        </w:rPr>
        <w:lastRenderedPageBreak/>
        <w:t>3.16)</w:t>
      </w:r>
      <w:r w:rsidR="00FB3713">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{"citationID":"lhMS3Cyg","properties":{"formattedCitation":"\\super 17,18\\nosupersub{}","plainCitation":"17,18","noteIndex":0},"citationItems":[{"id":15884,"uris":["http://zotero.org/users/1547967/items/HAIMIFPE"],"itemData":{"id":15884,"type":"article-journal","abstract":"Genomic experiments produce multiple views of biological systems, among them are DNA sequence and copy number variation, and mRNA and protein abundance. Understanding these systems needs integrated bioinformatic analysis. Public databases such as Ensembl provide relationships and mappings between the relevant sets of probe and target molecules. However, the relationships can be biologically complex and the content of the databases is dynamic. We demonstrate how to use the computational environment R to integrate and jointly analyze experimental datasets, employing BioMart web services to provide the molecule mappings. We also discuss typical problems that are encountered in making gene-to-transcript–to-protein mappings. The approach provides a flexible, programmable and reproducible basis for state-of-the-art bioinformatic data integration.","container-title":"Nature Protocols","DOI":"10.1038/nprot.2009.97","ISSN":"1750-2799","issue":"8","journalAbbreviation":"Nat Protoc","language":"en","license":"2009 Springer Nature Limited","note":"number: 8\npublisher: Nature Publishing Group","page":"1184-1191","source":"www.nature.com","title":"Mapping identifiers for the integration of genomic datasets with the R/Bioconductor package biomaRt","volume":"4","author":[{"family":"Durinck","given":"Steffen"},{"family":"Spellman","given":"Paul T."},{"family":"Birney","given":"Ewan"},{"family":"Huber","given":"Wolfgang"}],"issued":{"date-parts":[["2009",8]]}}},{"id":15883,"uris":["http://zotero.org/users/1547967/items/8NAXH5JD"],"itemData":{"id":15883,"type":"article-journal","abstract":"Summary:  biomaRt is a new Bioconductor package that integrates BioMart data resources with data analysis software in Bioconductor. It can annotate a wide range of gene or gene product identifiers (e.g. Entrez-Gene and Affymetrix probe identifiers) with information such as gene symbol, chromosomal coordinates, Gene Ontology and OMIM annotation. Furthermore biomaRt enables retrieval of genomic sequences and single nucleotide polymorphism information, which can be used in data analysis. Fast and up-to-date data retrieval is possible as the package executes direct SQL queries to the BioMart databases (e.g. Ensembl). The biomaRt package provides a tight integration of large, public or locally installed BioMart databases with data analysis in Bioconductor creating a powerful environment for biological data mining.Availability:  http://www.bioconductor.org. LGPLContact:  steffen.durinck@esat.kuleuven.ac.be","container-title":"Bioinformatics","DOI":"10.1093/bioinformatics/bti525","ISSN":"1367-4803","issue":"16","journalAbbreviation":"Bioinformatics","page":"3439-3440","source":"Silverchair","title":"BioMart and Bioconductor: a powerful link between biological databases and microarray data analysis","title-short":"BioMart and Bioconductor","volume":"21","author":[{"family":"Durinck","given":"Steffen"},{"family":"Moreau","given":"Yves"},{"family":"Kasprzyk","given":"Arek"},{"family":"Davis","given":"Sean"},{"family":"De Moor","given":"Bart"},{"family":"Brazma","given":"Alvis"},{"family":"Huber","given":"Wolfgang"}],"issued":{"date-parts":[["2005",8,15]]}}}],"schema":"https://github.com/citation-style-language/schema/raw/master/csl-citation.json"} </w:instrText>
      </w:r>
      <w:r w:rsidR="00FB3713">
        <w:rPr>
          <w:rFonts w:ascii="Arial" w:hAnsi="Arial" w:cs="Arial"/>
          <w:color w:val="000000"/>
          <w:sz w:val="22"/>
          <w:szCs w:val="22"/>
        </w:rPr>
        <w:fldChar w:fldCharType="separate"/>
      </w:r>
      <w:r w:rsidR="00305DD2" w:rsidRPr="00305DD2">
        <w:rPr>
          <w:rFonts w:ascii="Arial" w:hAnsi="Arial" w:cs="Arial"/>
          <w:sz w:val="22"/>
          <w:vertAlign w:val="superscript"/>
        </w:rPr>
        <w:t>17,18</w:t>
      </w:r>
      <w:r w:rsidR="00FB3713">
        <w:rPr>
          <w:rFonts w:ascii="Arial" w:hAnsi="Arial" w:cs="Arial"/>
          <w:color w:val="000000"/>
          <w:sz w:val="22"/>
          <w:szCs w:val="22"/>
        </w:rPr>
        <w:fldChar w:fldCharType="end"/>
      </w:r>
      <w:r w:rsidRPr="009C25E3">
        <w:rPr>
          <w:rFonts w:ascii="Arial" w:hAnsi="Arial" w:cs="Arial"/>
          <w:color w:val="000000"/>
          <w:sz w:val="22"/>
          <w:szCs w:val="22"/>
        </w:rPr>
        <w:t xml:space="preserve"> to access the Ensembl database, searching for mouse-specific genes (mmusculus_gene_ensembl)</w:t>
      </w:r>
      <w:r>
        <w:rPr>
          <w:rFonts w:ascii="Arial" w:hAnsi="Arial" w:cs="Arial"/>
          <w:color w:val="000000"/>
          <w:sz w:val="22"/>
          <w:szCs w:val="22"/>
        </w:rPr>
        <w:t>.</w:t>
      </w:r>
      <w:r w:rsidRPr="009C25E3">
        <w:rPr>
          <w:rFonts w:ascii="Arial" w:hAnsi="Arial" w:cs="Arial"/>
          <w:color w:val="000000"/>
          <w:sz w:val="22"/>
          <w:szCs w:val="22"/>
        </w:rPr>
        <w:t xml:space="preserve"> </w:t>
      </w:r>
    </w:p>
    <w:p w14:paraId="047E31A7" w14:textId="248A7D52" w:rsidR="00BA2191" w:rsidRPr="003C3DE2" w:rsidRDefault="00BA2191" w:rsidP="00BA2191">
      <w:pPr>
        <w:pStyle w:val="NormalWeb"/>
        <w:spacing w:before="240" w:after="240" w:line="480" w:lineRule="auto"/>
        <w:ind w:left="-280"/>
        <w:jc w:val="both"/>
        <w:rPr>
          <w:rFonts w:ascii="Arial" w:hAnsi="Arial" w:cs="Arial"/>
          <w:i/>
          <w:iCs/>
          <w:color w:val="000000"/>
          <w:sz w:val="22"/>
          <w:szCs w:val="22"/>
        </w:rPr>
      </w:pPr>
      <w:r w:rsidRPr="003C3DE2">
        <w:rPr>
          <w:rFonts w:ascii="Arial" w:hAnsi="Arial" w:cs="Arial"/>
          <w:i/>
          <w:iCs/>
          <w:color w:val="000000"/>
          <w:sz w:val="22"/>
          <w:szCs w:val="22"/>
        </w:rPr>
        <w:t>MHU-</w:t>
      </w:r>
      <w:r w:rsidR="003C5011">
        <w:rPr>
          <w:rFonts w:ascii="Arial" w:hAnsi="Arial" w:cs="Arial"/>
          <w:i/>
          <w:iCs/>
          <w:color w:val="000000"/>
          <w:sz w:val="22"/>
          <w:szCs w:val="22"/>
        </w:rPr>
        <w:t>1</w:t>
      </w:r>
    </w:p>
    <w:p w14:paraId="6D0C2171" w14:textId="7F660730" w:rsidR="001D1D71" w:rsidRDefault="00BA2191" w:rsidP="009C25E3">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Only ground control and microgravity groups were compared for the analysis.</w:t>
      </w:r>
    </w:p>
    <w:p w14:paraId="15CC8889" w14:textId="245449F9" w:rsidR="001D1D71" w:rsidRPr="001D1D71" w:rsidRDefault="001D1D71" w:rsidP="009C25E3">
      <w:pPr>
        <w:pStyle w:val="NormalWeb"/>
        <w:spacing w:before="240" w:after="240" w:line="480" w:lineRule="auto"/>
        <w:ind w:left="-280"/>
        <w:jc w:val="both"/>
        <w:rPr>
          <w:rFonts w:ascii="Arial" w:hAnsi="Arial" w:cs="Arial"/>
          <w:b/>
          <w:bCs/>
          <w:i/>
          <w:iCs/>
          <w:color w:val="000000"/>
          <w:sz w:val="22"/>
          <w:szCs w:val="22"/>
        </w:rPr>
      </w:pPr>
      <w:r>
        <w:rPr>
          <w:rFonts w:ascii="Arial" w:hAnsi="Arial" w:cs="Arial"/>
          <w:i/>
          <w:iCs/>
          <w:color w:val="000000"/>
          <w:sz w:val="22"/>
          <w:szCs w:val="22"/>
        </w:rPr>
        <w:t>JAXA</w:t>
      </w:r>
    </w:p>
    <w:p w14:paraId="509B3DE4" w14:textId="3490CC42" w:rsidR="001D1D71" w:rsidRDefault="001D1D71" w:rsidP="00A04AE9">
      <w:pPr>
        <w:pStyle w:val="NormalWeb"/>
        <w:spacing w:before="240" w:beforeAutospacing="0" w:after="240" w:afterAutospacing="0" w:line="480" w:lineRule="auto"/>
        <w:ind w:left="-280"/>
        <w:jc w:val="both"/>
        <w:rPr>
          <w:rFonts w:ascii="Arial" w:hAnsi="Arial" w:cs="Arial"/>
          <w:color w:val="000000"/>
          <w:sz w:val="22"/>
          <w:szCs w:val="22"/>
        </w:rPr>
      </w:pPr>
      <w:r w:rsidRPr="001D1D71">
        <w:rPr>
          <w:rFonts w:ascii="Arial" w:hAnsi="Arial" w:cs="Arial"/>
          <w:color w:val="000000"/>
          <w:sz w:val="22"/>
          <w:szCs w:val="22"/>
        </w:rPr>
        <w:t xml:space="preserve">Reads in FASTQ files were imported into CLC Genomics Workbench (CLC-GW, ver.10.1.1, Qiagen), mapped to </w:t>
      </w:r>
      <w:r w:rsidR="00E63BD6">
        <w:rPr>
          <w:rFonts w:ascii="Arial" w:hAnsi="Arial" w:cs="Arial"/>
          <w:color w:val="000000"/>
          <w:sz w:val="22"/>
          <w:szCs w:val="22"/>
        </w:rPr>
        <w:t xml:space="preserve">the </w:t>
      </w:r>
      <w:r w:rsidRPr="001D1D71">
        <w:rPr>
          <w:rFonts w:ascii="Arial" w:hAnsi="Arial" w:cs="Arial"/>
          <w:color w:val="000000"/>
          <w:sz w:val="22"/>
          <w:szCs w:val="22"/>
        </w:rPr>
        <w:t xml:space="preserve">human (hg19) reference genome, and quantified using a 57,773-gene (human) downloaded from the CLC-GW server to obtain the total count values, which were combined into a table. To plot normalized expression values, total counts were normalized by the scaling option in CLC-GW (normalization value = mean, reference = median mean, trimming 5%). Normalized total count values were log-2 transformed after adding a pseudocount of unity. ANOVAs and Empirical analyses of DGEs </w:t>
      </w:r>
      <w:r w:rsidR="00E63BD6">
        <w:rPr>
          <w:rFonts w:ascii="Arial" w:hAnsi="Arial" w:cs="Arial"/>
          <w:color w:val="000000"/>
          <w:sz w:val="22"/>
          <w:szCs w:val="22"/>
        </w:rPr>
        <w:t xml:space="preserve">with pairwise EDGE test comparisons </w:t>
      </w:r>
      <w:r w:rsidRPr="001D1D71">
        <w:rPr>
          <w:rFonts w:ascii="Arial" w:hAnsi="Arial" w:cs="Arial"/>
          <w:color w:val="000000"/>
          <w:sz w:val="22"/>
          <w:szCs w:val="22"/>
        </w:rPr>
        <w:t>were performed in CLC-GW</w:t>
      </w:r>
      <w:r w:rsidR="00E63BD6">
        <w:rPr>
          <w:rFonts w:ascii="Arial" w:hAnsi="Arial" w:cs="Arial"/>
          <w:color w:val="000000"/>
          <w:sz w:val="22"/>
          <w:szCs w:val="22"/>
        </w:rPr>
        <w:t xml:space="preserve"> to obtain the fold-change, weighted difference, nominal P-value and FDR-corrected P-value. For the analys</w:t>
      </w:r>
      <w:r w:rsidR="003C4645">
        <w:rPr>
          <w:rFonts w:ascii="Arial" w:hAnsi="Arial" w:cs="Arial"/>
          <w:color w:val="000000"/>
          <w:sz w:val="22"/>
          <w:szCs w:val="22"/>
        </w:rPr>
        <w:t>i</w:t>
      </w:r>
      <w:r w:rsidR="00E63BD6">
        <w:rPr>
          <w:rFonts w:ascii="Arial" w:hAnsi="Arial" w:cs="Arial"/>
          <w:color w:val="000000"/>
          <w:sz w:val="22"/>
          <w:szCs w:val="22"/>
        </w:rPr>
        <w:t>s, samples from timepoints L-168</w:t>
      </w:r>
      <w:r w:rsidR="003C4645">
        <w:rPr>
          <w:rFonts w:ascii="Arial" w:hAnsi="Arial" w:cs="Arial"/>
          <w:color w:val="000000"/>
          <w:sz w:val="22"/>
          <w:szCs w:val="22"/>
        </w:rPr>
        <w:t>d, L-112d and L-56d were pooled</w:t>
      </w:r>
      <w:r w:rsidR="00B03701">
        <w:rPr>
          <w:rFonts w:ascii="Arial" w:hAnsi="Arial" w:cs="Arial"/>
          <w:color w:val="000000"/>
          <w:sz w:val="22"/>
          <w:szCs w:val="22"/>
        </w:rPr>
        <w:t xml:space="preserve"> and averaged</w:t>
      </w:r>
      <w:r w:rsidR="003C4645">
        <w:rPr>
          <w:rFonts w:ascii="Arial" w:hAnsi="Arial" w:cs="Arial"/>
          <w:color w:val="000000"/>
          <w:sz w:val="22"/>
          <w:szCs w:val="22"/>
        </w:rPr>
        <w:t xml:space="preserve"> into </w:t>
      </w:r>
      <w:r w:rsidR="00B03701">
        <w:rPr>
          <w:rFonts w:ascii="Arial" w:hAnsi="Arial" w:cs="Arial"/>
          <w:color w:val="000000"/>
          <w:sz w:val="22"/>
          <w:szCs w:val="22"/>
        </w:rPr>
        <w:t>“</w:t>
      </w:r>
      <w:r w:rsidR="003C4645">
        <w:rPr>
          <w:rFonts w:ascii="Arial" w:hAnsi="Arial" w:cs="Arial"/>
          <w:color w:val="000000"/>
          <w:sz w:val="22"/>
          <w:szCs w:val="22"/>
        </w:rPr>
        <w:t>pre-flight</w:t>
      </w:r>
      <w:r w:rsidR="00B03701">
        <w:rPr>
          <w:rFonts w:ascii="Arial" w:hAnsi="Arial" w:cs="Arial"/>
          <w:color w:val="000000"/>
          <w:sz w:val="22"/>
          <w:szCs w:val="22"/>
        </w:rPr>
        <w:t>”</w:t>
      </w:r>
      <w:r w:rsidR="003C4645">
        <w:rPr>
          <w:rFonts w:ascii="Arial" w:hAnsi="Arial" w:cs="Arial"/>
          <w:color w:val="000000"/>
          <w:sz w:val="22"/>
          <w:szCs w:val="22"/>
        </w:rPr>
        <w:t xml:space="preserve"> for pairwise comparison to either L+5d or L+120d.</w:t>
      </w:r>
    </w:p>
    <w:p w14:paraId="52270B55" w14:textId="77777777" w:rsidR="00757E55" w:rsidRDefault="00757E55" w:rsidP="00D375A6">
      <w:pPr>
        <w:pStyle w:val="NormalWeb"/>
        <w:spacing w:before="240" w:beforeAutospacing="0" w:after="240" w:afterAutospacing="0" w:line="480" w:lineRule="auto"/>
        <w:ind w:left="-280"/>
        <w:jc w:val="both"/>
        <w:rPr>
          <w:rFonts w:ascii="Arial" w:hAnsi="Arial" w:cs="Arial"/>
          <w:b/>
          <w:bCs/>
          <w:i/>
          <w:iCs/>
          <w:color w:val="000000"/>
          <w:sz w:val="22"/>
          <w:szCs w:val="22"/>
        </w:rPr>
      </w:pPr>
    </w:p>
    <w:p w14:paraId="7EF14797" w14:textId="4FD24ED4" w:rsidR="00D375A6" w:rsidRPr="009C25E3" w:rsidRDefault="00D375A6" w:rsidP="00D375A6">
      <w:pPr>
        <w:pStyle w:val="NormalWeb"/>
        <w:spacing w:before="240" w:beforeAutospacing="0" w:after="240" w:afterAutospacing="0" w:line="480" w:lineRule="auto"/>
        <w:ind w:left="-280"/>
        <w:jc w:val="both"/>
        <w:rPr>
          <w:rFonts w:ascii="Arial" w:hAnsi="Arial" w:cs="Arial"/>
          <w:b/>
          <w:bCs/>
          <w:i/>
          <w:iCs/>
          <w:color w:val="000000"/>
          <w:sz w:val="22"/>
          <w:szCs w:val="22"/>
        </w:rPr>
      </w:pPr>
      <w:r w:rsidRPr="009C25E3">
        <w:rPr>
          <w:rFonts w:ascii="Arial" w:hAnsi="Arial" w:cs="Arial"/>
          <w:b/>
          <w:bCs/>
          <w:i/>
          <w:iCs/>
          <w:color w:val="000000"/>
          <w:sz w:val="22"/>
          <w:szCs w:val="22"/>
        </w:rPr>
        <w:t xml:space="preserve">Bulk </w:t>
      </w:r>
      <w:r>
        <w:rPr>
          <w:rFonts w:ascii="Arial" w:hAnsi="Arial" w:cs="Arial"/>
          <w:b/>
          <w:bCs/>
          <w:i/>
          <w:iCs/>
          <w:color w:val="000000"/>
          <w:sz w:val="22"/>
          <w:szCs w:val="22"/>
        </w:rPr>
        <w:t xml:space="preserve">small </w:t>
      </w:r>
      <w:r w:rsidRPr="009C25E3">
        <w:rPr>
          <w:rFonts w:ascii="Arial" w:hAnsi="Arial" w:cs="Arial"/>
          <w:b/>
          <w:bCs/>
          <w:i/>
          <w:iCs/>
          <w:color w:val="000000"/>
          <w:sz w:val="22"/>
          <w:szCs w:val="22"/>
        </w:rPr>
        <w:t>RNA sequencing</w:t>
      </w:r>
    </w:p>
    <w:tbl>
      <w:tblPr>
        <w:tblStyle w:val="TableGrid"/>
        <w:tblW w:w="9296" w:type="dxa"/>
        <w:tblInd w:w="-280" w:type="dxa"/>
        <w:tblLook w:val="04A0" w:firstRow="1" w:lastRow="0" w:firstColumn="1" w:lastColumn="0" w:noHBand="0" w:noVBand="1"/>
      </w:tblPr>
      <w:tblGrid>
        <w:gridCol w:w="1551"/>
        <w:gridCol w:w="1418"/>
        <w:gridCol w:w="1842"/>
        <w:gridCol w:w="1418"/>
        <w:gridCol w:w="1276"/>
        <w:gridCol w:w="1791"/>
      </w:tblGrid>
      <w:tr w:rsidR="00D375A6" w:rsidRPr="002E73F2" w14:paraId="167ED2AA" w14:textId="77777777" w:rsidTr="00B36387">
        <w:trPr>
          <w:trHeight w:val="103"/>
        </w:trPr>
        <w:tc>
          <w:tcPr>
            <w:tcW w:w="1551" w:type="dxa"/>
          </w:tcPr>
          <w:p w14:paraId="09545B34" w14:textId="77777777" w:rsidR="00D375A6" w:rsidRPr="002E73F2" w:rsidRDefault="00D375A6" w:rsidP="007370E6">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8" w:type="dxa"/>
          </w:tcPr>
          <w:p w14:paraId="043B8A60" w14:textId="77777777" w:rsidR="00D375A6" w:rsidRPr="002E73F2" w:rsidRDefault="00D375A6" w:rsidP="007370E6">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2" w:type="dxa"/>
          </w:tcPr>
          <w:p w14:paraId="7B3825FD" w14:textId="77777777" w:rsidR="00D375A6" w:rsidRPr="002E73F2" w:rsidRDefault="00D375A6" w:rsidP="007370E6">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3416660E" w14:textId="77777777" w:rsidR="00D375A6" w:rsidRPr="002E73F2" w:rsidRDefault="00D375A6" w:rsidP="007370E6">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5A55E666" w14:textId="77777777" w:rsidR="00D375A6" w:rsidRPr="002E73F2" w:rsidRDefault="00D375A6" w:rsidP="007370E6">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2C74C38D" w14:textId="77777777" w:rsidR="00D375A6" w:rsidRPr="002E73F2" w:rsidRDefault="00D375A6" w:rsidP="007370E6">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D375A6" w:rsidRPr="002E73F2" w14:paraId="45A7C02E" w14:textId="77777777" w:rsidTr="00B36387">
        <w:trPr>
          <w:trHeight w:val="103"/>
        </w:trPr>
        <w:tc>
          <w:tcPr>
            <w:tcW w:w="1551" w:type="dxa"/>
          </w:tcPr>
          <w:p w14:paraId="1A648074" w14:textId="004AEB8B" w:rsidR="00D375A6" w:rsidRPr="002E73F2" w:rsidRDefault="00D375A6" w:rsidP="007370E6">
            <w:pPr>
              <w:pStyle w:val="NormalWeb"/>
              <w:spacing w:before="0" w:beforeAutospacing="0" w:after="0" w:afterAutospacing="0"/>
              <w:rPr>
                <w:rFonts w:ascii="Arial" w:hAnsi="Arial" w:cs="Arial"/>
                <w:color w:val="000000"/>
                <w:sz w:val="20"/>
                <w:szCs w:val="20"/>
              </w:rPr>
            </w:pPr>
            <w:r>
              <w:rPr>
                <w:rFonts w:ascii="Arial" w:hAnsi="Arial" w:cs="Arial"/>
                <w:sz w:val="20"/>
                <w:szCs w:val="20"/>
              </w:rPr>
              <w:t>BNL-1</w:t>
            </w:r>
          </w:p>
        </w:tc>
        <w:tc>
          <w:tcPr>
            <w:tcW w:w="1418" w:type="dxa"/>
          </w:tcPr>
          <w:p w14:paraId="1CA09A90" w14:textId="7D9E697E" w:rsidR="00D375A6" w:rsidRPr="002E73F2" w:rsidRDefault="00D375A6" w:rsidP="007370E6">
            <w:pPr>
              <w:pStyle w:val="NormalWeb"/>
              <w:spacing w:before="0" w:beforeAutospacing="0" w:after="0" w:afterAutospacing="0"/>
              <w:rPr>
                <w:rFonts w:ascii="Arial" w:hAnsi="Arial" w:cs="Arial"/>
                <w:color w:val="000000"/>
                <w:sz w:val="20"/>
                <w:szCs w:val="20"/>
              </w:rPr>
            </w:pPr>
            <w:r>
              <w:rPr>
                <w:rFonts w:ascii="Arial" w:hAnsi="Arial" w:cs="Arial"/>
                <w:sz w:val="20"/>
                <w:szCs w:val="20"/>
              </w:rPr>
              <w:t>Plasma</w:t>
            </w:r>
          </w:p>
        </w:tc>
        <w:tc>
          <w:tcPr>
            <w:tcW w:w="1842" w:type="dxa"/>
          </w:tcPr>
          <w:p w14:paraId="58565789" w14:textId="10125462" w:rsidR="00D375A6" w:rsidRPr="002E73F2" w:rsidRDefault="009A76DB" w:rsidP="007370E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{"citationID":"qPORuxJJ","properties":{"formattedCitation":"\\super 19,20\\nosupersub{}","plainCitation":"19,20","noteIndex":0},"citationItems":[{"id":3716,"uris":["http://zotero.org/users/1547967/items/RFJMMG2H"],"itemData":{"id":3716,"type":"article-journal","abstract":"We have identified and validated a spaceflight-associated microRNA (miRNA) signature that is shared by rodents and humans in response to simulated, short-duration and long-duration spaceflight. Previous studies have identified miRNAs that regulate rodent responses to spaceflight in low-Earth orbit, and we have confirmed the expression of these proposed spaceflight-associated miRNAs in rodents reacting to simulated spaceflight conditions. Moreover, astronaut samples from the NASA Twins Study confirmed these expression signatures in miRNA sequencing, single-cell RNA sequencing (scRNA-seq), and single-cell assay for transposase accessible chromatin (scATAC-seq) data. Additionally, a subset of these miRNAs (miR-125, miR-16, and let-7a) was found to regulate vascular damage caused by simulated deep space radiation. To demonstrate the physiological relevance of key spaceflight-associated miRNAs, we utilized antagomirs to inhibit their expression and successfully rescue simulated deep-space-radiation-mediated damage in human 3D vascular constructs.","container-title":"Cell Reports","DOI":"10.1016/j.celrep.2020.108448","ISSN":"2211-1247","issue":"10","journalAbbreviation":"Cell Reports","language":"en","page":"108448","source":"ScienceDirect","title":"Circulating miRNA Spaceflight Signature Reveals Targets for Countermeasure Development","volume":"33","author":[{"family":"Malkani","given":"Sherina"},{"family":"Chin","given":"Christopher R."},{"family":"Cekanaviciute","given":"Egle"},{"family":"Mortreux","given":"Marie"},{"family":"Okinula","given":"Hazeem"},{"family":"Tarbier","given":"Marcel"},{"family":"Schreurs","given":"Ann-Sofie"},{"family":"Shirazi-Fard","given":"Yasaman"},{"family":"Tahimic","given":"Candice G. T."},{"family":"Rodriguez","given":"Deyra N."},{"family":"Sexton","given":"Brittany S."},{"family":"Butler","given":"Daniel"},{"family":"Verma","given":"Akanksha"},{"family":"Bezdan","given":"Daniela"},{"family":"Durmaz","given":"Ceyda"},{"family":"MacKay","given":"Matthew"},{"family":"Melnick","given":"Ari"},{"family":"Meydan","given":"Cem"},{"family":"Li","given":"Sheng"},{"family":"Garrett-Bakelman","given":"Francine"},{"family":"Fromm","given":"Bastian"},{"family":"Afshinnekoo","given":"Ebrahim"},{"family":"Langhorst","given":"Brad W."},{"family":"Dimalanta","given":"Eileen T."},{"family":"Cheng-Campbell","given":"Margareth"},{"family":"Blaber","given":"Elizabeth"},{"family":"Schisler","given":"Jonathan C."},{"family":"Vanderburg","given":"Charles"},{"family":"Friedländer","given":"Marc R."},{"family":"McDonald","given":"J. Tyson"},{"family":"Costes","given":"Sylvain V."},{"family":"Rutkove","given":"Seward"},{"family":"Grabham","given":"Peter"},{"family":"Mason","given":"Christopher E."},{"family":"Beheshti","given":"Afshin"}],"issued":{"date-parts":[["2020",12,8]]}}},{"id":15947,"uris":["http://zotero.org/users/1547967/items/RUNYBB9U"],"itemData":{"id":15947,"type":"webpage","title":"NASA OSDR: Open Science for Life in Space","URL":"https://osdr.nasa.gov/bio/repo/data/studies/OSD-336","accessed":{"date-parts":[["2023",5,25]]}}}],"schema":"https://github.com/citation-style-language/schema/raw/master/csl-citation.json"}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19,20</w:t>
            </w:r>
            <w:r>
              <w:rPr>
                <w:rFonts w:ascii="Arial" w:hAnsi="Arial" w:cs="Arial"/>
                <w:color w:val="000000"/>
                <w:sz w:val="20"/>
                <w:szCs w:val="20"/>
              </w:rPr>
              <w:fldChar w:fldCharType="end"/>
            </w:r>
          </w:p>
        </w:tc>
        <w:tc>
          <w:tcPr>
            <w:tcW w:w="1418" w:type="dxa"/>
          </w:tcPr>
          <w:p w14:paraId="0368F8B7" w14:textId="287E7CC1" w:rsidR="00D375A6" w:rsidRPr="002E73F2" w:rsidRDefault="009A76DB" w:rsidP="007370E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{"citationID":"lqNb8snN","properties":{"formattedCitation":"\\super 20\\nosupersub{}","plainCitation":"20","noteIndex":0},"citationItems":[{"id":15947,"uris":["http://zotero.org/users/1547967/items/RUNYBB9U"],"itemData":{"id":15947,"type":"webpage","title":"NASA OSDR: Open Science for Life in Space","URL":"https://osdr.nasa.gov/bio/repo/data/studies/OSD-336","accessed":{"date-parts":[["2023",5,25]]}}}],"schema":"https://github.com/citation-style-language/schema/raw/master/csl-citation.json"}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20</w:t>
            </w:r>
            <w:r>
              <w:rPr>
                <w:rFonts w:ascii="Arial" w:hAnsi="Arial" w:cs="Arial"/>
                <w:color w:val="000000"/>
                <w:sz w:val="20"/>
                <w:szCs w:val="20"/>
              </w:rPr>
              <w:fldChar w:fldCharType="end"/>
            </w:r>
          </w:p>
        </w:tc>
        <w:tc>
          <w:tcPr>
            <w:tcW w:w="1276" w:type="dxa"/>
          </w:tcPr>
          <w:p w14:paraId="6D1A4511" w14:textId="419FC857" w:rsidR="00D375A6" w:rsidRPr="002E73F2" w:rsidRDefault="009A76DB" w:rsidP="007370E6">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305DD2">
              <w:rPr>
                <w:rFonts w:ascii="Arial" w:hAnsi="Arial" w:cs="Arial"/>
                <w:sz w:val="20"/>
                <w:szCs w:val="20"/>
              </w:rPr>
              <w:instrText xml:space="preserve"> ADDIN ZOTERO_ITEM CSL_CITATION {"citationID":"r3R3wjdW","properties":{"formattedCitation":"\\super 21\\nosupersub{}","plainCitation":"21","noteIndex":0},"citationItems":[{"id":15945,"uris":["http://zotero.org/users/1547967/items/GGYPKKJS"],"itemData":{"id":15945,"type":"article-journal","container-title":"iScience","DOI":"10.1016/j.isci.2020.101771","ISSN":"2589-0042","issue":"12","journalAbbreviation":"iScience","language":"English","note":"publisher: Elsevier\nPMID: 33376971","source":"www.cell.com","title":"LET-Dependent Low Dose and Synergistic Inhibition of Human Angiogenesis by Charged Particles: Validation of miRNAs that Drive Inhibition","title-short":"LET-Dependent Low Dose and Synergistic Inhibition of Human Angiogenesis by Charged Particles","URL":"https://www.cell.com/iscience/abstract/S2589-0042(20)30968-8","volume":"23","author":[{"family":"Wuu","given":"Yen-Ruh"},{"family":"Hu","given":"Burong"},{"family":"Okunola","given":"Hazeem"},{"family":"Paul","given":"Amber M."},{"family":"Blaber","given":"Elizabeth A."},{"family":"Cheng-Campbell","given":"Margareth"},{"family":"Beheshti","given":"Afshin"},{"family":"Grabham","given":"Peter"}],"accessed":{"date-parts":[["2023",5,25]]},"issued":{"date-parts":[["2020",12,18]]}}}],"schema":"https://github.com/citation-style-language/schema/raw/master/csl-citation.json"} </w:instrText>
            </w:r>
            <w:r>
              <w:rPr>
                <w:rFonts w:ascii="Arial" w:hAnsi="Arial" w:cs="Arial"/>
                <w:sz w:val="20"/>
                <w:szCs w:val="20"/>
              </w:rPr>
              <w:fldChar w:fldCharType="separate"/>
            </w:r>
            <w:r w:rsidR="00305DD2" w:rsidRPr="00305DD2">
              <w:rPr>
                <w:rFonts w:ascii="Arial" w:hAnsi="Arial" w:cs="Arial"/>
                <w:sz w:val="20"/>
                <w:vertAlign w:val="superscript"/>
              </w:rPr>
              <w:t>21</w:t>
            </w:r>
            <w:r>
              <w:rPr>
                <w:rFonts w:ascii="Arial" w:hAnsi="Arial" w:cs="Arial"/>
                <w:sz w:val="20"/>
                <w:szCs w:val="20"/>
              </w:rPr>
              <w:fldChar w:fldCharType="end"/>
            </w:r>
          </w:p>
        </w:tc>
        <w:tc>
          <w:tcPr>
            <w:tcW w:w="1791" w:type="dxa"/>
          </w:tcPr>
          <w:p w14:paraId="23D88D0C" w14:textId="46EDA787" w:rsidR="00D375A6" w:rsidRPr="002E73F2" w:rsidRDefault="00F2747F" w:rsidP="007370E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See below</w:t>
            </w:r>
          </w:p>
        </w:tc>
      </w:tr>
    </w:tbl>
    <w:p w14:paraId="56BF23AD" w14:textId="77777777" w:rsidR="00875E44" w:rsidRDefault="00875E44" w:rsidP="00A04AE9">
      <w:pPr>
        <w:pStyle w:val="NormalWeb"/>
        <w:spacing w:before="240" w:beforeAutospacing="0" w:after="240" w:afterAutospacing="0" w:line="480" w:lineRule="auto"/>
        <w:ind w:left="-280"/>
        <w:jc w:val="both"/>
        <w:rPr>
          <w:rFonts w:ascii="Arial" w:hAnsi="Arial" w:cs="Arial"/>
          <w:color w:val="000000"/>
          <w:sz w:val="22"/>
          <w:szCs w:val="22"/>
        </w:rPr>
      </w:pPr>
    </w:p>
    <w:p w14:paraId="65058318" w14:textId="0B8A8829" w:rsidR="00844D4D" w:rsidRPr="00844D4D" w:rsidRDefault="00844D4D" w:rsidP="00A04AE9">
      <w:pPr>
        <w:pStyle w:val="NormalWeb"/>
        <w:spacing w:before="240" w:beforeAutospacing="0" w:after="240" w:afterAutospacing="0" w:line="480" w:lineRule="auto"/>
        <w:ind w:left="-280"/>
        <w:jc w:val="both"/>
        <w:rPr>
          <w:rFonts w:ascii="Arial" w:hAnsi="Arial" w:cs="Arial"/>
          <w:color w:val="000000"/>
          <w:sz w:val="22"/>
          <w:szCs w:val="22"/>
          <w:u w:val="single"/>
        </w:rPr>
      </w:pPr>
      <w:r w:rsidRPr="00844D4D">
        <w:rPr>
          <w:rFonts w:ascii="Arial" w:hAnsi="Arial" w:cs="Arial"/>
          <w:color w:val="000000"/>
          <w:sz w:val="22"/>
          <w:szCs w:val="22"/>
          <w:u w:val="single"/>
        </w:rPr>
        <w:t>miRNA WGCNA and target pathway analysis</w:t>
      </w:r>
    </w:p>
    <w:p w14:paraId="452B81DB" w14:textId="7C82E6C2" w:rsidR="00B36387" w:rsidRDefault="00875E44" w:rsidP="00E26FC8">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The R package w</w:t>
      </w:r>
      <w:r w:rsidRPr="00875E44">
        <w:rPr>
          <w:rFonts w:ascii="Arial" w:hAnsi="Arial" w:cs="Arial"/>
          <w:color w:val="000000"/>
          <w:sz w:val="22"/>
          <w:szCs w:val="22"/>
        </w:rPr>
        <w:t>eighted correlation network analysis (WGCNA)</w:t>
      </w:r>
      <w:r w:rsidR="00FB3713">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{"citationID":"vItNmeuN","properties":{"formattedCitation":"\\super 22\\nosupersub{}","plainCitation":"22","noteIndex":0},"citationItems":[{"id":15882,"uris":["http://zotero.org/users/1547967/items/XM5UGQ6B"],"itemData":{"id":15882,"type":"article-journal","abstract":"Correlation networks are increasingly being used in bioinformatics applications. For example, weighted gene co-expression network analysis is a systems biology method for describing the correlation patterns among genes across microarray samples. Weighted correlation network analysis (WGCNA) can be used for finding clusters (modules) of highly correlated genes, for summarizing such clusters using the module eigengene or an intramodular hub gene, for relating modules to one another and to external sample traits (using eigengene network methodology), and for calculating module membership measures. Correlation networks facilitate network based gene screening methods that can be used to identify candidate biomarkers or therapeutic targets. These methods have been successfully applied in various biological contexts, e.g. cancer, mouse genetics, yeast genetics, and analysis of brain imaging data. While parts of the correlation network methodology have been described in separate publications, there is a need to provide a user-friendly, comprehensive, and consistent software implementation and an accompanying tutorial.","container-title":"BMC Bioinformatics","DOI":"10.1186/1471-2105-9-559","ISSN":"1471-2105","issue":"1","journalAbbreviation":"BMC Bioinformatics","page":"559","source":"BioMed Central","title":"WGCNA: an R package for weighted correlation network analysis","title-short":"WGCNA","volume":"9","author":[{"family":"Langfelder","given":"Peter"},{"family":"Horvath","given":"Steve"}],"issued":{"date-parts":[["2008",12,29]]}}}],"schema":"https://github.com/citation-style-language/schema/raw/master/csl-citation.json"} </w:instrText>
      </w:r>
      <w:r w:rsidR="00FB3713">
        <w:rPr>
          <w:rFonts w:ascii="Arial" w:hAnsi="Arial" w:cs="Arial"/>
          <w:color w:val="000000"/>
          <w:sz w:val="22"/>
          <w:szCs w:val="22"/>
        </w:rPr>
        <w:fldChar w:fldCharType="separate"/>
      </w:r>
      <w:r w:rsidR="00305DD2" w:rsidRPr="00305DD2">
        <w:rPr>
          <w:rFonts w:ascii="Arial" w:hAnsi="Arial" w:cs="Arial"/>
          <w:sz w:val="22"/>
          <w:vertAlign w:val="superscript"/>
        </w:rPr>
        <w:t>22</w:t>
      </w:r>
      <w:r w:rsidR="00FB3713">
        <w:rPr>
          <w:rFonts w:ascii="Arial" w:hAnsi="Arial" w:cs="Arial"/>
          <w:color w:val="000000"/>
          <w:sz w:val="22"/>
          <w:szCs w:val="22"/>
        </w:rPr>
        <w:fldChar w:fldCharType="end"/>
      </w:r>
      <w:r w:rsidR="00FB3713">
        <w:rPr>
          <w:rFonts w:ascii="Arial" w:hAnsi="Arial" w:cs="Arial"/>
          <w:color w:val="000000"/>
          <w:sz w:val="22"/>
          <w:szCs w:val="22"/>
        </w:rPr>
        <w:t xml:space="preserve"> </w:t>
      </w:r>
      <w:r>
        <w:rPr>
          <w:rFonts w:ascii="Arial" w:hAnsi="Arial" w:cs="Arial"/>
          <w:color w:val="000000"/>
          <w:sz w:val="22"/>
          <w:szCs w:val="22"/>
        </w:rPr>
        <w:t xml:space="preserve">was </w:t>
      </w:r>
      <w:r w:rsidRPr="00875E44">
        <w:rPr>
          <w:rFonts w:ascii="Arial" w:hAnsi="Arial" w:cs="Arial"/>
          <w:color w:val="000000"/>
          <w:sz w:val="22"/>
          <w:szCs w:val="22"/>
        </w:rPr>
        <w:t xml:space="preserve">used </w:t>
      </w:r>
      <w:r>
        <w:rPr>
          <w:rFonts w:ascii="Arial" w:hAnsi="Arial" w:cs="Arial"/>
          <w:color w:val="000000"/>
          <w:sz w:val="22"/>
          <w:szCs w:val="22"/>
        </w:rPr>
        <w:t xml:space="preserve">to </w:t>
      </w:r>
      <w:r w:rsidRPr="00875E44">
        <w:rPr>
          <w:rFonts w:ascii="Arial" w:hAnsi="Arial" w:cs="Arial"/>
          <w:color w:val="000000"/>
          <w:sz w:val="22"/>
          <w:szCs w:val="22"/>
        </w:rPr>
        <w:t>find clusters (</w:t>
      </w:r>
      <w:r>
        <w:rPr>
          <w:rFonts w:ascii="Arial" w:hAnsi="Arial" w:cs="Arial"/>
          <w:color w:val="000000"/>
          <w:sz w:val="22"/>
          <w:szCs w:val="22"/>
        </w:rPr>
        <w:t xml:space="preserve">ME; </w:t>
      </w:r>
      <w:r w:rsidRPr="00875E44">
        <w:rPr>
          <w:rFonts w:ascii="Arial" w:hAnsi="Arial" w:cs="Arial"/>
          <w:color w:val="000000"/>
          <w:sz w:val="22"/>
          <w:szCs w:val="22"/>
        </w:rPr>
        <w:t xml:space="preserve">module-eigengenes) of highly correlated </w:t>
      </w:r>
      <w:r>
        <w:rPr>
          <w:rFonts w:ascii="Arial" w:hAnsi="Arial" w:cs="Arial"/>
          <w:color w:val="000000"/>
          <w:sz w:val="22"/>
          <w:szCs w:val="22"/>
        </w:rPr>
        <w:t xml:space="preserve">plasma miRNA transcripts with a high likelihood of co-expression and similar biological function. Dendrograms and heatmaps were generated for all </w:t>
      </w:r>
      <w:r>
        <w:rPr>
          <w:rFonts w:ascii="Arial" w:hAnsi="Arial" w:cs="Arial"/>
          <w:color w:val="000000"/>
          <w:sz w:val="22"/>
          <w:szCs w:val="22"/>
        </w:rPr>
        <w:lastRenderedPageBreak/>
        <w:t xml:space="preserve">MEs and aggregate differential abundances were calculated for each ME comparing Sham to GCR-exposed animals. </w:t>
      </w:r>
    </w:p>
    <w:p w14:paraId="4F0B9647" w14:textId="32F24506" w:rsidR="00E26FC8" w:rsidRPr="00E26FC8" w:rsidRDefault="00875E44" w:rsidP="00E26FC8">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 xml:space="preserve">The miRNAs in these MEs were then input into </w:t>
      </w:r>
      <w:r w:rsidRPr="00875E44">
        <w:rPr>
          <w:rFonts w:ascii="Arial" w:hAnsi="Arial" w:cs="Arial"/>
          <w:color w:val="000000"/>
          <w:sz w:val="22"/>
          <w:szCs w:val="22"/>
        </w:rPr>
        <w:t>MicroRNA ENrichment TURned NETwork</w:t>
      </w:r>
      <w:r w:rsidR="002F0BB1">
        <w:rPr>
          <w:rFonts w:ascii="Arial" w:hAnsi="Arial" w:cs="Arial"/>
          <w:color w:val="000000"/>
          <w:sz w:val="22"/>
          <w:szCs w:val="22"/>
        </w:rPr>
        <w:t xml:space="preserve"> (</w:t>
      </w:r>
      <w:r>
        <w:rPr>
          <w:rFonts w:ascii="Arial" w:hAnsi="Arial" w:cs="Arial"/>
          <w:color w:val="000000"/>
          <w:sz w:val="22"/>
          <w:szCs w:val="22"/>
        </w:rPr>
        <w:t>MIENTURNET</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{"citationID":"TcZVDs8I","properties":{"formattedCitation":"\\super 23\\nosupersub{}","plainCitation":"23","noteIndex":0},"citationItems":[{"id":15881,"uris":["http://zotero.org/users/1547967/items/EBQ2E2WE"],"itemData":{"id":15881,"type":"article-journal","abstract":"miRNAs regulate the expression of several genes with one miRNA able to target multiple genes and with one gene able to be simultaneously targeted by more than one miRNA. Therefore, it has become indispensable to shorten the long list of miRNA-target interactions to put in the spotlight in order to gain insight into understanding the regulatory mechanism orchestrated by miRNAs in various cellular processes. A reasonable solution is certainly to prioritize miRNA-target interactions to maximize the effectiveness of the downstream analysis.","container-title":"BMC Bioinformatics","DOI":"10.1186/s12859-019-3105-x","ISSN":"1471-2105","issue":"1","journalAbbreviation":"BMC Bioinformatics","page":"545","source":"BioMed Central","title":"MIENTURNET: an interactive web tool for microRNA-target enrichment and network-based analysis","title-short":"MIENTURNET","volume":"20","author":[{"family":"Licursi","given":"Valerio"},{"family":"Conte","given":"Federica"},{"family":"Fiscon","given":"Giulia"},{"family":"Paci","given":"Paola"}],"issued":{"date-parts":[["2019",11,4]]}}}],"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23</w:t>
      </w:r>
      <w:r w:rsidR="004B5A2B">
        <w:rPr>
          <w:rFonts w:ascii="Arial" w:hAnsi="Arial" w:cs="Arial"/>
          <w:color w:val="000000"/>
          <w:sz w:val="22"/>
          <w:szCs w:val="22"/>
        </w:rPr>
        <w:fldChar w:fldCharType="end"/>
      </w:r>
      <w:r w:rsidR="002F0BB1">
        <w:rPr>
          <w:rFonts w:ascii="Arial" w:hAnsi="Arial" w:cs="Arial"/>
          <w:color w:val="000000"/>
          <w:sz w:val="22"/>
          <w:szCs w:val="22"/>
        </w:rPr>
        <w:t>) webtool</w:t>
      </w:r>
      <w:r>
        <w:rPr>
          <w:rFonts w:ascii="Arial" w:hAnsi="Arial" w:cs="Arial"/>
          <w:color w:val="000000"/>
          <w:sz w:val="22"/>
          <w:szCs w:val="22"/>
        </w:rPr>
        <w:t xml:space="preserve"> to </w:t>
      </w:r>
      <w:r w:rsidR="002F0BB1">
        <w:rPr>
          <w:rFonts w:ascii="Arial" w:hAnsi="Arial" w:cs="Arial"/>
          <w:color w:val="000000"/>
          <w:sz w:val="22"/>
          <w:szCs w:val="22"/>
        </w:rPr>
        <w:t xml:space="preserve">perform TargetScan-based </w:t>
      </w:r>
      <w:r w:rsidR="002F0BB1" w:rsidRPr="002F0BB1">
        <w:rPr>
          <w:rFonts w:ascii="Arial" w:hAnsi="Arial" w:cs="Arial"/>
          <w:color w:val="000000"/>
          <w:sz w:val="22"/>
          <w:szCs w:val="22"/>
        </w:rPr>
        <w:t>miRNA-target Enrichment analysis</w:t>
      </w:r>
      <w:r w:rsidR="002F0BB1">
        <w:rPr>
          <w:rFonts w:ascii="Arial" w:hAnsi="Arial" w:cs="Arial"/>
          <w:color w:val="000000"/>
          <w:sz w:val="22"/>
          <w:szCs w:val="22"/>
        </w:rPr>
        <w:t xml:space="preserve"> using the default settings. This produced a list of mRNAs that were targeted by at least miRNAs within the MEs</w:t>
      </w:r>
      <w:r w:rsidR="00244903">
        <w:rPr>
          <w:rFonts w:ascii="Arial" w:hAnsi="Arial" w:cs="Arial"/>
          <w:color w:val="000000"/>
          <w:sz w:val="22"/>
          <w:szCs w:val="22"/>
        </w:rPr>
        <w:t>,</w:t>
      </w:r>
      <w:r w:rsidR="002F0BB1">
        <w:rPr>
          <w:rFonts w:ascii="Arial" w:hAnsi="Arial" w:cs="Arial"/>
          <w:color w:val="000000"/>
          <w:sz w:val="22"/>
          <w:szCs w:val="22"/>
        </w:rPr>
        <w:t xml:space="preserve"> and those with a nominal P-value &lt;0.05</w:t>
      </w:r>
      <w:r w:rsidR="00E26FC8">
        <w:rPr>
          <w:rFonts w:ascii="Arial" w:hAnsi="Arial" w:cs="Arial"/>
          <w:color w:val="000000"/>
          <w:sz w:val="22"/>
          <w:szCs w:val="22"/>
        </w:rPr>
        <w:t xml:space="preserve"> underwent</w:t>
      </w:r>
      <w:r w:rsidR="00B36387">
        <w:rPr>
          <w:rFonts w:ascii="Arial" w:hAnsi="Arial" w:cs="Arial"/>
          <w:color w:val="000000"/>
          <w:sz w:val="22"/>
          <w:szCs w:val="22"/>
        </w:rPr>
        <w:t xml:space="preserve"> </w:t>
      </w:r>
      <w:r w:rsidR="00E26FC8" w:rsidRPr="00E26FC8">
        <w:rPr>
          <w:rFonts w:ascii="Arial" w:hAnsi="Arial" w:cs="Arial"/>
          <w:color w:val="000000"/>
          <w:sz w:val="22"/>
          <w:szCs w:val="22"/>
        </w:rPr>
        <w:t>DisGeNET</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{"citationID":"JsUVRwY1","properties":{"formattedCitation":"\\super 24\\nosupersub{}","plainCitation":"24","noteIndex":0},"citationItems":[{"id":15880,"uris":["http://zotero.org/users/1547967/items/ZP2TXSU6"],"itemData":{"id":15880,"type":"article-journal","abstract":"One of the most pressing challenges in genomic medicine is to understand the role played by genetic variation in health and disease. Thanks to the exploration of genomic variants at large scale, hundreds of thousands of disease-associated loci have been uncovered. However, the identification of variants of clinical relevance is a significant challenge that requires comprehensive interrogation of previous knowledge and linkage to new experimental results. To assist in this complex task, we created DisGeNET (http://www.disgenet.org/), a knowledge management platform integrating and standardizing data about disease associated genes and variants from multiple sources, including the scientific literature. DisGeNET covers the full spectrum of human diseases as well as normal and abnormal traits. The current release covers more than 24 000 diseases and traits, 17 000 genes and 117 000 genomic variants. The latest developments of DisGeNET include new sources of data, novel data attributes and prioritization metrics, a redesigned web interface and recently launched APIs. Thanks to the data standardization, the combination of expert curated information with data automatically mined from the scientific literature, and a suite of tools for accessing its publicly available data, DisGeNET is an interoperable resource supporting a variety of applications in genomic medicine and drug R&amp;amp;D.","container-title":"Nucleic Acids Research","DOI":"10.1093/nar/gkz1021","ISSN":"0305-1048","issue":"D1","journalAbbreviation":"Nucleic Acids Research","page":"D845-D855","source":"Silverchair","title":"The DisGeNET knowledge platform for disease genomics: 2019 update","title-short":"The DisGeNET knowledge platform for disease genomics","volume":"48","author":[{"family":"Piñero","given":"Janet"},{"family":"Ramírez-Anguita","given":"Juan Manuel"},{"family":"Saüch-Pitarch","given":"Josep"},{"family":"Ronzano","given":"Francesco"},{"family":"Centeno","given":"Emilio"},{"family":"Sanz","given":"Ferran"},{"family":"Furlong","given":"Laura I"}],"issued":{"date-parts":[["2020",1,8]]}}}],"schema":"https://github.com/citation-style-language/schema/raw/master/csl-citation.json"}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24</w:t>
      </w:r>
      <w:r w:rsidR="004B5A2B">
        <w:rPr>
          <w:rFonts w:ascii="Arial" w:hAnsi="Arial" w:cs="Arial"/>
          <w:color w:val="000000"/>
          <w:sz w:val="22"/>
          <w:szCs w:val="22"/>
        </w:rPr>
        <w:fldChar w:fldCharType="end"/>
      </w:r>
      <w:r w:rsidR="00E26FC8" w:rsidRPr="00E26FC8">
        <w:rPr>
          <w:rFonts w:ascii="Arial" w:hAnsi="Arial" w:cs="Arial"/>
          <w:color w:val="000000"/>
          <w:sz w:val="22"/>
          <w:szCs w:val="22"/>
        </w:rPr>
        <w:t xml:space="preserve"> </w:t>
      </w:r>
      <w:r w:rsidR="00E26FC8">
        <w:rPr>
          <w:rFonts w:ascii="Arial" w:hAnsi="Arial" w:cs="Arial"/>
          <w:color w:val="000000"/>
          <w:sz w:val="22"/>
          <w:szCs w:val="22"/>
        </w:rPr>
        <w:t xml:space="preserve">or KEGG </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{"citationID":"xFtBRc7e","properties":{"formattedCitation":"\\super 25\\nosupersub{}","plainCitation":"25","noteIndex":0},"citationItems":[{"id":15879,"uris":["http://zotero.org/users/1547967/items/RQ5TWTYJ"],"itemData":{"id":15879,"type":"article-journal","abstract":"KEGG (Kyoto Encyclopedia of Genes and Genomes) is a knowledge base for systematic analysis of gene functions, linking genomic information with higher order functional information. The genomic information is stored in the GENES database, which is a collection of gene catalogs for all the completely sequenced genomes and some partial genomes with up-to-date annotation of gene functions. The higher order functional information is stored in the PATHWAY database, which contains graphical representations of cellular processes, such as metabolism, membrane transport, signal transduction and cell cycle. The PATHWAY database is supplemented by a set of ortholog group tables for the information about conserved subpathways (pathway motifs), which are often encoded by positionally coupled genes on the chromosome and which are especially useful in predicting gene functions. A third database in KEGG is LIGAND for the information about chemical compounds, enzyme molecules and enzymatic reactions. KEGG provides Java graphics tools for browsing genome maps, comparing two genome maps and manipulating expression maps, as well as computational tools for sequence comparison, graph comparison and path computation. The KEGG databases are daily updated and made freely available (http://www.genome.ad.jp/kegg/ ).","container-title":"Nucleic Acids Research","DOI":"10.1093/nar/28.1.27","ISSN":"0305-1048","issue":"1","journalAbbreviation":"Nucleic Acids Research","page":"27-30","source":"Silverchair","title":"KEGG: Kyoto Encyclopedia of Genes and Genomes","title-short":"KEGG","volume":"28","author":[{"family":"Kanehisa","given":"Minoru"},{"family":"Goto","given":"Susumu"}],"issued":{"date-parts":[["2000",1,1]]}}}],"schema":"https://github.com/citation-style-language/schema/raw/master/csl-citation.json"}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25</w:t>
      </w:r>
      <w:r w:rsidR="004B5A2B">
        <w:rPr>
          <w:rFonts w:ascii="Arial" w:hAnsi="Arial" w:cs="Arial"/>
          <w:color w:val="000000"/>
          <w:sz w:val="22"/>
          <w:szCs w:val="22"/>
        </w:rPr>
        <w:fldChar w:fldCharType="end"/>
      </w:r>
      <w:r w:rsidR="00E26FC8">
        <w:rPr>
          <w:rFonts w:ascii="Arial" w:hAnsi="Arial" w:cs="Arial"/>
          <w:color w:val="000000"/>
          <w:sz w:val="22"/>
          <w:szCs w:val="22"/>
        </w:rPr>
        <w:t xml:space="preserve">pathway </w:t>
      </w:r>
      <w:r w:rsidR="00E26FC8" w:rsidRPr="00E26FC8">
        <w:rPr>
          <w:rFonts w:ascii="Arial" w:hAnsi="Arial" w:cs="Arial"/>
          <w:color w:val="000000"/>
          <w:sz w:val="22"/>
          <w:szCs w:val="22"/>
        </w:rPr>
        <w:t>using Metascape</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{"citationID":"KgvFomMD","properties":{"formattedCitation":"\\super 26\\nosupersub{}","plainCitation":"26","noteIndex":0},"citationItems":[{"id":15878,"uris":["http://zotero.org/users/1547967/items/YD4MRALM"],"itemData":{"id":15878,"type":"article-journal","abstract":"A critical component in the interpretation of systems-level studies is the inference of enriched biological pathways and protein complexes contained within OMICs datasets. Successful analysis requires the integration of a broad set of current biological databases and the application of a robust analytical pipeline to produce readily interpretable results. Metascape is a web-based portal designed to provide a comprehensive gene list annotation and analysis resource for experimental biologists. In terms of design features, Metascape combines functional enrichment, interactome analysis, gene annotation, and membership search to leverage over 40 independent knowledgebases within one integrated portal. Additionally, it facilitates comparative analyses of datasets across multiple independent and orthogonal experiments. Metascape provides a significantly simplified user experience through a one-click Express Analysis interface to generate interpretable outputs. Taken together, Metascape is an effective and efficient tool for experimental biologists to comprehensively analyze and interpret OMICs-based studies in the big data era.","container-title":"Nature Communications","DOI":"10.1038/s41467-019-09234-6","ISSN":"2041-1723","issue":"1","journalAbbreviation":"Nat Commun","language":"en","license":"2019 The Author(s)","note":"number: 1\npublisher: Nature Publishing Group","page":"1523","source":"www.nature.com","title":"Metascape provides a biologist-oriented resource for the analysis of systems-level datasets","volume":"10","author":[{"family":"Zhou","given":"Yingyao"},{"family":"Zhou","given":"Bin"},{"family":"Pache","given":"Lars"},{"family":"Chang","given":"Max"},{"family":"Khodabakhshi","given":"Alireza Hadj"},{"family":"Tanaseichuk","given":"Olga"},{"family":"Benner","given":"Christopher"},{"family":"Chanda","given":"Sumit K."}],"issued":{"date-parts":[["2019",4,3]]}}}],"schema":"https://github.com/citation-style-language/schema/raw/master/csl-citation.json"}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26</w:t>
      </w:r>
      <w:r w:rsidR="004B5A2B">
        <w:rPr>
          <w:rFonts w:ascii="Arial" w:hAnsi="Arial" w:cs="Arial"/>
          <w:color w:val="000000"/>
          <w:sz w:val="22"/>
          <w:szCs w:val="22"/>
        </w:rPr>
        <w:fldChar w:fldCharType="end"/>
      </w:r>
      <w:r w:rsidR="00E26FC8" w:rsidRPr="00E26FC8">
        <w:rPr>
          <w:rFonts w:ascii="Arial" w:hAnsi="Arial" w:cs="Arial"/>
          <w:color w:val="000000"/>
          <w:sz w:val="22"/>
          <w:szCs w:val="22"/>
        </w:rPr>
        <w:t xml:space="preserve"> with default settings. Mouse genes were imported as mouse and analy</w:t>
      </w:r>
      <w:r w:rsidR="00E26FC8">
        <w:rPr>
          <w:rFonts w:ascii="Arial" w:hAnsi="Arial" w:cs="Arial"/>
          <w:color w:val="000000"/>
          <w:sz w:val="22"/>
          <w:szCs w:val="22"/>
        </w:rPr>
        <w:t>s</w:t>
      </w:r>
      <w:r w:rsidR="00E26FC8" w:rsidRPr="00E26FC8">
        <w:rPr>
          <w:rFonts w:ascii="Arial" w:hAnsi="Arial" w:cs="Arial"/>
          <w:color w:val="000000"/>
          <w:sz w:val="22"/>
          <w:szCs w:val="22"/>
        </w:rPr>
        <w:t xml:space="preserve">ed as human. </w:t>
      </w:r>
      <w:r w:rsidR="00844D4D">
        <w:rPr>
          <w:rFonts w:ascii="Arial" w:hAnsi="Arial" w:cs="Arial"/>
          <w:color w:val="000000"/>
          <w:sz w:val="22"/>
          <w:szCs w:val="22"/>
        </w:rPr>
        <w:t>This was repeated for miR-125b and miR-16.</w:t>
      </w:r>
    </w:p>
    <w:p w14:paraId="62968D52" w14:textId="77777777" w:rsidR="00875E44" w:rsidRDefault="00875E44" w:rsidP="00A04AE9">
      <w:pPr>
        <w:pStyle w:val="NormalWeb"/>
        <w:spacing w:before="240" w:beforeAutospacing="0" w:after="240" w:afterAutospacing="0" w:line="480" w:lineRule="auto"/>
        <w:ind w:left="-280"/>
        <w:jc w:val="both"/>
        <w:rPr>
          <w:rFonts w:ascii="Arial" w:hAnsi="Arial" w:cs="Arial"/>
          <w:color w:val="000000"/>
          <w:sz w:val="22"/>
          <w:szCs w:val="22"/>
        </w:rPr>
      </w:pPr>
    </w:p>
    <w:p w14:paraId="6ECE6011" w14:textId="536B8588" w:rsidR="00B36387" w:rsidRPr="009C25E3" w:rsidRDefault="00B36387" w:rsidP="00B36387">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Spatial RNA sequencing</w:t>
      </w:r>
    </w:p>
    <w:p w14:paraId="75323206" w14:textId="4E97F434" w:rsidR="004C198A" w:rsidRDefault="00B549C7" w:rsidP="004C198A">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10um sections of fresh-frozen axial kidney sections from BNL-1 sham and GCR-exposed mice (n=3 per group) were processed according to the Slide-seqV2 protocol</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{"citationID":"WI3ZPmY2","properties":{"formattedCitation":"\\super 27\\nosupersub{}","plainCitation":"27","noteIndex":0},"citationItems":[{"id":15877,"uris":["http://zotero.org/users/1547967/items/PX4WE345"],"itemData":{"id":15877,"type":"article-journal","abstract":"Measurement of the location of molecules in tissues is essential for understanding tissue formation and function. Previously, we developed Slide-seq, a technology that enables transcriptome-wide detection of RNAs with a spatial resolution of 10 μm. Here we report Slide-seqV2, which combines improvements in library generation, bead synthesis and array indexing to reach an RNA capture efficiency ~50% that of single-cell RNA-seq data (~10-fold greater than Slide-seq), approaching the detection efficiency of droplet-based single-cell RNA-seq techniques. First, we leverage the detection efficiency of Slide-seqV2 to identify dendritically localized mRNAs in neurons of the mouse hippocampus. Second, we integrate the spatial information of Slide-seqV2 data with single-cell trajectory analysis tools to characterize the spatiotemporal development of the mouse neocortex, identifying underlying genetic programs that were poorly sampled with Slide-seq. The combination of near-cellular resolution and high transcript detection efficiency makes Slide-seqV2 useful across many experimental contexts.","container-title":"Nature Biotechnology","DOI":"10.1038/s41587-020-0739-1","ISSN":"1546-1696","issue":"3","journalAbbreviation":"Nat Biotechnol","language":"en","license":"2020 The Author(s), under exclusive licence to Springer Nature America, Inc.","note":"number: 3\npublisher: Nature Publishing Group","page":"313-319","source":"www.nature.com","title":"Highly sensitive spatial transcriptomics at near-cellular resolution with Slide-seqV2","volume":"39","author":[{"family":"Stickels","given":"Robert R."},{"family":"Murray","given":"Evan"},{"family":"Kumar","given":"Pawan"},{"family":"Li","given":"Jilong"},{"family":"Marshall","given":"Jamie L."},{"family":"Di Bella","given":"Daniela J."},{"family":"Arlotta","given":"Paola"},{"family":"Macosko","given":"Evan Z."},{"family":"Chen","given":"Fei"}],"issued":{"date-parts":[["2021",3]]}}}],"schema":"https://github.com/citation-style-language/schema/raw/master/csl-citation.json"}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27</w:t>
      </w:r>
      <w:r w:rsidR="004B5A2B">
        <w:rPr>
          <w:rFonts w:ascii="Arial" w:hAnsi="Arial" w:cs="Arial"/>
          <w:color w:val="000000"/>
          <w:sz w:val="22"/>
          <w:szCs w:val="22"/>
        </w:rPr>
        <w:fldChar w:fldCharType="end"/>
      </w:r>
      <w:r>
        <w:rPr>
          <w:rFonts w:ascii="Arial" w:hAnsi="Arial" w:cs="Arial"/>
          <w:color w:val="000000"/>
          <w:sz w:val="22"/>
          <w:szCs w:val="22"/>
        </w:rPr>
        <w:t xml:space="preserve">. </w:t>
      </w:r>
      <w:r w:rsidR="004C198A" w:rsidRPr="004C198A">
        <w:rPr>
          <w:rFonts w:ascii="Arial" w:hAnsi="Arial" w:cs="Arial"/>
          <w:color w:val="000000"/>
          <w:sz w:val="22"/>
          <w:szCs w:val="22"/>
        </w:rPr>
        <w:t xml:space="preserve">Samples were sequenced on an Illumina NovaSeq S2 flow cell </w:t>
      </w:r>
      <w:r w:rsidR="004C198A">
        <w:rPr>
          <w:rFonts w:ascii="Arial" w:hAnsi="Arial" w:cs="Arial"/>
          <w:color w:val="000000"/>
          <w:sz w:val="22"/>
          <w:szCs w:val="22"/>
        </w:rPr>
        <w:t>2</w:t>
      </w:r>
      <w:r w:rsidR="004C198A" w:rsidRPr="004C198A">
        <w:rPr>
          <w:rFonts w:ascii="Arial" w:hAnsi="Arial" w:cs="Arial"/>
          <w:color w:val="000000"/>
          <w:sz w:val="22"/>
          <w:szCs w:val="22"/>
        </w:rPr>
        <w:t xml:space="preserve">00 cycle kit with </w:t>
      </w:r>
      <w:r w:rsidR="004C198A">
        <w:rPr>
          <w:rFonts w:ascii="Arial" w:hAnsi="Arial" w:cs="Arial"/>
          <w:color w:val="000000"/>
          <w:sz w:val="22"/>
          <w:szCs w:val="22"/>
        </w:rPr>
        <w:t>a</w:t>
      </w:r>
      <w:r w:rsidR="004C198A" w:rsidRPr="004C198A">
        <w:rPr>
          <w:rFonts w:ascii="Arial" w:hAnsi="Arial" w:cs="Arial"/>
          <w:color w:val="000000"/>
          <w:sz w:val="22"/>
          <w:szCs w:val="22"/>
        </w:rPr>
        <w:t xml:space="preserve"> read structure</w:t>
      </w:r>
      <w:r w:rsidR="004C198A">
        <w:rPr>
          <w:rFonts w:ascii="Arial" w:hAnsi="Arial" w:cs="Arial"/>
          <w:color w:val="000000"/>
          <w:sz w:val="22"/>
          <w:szCs w:val="22"/>
        </w:rPr>
        <w:t xml:space="preserve"> of</w:t>
      </w:r>
      <w:r w:rsidR="004C198A" w:rsidRPr="004C198A">
        <w:rPr>
          <w:rFonts w:ascii="Arial" w:hAnsi="Arial" w:cs="Arial"/>
          <w:color w:val="000000"/>
          <w:sz w:val="22"/>
          <w:szCs w:val="22"/>
        </w:rPr>
        <w:t xml:space="preserve"> 4</w:t>
      </w:r>
      <w:r w:rsidR="004C198A">
        <w:rPr>
          <w:rFonts w:ascii="Arial" w:hAnsi="Arial" w:cs="Arial"/>
          <w:color w:val="000000"/>
          <w:sz w:val="22"/>
          <w:szCs w:val="22"/>
        </w:rPr>
        <w:t>3</w:t>
      </w:r>
      <w:r w:rsidR="004C198A" w:rsidRPr="004C198A">
        <w:rPr>
          <w:rFonts w:ascii="Arial" w:hAnsi="Arial" w:cs="Arial"/>
          <w:color w:val="000000"/>
          <w:sz w:val="22"/>
          <w:szCs w:val="22"/>
        </w:rPr>
        <w:t xml:space="preserve"> bases for read 1, 8 bases for the i7 index read and </w:t>
      </w:r>
      <w:r w:rsidR="004C198A">
        <w:rPr>
          <w:rFonts w:ascii="Arial" w:hAnsi="Arial" w:cs="Arial"/>
          <w:color w:val="000000"/>
          <w:sz w:val="22"/>
          <w:szCs w:val="22"/>
        </w:rPr>
        <w:t>6</w:t>
      </w:r>
      <w:r w:rsidR="004C198A" w:rsidRPr="004C198A">
        <w:rPr>
          <w:rFonts w:ascii="Arial" w:hAnsi="Arial" w:cs="Arial"/>
          <w:color w:val="000000"/>
          <w:sz w:val="22"/>
          <w:szCs w:val="22"/>
        </w:rPr>
        <w:t>0 bases for read 2. Each puck received ~</w:t>
      </w:r>
      <w:r w:rsidR="004C198A">
        <w:rPr>
          <w:rFonts w:ascii="Arial" w:hAnsi="Arial" w:cs="Arial"/>
          <w:color w:val="000000"/>
          <w:sz w:val="22"/>
          <w:szCs w:val="22"/>
        </w:rPr>
        <w:t>34</w:t>
      </w:r>
      <w:r w:rsidR="004C198A" w:rsidRPr="004C198A">
        <w:rPr>
          <w:rFonts w:ascii="Arial" w:hAnsi="Arial" w:cs="Arial"/>
          <w:color w:val="000000"/>
          <w:sz w:val="22"/>
          <w:szCs w:val="22"/>
        </w:rPr>
        <w:t>0 million reads, corresponding to</w:t>
      </w:r>
      <w:r w:rsidR="004C198A">
        <w:rPr>
          <w:rFonts w:ascii="Arial" w:hAnsi="Arial" w:cs="Arial"/>
          <w:color w:val="000000"/>
          <w:sz w:val="22"/>
          <w:szCs w:val="22"/>
        </w:rPr>
        <w:t xml:space="preserve"> </w:t>
      </w:r>
      <w:r w:rsidR="004C198A" w:rsidRPr="004C198A">
        <w:rPr>
          <w:rFonts w:ascii="Arial" w:hAnsi="Arial" w:cs="Arial"/>
          <w:color w:val="000000"/>
          <w:sz w:val="22"/>
          <w:szCs w:val="22"/>
        </w:rPr>
        <w:t>~3,</w:t>
      </w:r>
      <w:r w:rsidR="004C198A">
        <w:rPr>
          <w:rFonts w:ascii="Arial" w:hAnsi="Arial" w:cs="Arial"/>
          <w:color w:val="000000"/>
          <w:sz w:val="22"/>
          <w:szCs w:val="22"/>
        </w:rPr>
        <w:t>4</w:t>
      </w:r>
      <w:r w:rsidR="004C198A" w:rsidRPr="004C198A">
        <w:rPr>
          <w:rFonts w:ascii="Arial" w:hAnsi="Arial" w:cs="Arial"/>
          <w:color w:val="000000"/>
          <w:sz w:val="22"/>
          <w:szCs w:val="22"/>
        </w:rPr>
        <w:t>00</w:t>
      </w:r>
      <w:r w:rsidR="004C198A">
        <w:rPr>
          <w:rFonts w:ascii="Arial" w:hAnsi="Arial" w:cs="Arial"/>
          <w:color w:val="000000"/>
          <w:sz w:val="22"/>
          <w:szCs w:val="22"/>
        </w:rPr>
        <w:t xml:space="preserve"> to ~5,100</w:t>
      </w:r>
      <w:r w:rsidR="004C198A" w:rsidRPr="004C198A">
        <w:rPr>
          <w:rFonts w:ascii="Arial" w:hAnsi="Arial" w:cs="Arial"/>
          <w:color w:val="000000"/>
          <w:sz w:val="22"/>
          <w:szCs w:val="22"/>
        </w:rPr>
        <w:t xml:space="preserve"> reads per bead.</w:t>
      </w:r>
      <w:r w:rsidR="004C198A">
        <w:rPr>
          <w:rFonts w:ascii="Arial" w:hAnsi="Arial" w:cs="Arial"/>
          <w:color w:val="000000"/>
          <w:sz w:val="22"/>
          <w:szCs w:val="22"/>
        </w:rPr>
        <w:t xml:space="preserve"> </w:t>
      </w:r>
      <w:r w:rsidR="007747D3">
        <w:rPr>
          <w:rFonts w:ascii="Arial" w:hAnsi="Arial" w:cs="Arial"/>
          <w:color w:val="000000"/>
          <w:sz w:val="22"/>
          <w:szCs w:val="22"/>
        </w:rPr>
        <w:t>Transcripts were then mapped back to bead coordinates and cell type classifications were assigned</w:t>
      </w:r>
      <w:r w:rsidR="003441DA">
        <w:rPr>
          <w:rFonts w:ascii="Arial" w:hAnsi="Arial" w:cs="Arial"/>
          <w:color w:val="000000"/>
          <w:sz w:val="22"/>
          <w:szCs w:val="22"/>
        </w:rPr>
        <w:t xml:space="preserve"> to each bead (and colour-coded)</w:t>
      </w:r>
      <w:r w:rsidR="007747D3">
        <w:rPr>
          <w:rFonts w:ascii="Arial" w:hAnsi="Arial" w:cs="Arial"/>
          <w:color w:val="000000"/>
          <w:sz w:val="22"/>
          <w:szCs w:val="22"/>
        </w:rPr>
        <w:t xml:space="preserve"> </w:t>
      </w:r>
      <w:r w:rsidR="00A2032D">
        <w:rPr>
          <w:rFonts w:ascii="Arial" w:hAnsi="Arial" w:cs="Arial"/>
          <w:color w:val="000000"/>
          <w:sz w:val="22"/>
          <w:szCs w:val="22"/>
        </w:rPr>
        <w:t>with</w:t>
      </w:r>
      <w:r w:rsidR="007747D3">
        <w:rPr>
          <w:rFonts w:ascii="Arial" w:hAnsi="Arial" w:cs="Arial"/>
          <w:color w:val="000000"/>
          <w:sz w:val="22"/>
          <w:szCs w:val="22"/>
        </w:rPr>
        <w:t xml:space="preserve"> the </w:t>
      </w:r>
      <w:r w:rsidR="007747D3" w:rsidRPr="007747D3">
        <w:rPr>
          <w:rFonts w:ascii="Arial" w:hAnsi="Arial" w:cs="Arial"/>
          <w:color w:val="000000"/>
          <w:sz w:val="22"/>
          <w:szCs w:val="22"/>
        </w:rPr>
        <w:t>robust cell type decomposition (RCTD)</w:t>
      </w:r>
      <w:r w:rsidR="007747D3">
        <w:rPr>
          <w:rFonts w:ascii="Arial" w:hAnsi="Arial" w:cs="Arial"/>
          <w:color w:val="000000"/>
          <w:sz w:val="22"/>
          <w:szCs w:val="22"/>
        </w:rPr>
        <w:t xml:space="preserve"> method</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{"citationID":"Sszh7xhW","properties":{"formattedCitation":"\\super 28\\nosupersub{}","plainCitation":"28","noteIndex":0},"citationItems":[{"id":15912,"uris":["http://zotero.org/users/1547967/items/A24CGR9F"],"itemData":{"id":15912,"type":"article-journal","abstract":"A limitation of spatial transcriptomics technologies is that individual measurements may contain contributions from multiple cells, hindering the discovery of cell-type-specific spatial patterns of localization and expression. Here, we develop robust cell type decomposition (RCTD), a computational method that leverages cell type profiles learned from single-cell RNA-seq to decompose cell type mixtures while correcting for differences across sequencing technologies. We demonstrate the ability of RCTD to detect mixtures and identify cell types on simulated datasets. Furthermore, RCTD accurately reproduces known cell type and subtype localization patterns in Slide-seq and Visium datasets of the mouse brain. Finally, we show how RCTD’s recovery of cell type localization enables the discovery of genes within a cell type whose expression depends on spatial environment. Spatial mapping of cell types with RCTD enables the spatial components of cellular identity to be defined, uncovering new principles of cellular organization in biological tissue. RCTD is publicly available as an open-source R package at https://github.com/dmcable/RCTD.","container-title":"Nature Biotechnology","DOI":"10.1038/s41587-021-00830-w","ISSN":"1546-1696","issue":"4","journalAbbreviation":"Nat Biotechnol","language":"en","license":"2021 The Author(s), under exclusive licence to Springer Nature America, Inc.","note":"number: 4\npublisher: Nature Publishing Group","page":"517-526","source":"www.nature.com","title":"Robust decomposition of cell type mixtures in spatial transcriptomics","volume":"40","author":[{"family":"Cable","given":"Dylan M."},{"family":"Murray","given":"Evan"},{"family":"Zou","given":"Luli S."},{"family":"Goeva","given":"Aleksandrina"},{"family":"Macosko","given":"Evan Z."},{"family":"Chen","given":"Fei"},{"family":"Irizarry","given":"Rafael A."}],"issued":{"date-parts":[["2022",4]]}}}],"schema":"https://github.com/citation-style-language/schema/raw/master/csl-citation.json"}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28</w:t>
      </w:r>
      <w:r w:rsidR="004B5A2B">
        <w:rPr>
          <w:rFonts w:ascii="Arial" w:hAnsi="Arial" w:cs="Arial"/>
          <w:color w:val="000000"/>
          <w:sz w:val="22"/>
          <w:szCs w:val="22"/>
        </w:rPr>
        <w:fldChar w:fldCharType="end"/>
      </w:r>
      <w:r w:rsidR="00A2032D">
        <w:rPr>
          <w:rFonts w:ascii="Arial" w:hAnsi="Arial" w:cs="Arial"/>
          <w:color w:val="000000"/>
          <w:sz w:val="22"/>
          <w:szCs w:val="22"/>
        </w:rPr>
        <w:t xml:space="preserve"> using a pre-existing mouse kidney cell atlas</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{"citationID":"2qtex6OT","properties":{"formattedCitation":"\\super 29\\nosupersub{}","plainCitation":"29","noteIndex":0},"citationItems":[{"id":15914,"uris":["http://zotero.org/users/1547967/items/2AUBKDGY"],"itemData":{"id":15914,"type":"article-journal","abstract":"Determining the epigenetic program that generates unique cell types in the kidney is critical for understanding cell-type heterogeneity during tissue homeostasis and injury response. Here, we profile open chromatin and gene expression in developing and adult mouse kidneys at single cell resolution. We show critical reliance of gene expression on distal regulatory elements (enhancers). We reveal key cell type-specific transcription factors and major gene-regulatory circuits for kidney cells. Dynamic chromatin and expression changes during nephron progenitor differentiation demonstrates that podocyte commitment occurs early and is associated with sustained Foxl1 expression. Renal tubule cells follow a more complex differentiation, where Hfn4a is associated with proximal and Tfap2b with distal fate. Mapping single nucleotide variants associated with human kidney disease implicates critical cell types, developmental stages, genes, and regulatory mechanisms. The single cell multi-omics atlas reveals key chromatin remodeling events and gene expression dynamics associated with kidney development.","container-title":"Nature Communications","DOI":"10.1038/s41467-021-22266-1","ISSN":"2041-1723","issue":"1","journalAbbreviation":"Nat Commun","language":"en","license":"2021 The Author(s)","note":"number: 1\npublisher: Nature Publishing Group","page":"2277","source":"www.nature.com","title":"Single cell regulatory landscape of the mouse kidney highlights cellular differentiation programs and disease targets","volume":"12","author":[{"family":"Miao","given":"Zhen"},{"family":"Balzer","given":"Michael S."},{"family":"Ma","given":"Ziyuan"},{"family":"Liu","given":"Hongbo"},{"family":"Wu","given":"Junnan"},{"family":"Shrestha","given":"Rojesh"},{"family":"Aranyi","given":"Tamas"},{"family":"Kwan","given":"Amy"},{"family":"Kondo","given":"Ayano"},{"family":"Pontoglio","given":"Marco"},{"family":"Kim","given":"Junhyong"},{"family":"Li","given":"Mingyao"},{"family":"Kaestner","given":"Klaus H."},{"family":"Susztak","given":"Katalin"}],"issued":{"date-parts":[["2021",4,15]]}}}],"schema":"https://github.com/citation-style-language/schema/raw/master/csl-citation.json"}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29</w:t>
      </w:r>
      <w:r w:rsidR="004B5A2B">
        <w:rPr>
          <w:rFonts w:ascii="Arial" w:hAnsi="Arial" w:cs="Arial"/>
          <w:color w:val="000000"/>
          <w:sz w:val="22"/>
          <w:szCs w:val="22"/>
        </w:rPr>
        <w:fldChar w:fldCharType="end"/>
      </w:r>
      <w:r w:rsidR="00A2032D">
        <w:rPr>
          <w:rFonts w:ascii="Arial" w:hAnsi="Arial" w:cs="Arial"/>
          <w:color w:val="000000"/>
          <w:sz w:val="22"/>
          <w:szCs w:val="22"/>
        </w:rPr>
        <w:t>.</w:t>
      </w:r>
      <w:r w:rsidR="0089459E">
        <w:rPr>
          <w:rFonts w:ascii="Arial" w:hAnsi="Arial" w:cs="Arial"/>
          <w:color w:val="000000"/>
          <w:sz w:val="22"/>
          <w:szCs w:val="22"/>
        </w:rPr>
        <w:t xml:space="preserve"> </w:t>
      </w:r>
    </w:p>
    <w:p w14:paraId="384F2F89" w14:textId="5A414670" w:rsidR="0089459E" w:rsidRDefault="0089459E" w:rsidP="004C198A">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 xml:space="preserve">For differential abundance analysis of transcripts per cell type, all beads of a given class were summed from </w:t>
      </w:r>
      <w:r w:rsidR="00244903">
        <w:rPr>
          <w:rFonts w:ascii="Arial" w:hAnsi="Arial" w:cs="Arial"/>
          <w:color w:val="000000"/>
          <w:sz w:val="22"/>
          <w:szCs w:val="22"/>
        </w:rPr>
        <w:t>across</w:t>
      </w:r>
      <w:r>
        <w:rPr>
          <w:rFonts w:ascii="Arial" w:hAnsi="Arial" w:cs="Arial"/>
          <w:color w:val="000000"/>
          <w:sz w:val="22"/>
          <w:szCs w:val="22"/>
        </w:rPr>
        <w:t xml:space="preserve"> n=3 puck</w:t>
      </w:r>
      <w:r w:rsidR="00244903">
        <w:rPr>
          <w:rFonts w:ascii="Arial" w:hAnsi="Arial" w:cs="Arial"/>
          <w:color w:val="000000"/>
          <w:sz w:val="22"/>
          <w:szCs w:val="22"/>
        </w:rPr>
        <w:t>s per groups, means were then log</w:t>
      </w:r>
      <w:r w:rsidR="00244903">
        <w:rPr>
          <w:rFonts w:ascii="Arial" w:hAnsi="Arial" w:cs="Arial"/>
          <w:color w:val="000000"/>
          <w:sz w:val="22"/>
          <w:szCs w:val="22"/>
          <w:vertAlign w:val="subscript"/>
        </w:rPr>
        <w:t>2</w:t>
      </w:r>
      <w:r w:rsidR="00244903">
        <w:rPr>
          <w:rFonts w:ascii="Arial" w:hAnsi="Arial" w:cs="Arial"/>
          <w:color w:val="000000"/>
          <w:sz w:val="22"/>
          <w:szCs w:val="22"/>
        </w:rPr>
        <w:t xml:space="preserve"> transformed and </w:t>
      </w:r>
      <w:r w:rsidR="00244903" w:rsidRPr="009C25E3">
        <w:rPr>
          <w:rFonts w:ascii="Arial" w:hAnsi="Arial" w:cs="Arial"/>
          <w:color w:val="000000"/>
          <w:sz w:val="22"/>
          <w:szCs w:val="22"/>
        </w:rPr>
        <w:t>DESeq2</w:t>
      </w:r>
      <w:r w:rsidR="004B5A2B">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{"citationID":"H7XVzxZM","properties":{"formattedCitation":"\\super 16\\nosupersub{}","plainCitation":"16","noteIndex":0},"citationItems":[{"id":15885,"uris":["http://zotero.org/users/1547967/items/N4923ZEJ"],"itemData":{"id":15885,"type":"article-journal","abstract":"In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http://www.bioconductor.org/packages/release/bioc/html/DESeq2.html.","container-title":"Genome Biology","DOI":"10.1186/s13059-014-0550-8","ISSN":"1474-760X","issue":"12","journalAbbreviation":"Genome Biology","page":"550","source":"BioMed Central","title":"Moderated estimation of fold change and dispersion for RNA-seq data with DESeq2","volume":"15","author":[{"family":"Love","given":"Michael I."},{"family":"Huber","given":"Wolfgang"},{"family":"Anders","given":"Simon"}],"issued":{"date-parts":[["2014",12,5]]}}}],"schema":"https://github.com/citation-style-language/schema/raw/master/csl-citation.json"} </w:instrText>
      </w:r>
      <w:r w:rsidR="004B5A2B">
        <w:rPr>
          <w:rFonts w:ascii="Arial" w:hAnsi="Arial" w:cs="Arial"/>
          <w:color w:val="000000"/>
          <w:sz w:val="22"/>
          <w:szCs w:val="22"/>
        </w:rPr>
        <w:fldChar w:fldCharType="separate"/>
      </w:r>
      <w:r w:rsidR="00305DD2" w:rsidRPr="00305DD2">
        <w:rPr>
          <w:rFonts w:ascii="Arial" w:hAnsi="Arial" w:cs="Arial"/>
          <w:sz w:val="22"/>
          <w:vertAlign w:val="superscript"/>
        </w:rPr>
        <w:t>16</w:t>
      </w:r>
      <w:r w:rsidR="004B5A2B">
        <w:rPr>
          <w:rFonts w:ascii="Arial" w:hAnsi="Arial" w:cs="Arial"/>
          <w:color w:val="000000"/>
          <w:sz w:val="22"/>
          <w:szCs w:val="22"/>
        </w:rPr>
        <w:fldChar w:fldCharType="end"/>
      </w:r>
      <w:r w:rsidR="007702DF">
        <w:rPr>
          <w:rFonts w:ascii="Arial" w:hAnsi="Arial" w:cs="Arial"/>
          <w:color w:val="000000"/>
          <w:sz w:val="22"/>
          <w:szCs w:val="22"/>
        </w:rPr>
        <w:t xml:space="preserve"> </w:t>
      </w:r>
      <w:r w:rsidR="00244903">
        <w:rPr>
          <w:rFonts w:ascii="Arial" w:hAnsi="Arial" w:cs="Arial"/>
          <w:color w:val="000000"/>
          <w:sz w:val="22"/>
          <w:szCs w:val="22"/>
        </w:rPr>
        <w:t xml:space="preserve">was used to calculate log-fold change, nominal p-values and adjusted p-values. Those with adjusted p-values &lt;0.05 were listed in </w:t>
      </w:r>
      <w:r w:rsidR="00244903">
        <w:rPr>
          <w:rFonts w:ascii="Arial" w:hAnsi="Arial" w:cs="Arial"/>
          <w:b/>
          <w:bCs/>
          <w:color w:val="000000"/>
          <w:sz w:val="22"/>
          <w:szCs w:val="22"/>
        </w:rPr>
        <w:t>Fig.5D</w:t>
      </w:r>
      <w:r w:rsidR="00244903">
        <w:rPr>
          <w:rFonts w:ascii="Arial" w:hAnsi="Arial" w:cs="Arial"/>
          <w:color w:val="000000"/>
          <w:sz w:val="22"/>
          <w:szCs w:val="22"/>
        </w:rPr>
        <w:t xml:space="preserve">, and then for each cell type those transcripts with a nominal P-value &lt;0.05 underwent </w:t>
      </w:r>
      <w:r w:rsidR="00244903" w:rsidRPr="00E26FC8">
        <w:rPr>
          <w:rFonts w:ascii="Arial" w:hAnsi="Arial" w:cs="Arial"/>
          <w:color w:val="000000"/>
          <w:sz w:val="22"/>
          <w:szCs w:val="22"/>
        </w:rPr>
        <w:t>DisGeNET</w:t>
      </w:r>
      <w:r w:rsidR="007702DF">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{"citationID":"hS8x1CjO","properties":{"formattedCitation":"\\super 24\\nosupersub{}","plainCitation":"24","noteIndex":0},"citationItems":[{"id":15880,"uris":["http://zotero.org/users/1547967/items/ZP2TXSU6"],"itemData":{"id":15880,"type":"article-journal","abstract":"One of the most pressing challenges in genomic medicine is to understand the role played by genetic variation in health and disease. Thanks to the exploration of genomic variants at large scale, hundreds of thousands of disease-associated loci have been uncovered. However, the identification of variants of clinical relevance is a significant challenge that requires comprehensive interrogation of previous knowledge and linkage to new experimental results. To assist in this complex task, we created DisGeNET (http://www.disgenet.org/), a knowledge management platform integrating and standardizing data about disease associated genes and variants from multiple sources, including the scientific literature. DisGeNET covers the full spectrum of human diseases as well as normal and abnormal traits. The current release covers more than 24 000 diseases and traits, 17 000 genes and 117 000 genomic variants. The latest developments of DisGeNET include new sources of data, novel data attributes and prioritization metrics, a redesigned web interface and recently launched APIs. Thanks to the data standardization, the combination of expert curated information with data automatically mined from the scientific literature, and a suite of tools for accessing its publicly available data, DisGeNET is an interoperable resource supporting a variety of applications in genomic medicine and drug R&amp;amp;D.","container-title":"Nucleic Acids Research","DOI":"10.1093/nar/gkz1021","ISSN":"0305-1048","issue":"D1","journalAbbreviation":"Nucleic Acids Research","page":"D845-D855","source":"Silverchair","title":"The DisGeNET knowledge platform for disease genomics: 2019 update","title-short":"The DisGeNET knowledge platform for disease genomics","volume":"48","author":[{"family":"Piñero","given":"Janet"},{"family":"Ramírez-Anguita","given":"Juan Manuel"},{"family":"Saüch-Pitarch","given":"Josep"},{"family":"Ronzano","given":"Francesco"},{"family":"Centeno","given":"Emilio"},{"family":"Sanz","given":"Ferran"},{"family":"Furlong","given":"Laura I"}],"issued":{"date-parts":[["2020",1,8]]}}}],"schema":"https://github.com/citation-style-language/schema/raw/master/csl-citation.json"} </w:instrText>
      </w:r>
      <w:r w:rsidR="007702DF">
        <w:rPr>
          <w:rFonts w:ascii="Arial" w:hAnsi="Arial" w:cs="Arial"/>
          <w:color w:val="000000"/>
          <w:sz w:val="22"/>
          <w:szCs w:val="22"/>
        </w:rPr>
        <w:fldChar w:fldCharType="separate"/>
      </w:r>
      <w:r w:rsidR="00305DD2" w:rsidRPr="00305DD2">
        <w:rPr>
          <w:rFonts w:ascii="Arial" w:hAnsi="Arial" w:cs="Arial"/>
          <w:sz w:val="22"/>
          <w:vertAlign w:val="superscript"/>
        </w:rPr>
        <w:t>24</w:t>
      </w:r>
      <w:r w:rsidR="007702DF">
        <w:rPr>
          <w:rFonts w:ascii="Arial" w:hAnsi="Arial" w:cs="Arial"/>
          <w:color w:val="000000"/>
          <w:sz w:val="22"/>
          <w:szCs w:val="22"/>
        </w:rPr>
        <w:fldChar w:fldCharType="end"/>
      </w:r>
      <w:r w:rsidR="00244903" w:rsidRPr="00E26FC8">
        <w:rPr>
          <w:rFonts w:ascii="Arial" w:hAnsi="Arial" w:cs="Arial"/>
          <w:color w:val="000000"/>
          <w:sz w:val="22"/>
          <w:szCs w:val="22"/>
        </w:rPr>
        <w:t xml:space="preserve"> </w:t>
      </w:r>
      <w:r w:rsidR="00244903">
        <w:rPr>
          <w:rFonts w:ascii="Arial" w:hAnsi="Arial" w:cs="Arial"/>
          <w:color w:val="000000"/>
          <w:sz w:val="22"/>
          <w:szCs w:val="22"/>
        </w:rPr>
        <w:t>or KEGG</w:t>
      </w:r>
      <w:r w:rsidR="007702DF">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{"citationID":"csvIkjIx","properties":{"formattedCitation":"\\super 25\\nosupersub{}","plainCitation":"25","noteIndex":0},"citationItems":[{"id":15879,"uris":["http://zotero.org/users/1547967/items/RQ5TWTYJ"],"itemData":{"id":15879,"type":"article-journal","abstract":"KEGG (Kyoto Encyclopedia of Genes and Genomes) is a knowledge base for systematic analysis of gene functions, linking genomic information with higher order functional information. The genomic information is stored in the GENES database, which is a collection of gene catalogs for all the completely sequenced genomes and some partial genomes with up-to-date annotation of gene functions. The higher order functional information is stored in the PATHWAY database, which contains graphical representations of cellular processes, such as metabolism, membrane transport, signal transduction and cell cycle. The PATHWAY database is supplemented by a set of ortholog group tables for the information about conserved subpathways (pathway motifs), which are often encoded by positionally coupled genes on the chromosome and which are especially useful in predicting gene functions. A third database in KEGG is LIGAND for the information about chemical compounds, enzyme molecules and enzymatic reactions. KEGG provides Java graphics tools for browsing genome maps, comparing two genome maps and manipulating expression maps, as well as computational tools for sequence comparison, graph comparison and path computation. The KEGG databases are daily updated and made freely available (http://www.genome.ad.jp/kegg/ ).","container-title":"Nucleic Acids Research","DOI":"10.1093/nar/28.1.27","ISSN":"0305-1048","issue":"1","journalAbbreviation":"Nucleic Acids Research","page":"27-30","source":"Silverchair","title":"KEGG: Kyoto Encyclopedia of Genes and Genomes","title-short":"KEGG","volume":"28","author":[{"family":"Kanehisa","given":"Minoru"},{"family":"Goto","given":"Susumu"}],"issued":{"date-parts":[["2000",1,1]]}}}],"schema":"https://github.com/citation-style-language/schema/raw/master/csl-citation.json"} </w:instrText>
      </w:r>
      <w:r w:rsidR="007702DF">
        <w:rPr>
          <w:rFonts w:ascii="Arial" w:hAnsi="Arial" w:cs="Arial"/>
          <w:color w:val="000000"/>
          <w:sz w:val="22"/>
          <w:szCs w:val="22"/>
        </w:rPr>
        <w:fldChar w:fldCharType="separate"/>
      </w:r>
      <w:r w:rsidR="00305DD2" w:rsidRPr="00305DD2">
        <w:rPr>
          <w:rFonts w:ascii="Arial" w:hAnsi="Arial" w:cs="Arial"/>
          <w:sz w:val="22"/>
          <w:vertAlign w:val="superscript"/>
        </w:rPr>
        <w:t>25</w:t>
      </w:r>
      <w:r w:rsidR="007702DF">
        <w:rPr>
          <w:rFonts w:ascii="Arial" w:hAnsi="Arial" w:cs="Arial"/>
          <w:color w:val="000000"/>
          <w:sz w:val="22"/>
          <w:szCs w:val="22"/>
        </w:rPr>
        <w:fldChar w:fldCharType="end"/>
      </w:r>
      <w:r w:rsidR="00244903">
        <w:rPr>
          <w:rFonts w:ascii="Arial" w:hAnsi="Arial" w:cs="Arial"/>
          <w:color w:val="000000"/>
          <w:sz w:val="22"/>
          <w:szCs w:val="22"/>
        </w:rPr>
        <w:t xml:space="preserve"> pathway </w:t>
      </w:r>
      <w:r w:rsidR="00244903" w:rsidRPr="00E26FC8">
        <w:rPr>
          <w:rFonts w:ascii="Arial" w:hAnsi="Arial" w:cs="Arial"/>
          <w:color w:val="000000"/>
          <w:sz w:val="22"/>
          <w:szCs w:val="22"/>
        </w:rPr>
        <w:t>using Metascape</w:t>
      </w:r>
      <w:r w:rsidR="007702DF">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{"citationID":"88o9WFqj","properties":{"formattedCitation":"\\super 26\\nosupersub{}","plainCitation":"26","noteIndex":0},"citationItems":[{"id":15878,"uris":["http://zotero.org/users/1547967/items/YD4MRALM"],"itemData":{"id":15878,"type":"article-journal","abstract":"A critical component in the interpretation of systems-level studies is the inference of enriched biological pathways and protein complexes contained within OMICs datasets. Successful analysis requires the integration of a broad set of current biological databases and the application of a robust analytical pipeline to produce readily interpretable results. Metascape is a web-based portal designed to provide a comprehensive gene list annotation and analysis resource for experimental biologists. In terms of design features, Metascape combines functional enrichment, interactome analysis, gene annotation, and membership search to leverage over 40 independent knowledgebases within one integrated portal. Additionally, it facilitates comparative analyses of datasets across multiple independent and orthogonal experiments. Metascape provides a significantly simplified user experience through a one-click Express Analysis interface to generate interpretable outputs. Taken together, Metascape is an effective and efficient tool for experimental biologists to comprehensively analyze and interpret OMICs-based studies in the big data era.","container-title":"Nature Communications","DOI":"10.1038/s41467-019-09234-6","ISSN":"2041-1723","issue":"1","journalAbbreviation":"Nat Commun","language":"en","license":"2019 The Author(s)","note":"number: 1\npublisher: Nature Publishing Group","page":"1523","source":"www.nature.com","title":"Metascape provides a biologist-oriented resource for the analysis of systems-level datasets","volume":"10","author":[{"family":"Zhou","given":"Yingyao"},{"family":"Zhou","given":"Bin"},{"family":"Pache","given":"Lars"},{"family":"Chang","given":"Max"},{"family":"Khodabakhshi","given":"Alireza Hadj"},{"family":"Tanaseichuk","given":"Olga"},{"family":"Benner","given":"Christopher"},{"family":"Chanda","given":"Sumit K."}],"issued":{"date-parts":[["2019",4,3]]}}}],"schema":"https://github.com/citation-style-language/schema/raw/master/csl-citation.json"} </w:instrText>
      </w:r>
      <w:r w:rsidR="007702DF">
        <w:rPr>
          <w:rFonts w:ascii="Arial" w:hAnsi="Arial" w:cs="Arial"/>
          <w:color w:val="000000"/>
          <w:sz w:val="22"/>
          <w:szCs w:val="22"/>
        </w:rPr>
        <w:fldChar w:fldCharType="separate"/>
      </w:r>
      <w:r w:rsidR="00305DD2" w:rsidRPr="00305DD2">
        <w:rPr>
          <w:rFonts w:ascii="Arial" w:hAnsi="Arial" w:cs="Arial"/>
          <w:sz w:val="22"/>
          <w:vertAlign w:val="superscript"/>
        </w:rPr>
        <w:t>26</w:t>
      </w:r>
      <w:r w:rsidR="007702DF">
        <w:rPr>
          <w:rFonts w:ascii="Arial" w:hAnsi="Arial" w:cs="Arial"/>
          <w:color w:val="000000"/>
          <w:sz w:val="22"/>
          <w:szCs w:val="22"/>
        </w:rPr>
        <w:fldChar w:fldCharType="end"/>
      </w:r>
      <w:r w:rsidR="00244903" w:rsidRPr="00E26FC8">
        <w:rPr>
          <w:rFonts w:ascii="Arial" w:hAnsi="Arial" w:cs="Arial"/>
          <w:color w:val="000000"/>
          <w:sz w:val="22"/>
          <w:szCs w:val="22"/>
        </w:rPr>
        <w:t xml:space="preserve"> with default settings. Mouse genes were imported as mouse and analy</w:t>
      </w:r>
      <w:r w:rsidR="00244903">
        <w:rPr>
          <w:rFonts w:ascii="Arial" w:hAnsi="Arial" w:cs="Arial"/>
          <w:color w:val="000000"/>
          <w:sz w:val="22"/>
          <w:szCs w:val="22"/>
        </w:rPr>
        <w:t>s</w:t>
      </w:r>
      <w:r w:rsidR="00244903" w:rsidRPr="00E26FC8">
        <w:rPr>
          <w:rFonts w:ascii="Arial" w:hAnsi="Arial" w:cs="Arial"/>
          <w:color w:val="000000"/>
          <w:sz w:val="22"/>
          <w:szCs w:val="22"/>
        </w:rPr>
        <w:t xml:space="preserve">ed as human. </w:t>
      </w:r>
    </w:p>
    <w:p w14:paraId="7A46F0E9" w14:textId="77777777" w:rsidR="00CE21FC" w:rsidRPr="00244903" w:rsidRDefault="00CE21FC" w:rsidP="004C198A">
      <w:pPr>
        <w:pStyle w:val="NormalWeb"/>
        <w:spacing w:before="240" w:beforeAutospacing="0" w:after="240" w:afterAutospacing="0" w:line="480" w:lineRule="auto"/>
        <w:ind w:left="-280"/>
        <w:jc w:val="both"/>
        <w:rPr>
          <w:rFonts w:ascii="Arial" w:hAnsi="Arial" w:cs="Arial"/>
          <w:color w:val="000000"/>
          <w:sz w:val="22"/>
          <w:szCs w:val="22"/>
        </w:rPr>
      </w:pPr>
    </w:p>
    <w:p w14:paraId="1DFA2D4A" w14:textId="27631BBE" w:rsidR="00CE21FC" w:rsidRPr="009C25E3" w:rsidRDefault="00CE21FC" w:rsidP="00CE21FC">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lastRenderedPageBreak/>
        <w:t>qPCR</w:t>
      </w:r>
    </w:p>
    <w:p w14:paraId="28959C88" w14:textId="497B3DDA" w:rsidR="00CE21FC" w:rsidRPr="00AD4634" w:rsidRDefault="00AD4634" w:rsidP="00CE21FC">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 xml:space="preserve">Pre-validated SYBR® green </w:t>
      </w:r>
      <w:r w:rsidRPr="00AD4634">
        <w:rPr>
          <w:rFonts w:ascii="Arial" w:hAnsi="Arial" w:cs="Arial"/>
          <w:color w:val="000000"/>
          <w:sz w:val="22"/>
          <w:szCs w:val="22"/>
        </w:rPr>
        <w:t>PrimePCR™</w:t>
      </w:r>
      <w:r>
        <w:rPr>
          <w:rFonts w:ascii="Arial" w:hAnsi="Arial" w:cs="Arial"/>
          <w:color w:val="000000"/>
          <w:sz w:val="22"/>
          <w:szCs w:val="22"/>
        </w:rPr>
        <w:t xml:space="preserve"> p</w:t>
      </w:r>
      <w:r w:rsidRPr="00AD4634">
        <w:rPr>
          <w:rFonts w:ascii="Arial" w:hAnsi="Arial" w:cs="Arial"/>
          <w:color w:val="000000"/>
          <w:sz w:val="22"/>
          <w:szCs w:val="22"/>
        </w:rPr>
        <w:t>rimers</w:t>
      </w:r>
      <w:r>
        <w:rPr>
          <w:rFonts w:ascii="Arial" w:hAnsi="Arial" w:cs="Arial"/>
          <w:color w:val="000000"/>
          <w:sz w:val="22"/>
          <w:szCs w:val="22"/>
        </w:rPr>
        <w:t xml:space="preserve"> (Bio-Rad) were used for qPCR analysis of reference genes (</w:t>
      </w:r>
      <w:r>
        <w:rPr>
          <w:rFonts w:ascii="Arial" w:hAnsi="Arial" w:cs="Arial"/>
          <w:i/>
          <w:iCs/>
          <w:color w:val="000000"/>
          <w:sz w:val="22"/>
          <w:szCs w:val="22"/>
        </w:rPr>
        <w:t>B2m, Rps18, Tfrc, Tbp, Ube2d2</w:t>
      </w:r>
      <w:r>
        <w:rPr>
          <w:rFonts w:ascii="Arial" w:hAnsi="Arial" w:cs="Arial"/>
          <w:color w:val="000000"/>
          <w:sz w:val="22"/>
          <w:szCs w:val="22"/>
        </w:rPr>
        <w:t>), mitochondrial fission markers (</w:t>
      </w:r>
      <w:r>
        <w:rPr>
          <w:rFonts w:ascii="Arial" w:hAnsi="Arial" w:cs="Arial"/>
          <w:i/>
          <w:iCs/>
          <w:color w:val="000000"/>
          <w:sz w:val="22"/>
          <w:szCs w:val="22"/>
        </w:rPr>
        <w:t>Dnm1l, Fis1, Mff</w:t>
      </w:r>
      <w:r>
        <w:rPr>
          <w:rFonts w:ascii="Arial" w:hAnsi="Arial" w:cs="Arial"/>
          <w:color w:val="000000"/>
          <w:sz w:val="22"/>
          <w:szCs w:val="22"/>
        </w:rPr>
        <w:t>) and fusion markers (</w:t>
      </w:r>
      <w:r>
        <w:rPr>
          <w:rFonts w:ascii="Arial" w:hAnsi="Arial" w:cs="Arial"/>
          <w:i/>
          <w:iCs/>
          <w:color w:val="000000"/>
          <w:sz w:val="22"/>
          <w:szCs w:val="22"/>
        </w:rPr>
        <w:t>Mfn1, Mfn2, Opa1</w:t>
      </w:r>
      <w:r>
        <w:rPr>
          <w:rFonts w:ascii="Arial" w:hAnsi="Arial" w:cs="Arial"/>
          <w:color w:val="000000"/>
          <w:sz w:val="22"/>
          <w:szCs w:val="22"/>
        </w:rPr>
        <w:t>)</w:t>
      </w:r>
      <w:r w:rsidR="004C36CD">
        <w:rPr>
          <w:rFonts w:ascii="Arial" w:hAnsi="Arial" w:cs="Arial"/>
          <w:color w:val="000000"/>
          <w:sz w:val="22"/>
          <w:szCs w:val="22"/>
        </w:rPr>
        <w:t xml:space="preserve"> in RNA extracted from RR-10 whole kidney homogenate</w:t>
      </w:r>
      <w:r w:rsidR="007702DF">
        <w:rPr>
          <w:rFonts w:ascii="Arial" w:hAnsi="Arial" w:cs="Arial"/>
          <w:color w:val="000000"/>
          <w:sz w:val="22"/>
          <w:szCs w:val="22"/>
        </w:rPr>
        <w:fldChar w:fldCharType="begin"/>
      </w:r>
      <w:r w:rsidR="00476A30">
        <w:rPr>
          <w:rFonts w:ascii="Arial" w:hAnsi="Arial" w:cs="Arial"/>
          <w:color w:val="000000"/>
          <w:sz w:val="22"/>
          <w:szCs w:val="22"/>
        </w:rPr>
        <w:instrText xml:space="preserve"> ADDIN ZOTERO_ITEM CSL_CITATION {"citationID":"tEzJL6pB","properties":{"formattedCitation":"\\super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sidR="007702DF">
        <w:rPr>
          <w:rFonts w:ascii="Arial" w:hAnsi="Arial" w:cs="Arial"/>
          <w:color w:val="000000"/>
          <w:sz w:val="22"/>
          <w:szCs w:val="22"/>
        </w:rPr>
        <w:fldChar w:fldCharType="separate"/>
      </w:r>
      <w:r w:rsidR="00FF78DD" w:rsidRPr="00FF78DD">
        <w:rPr>
          <w:rFonts w:ascii="Arial" w:hAnsi="Arial" w:cs="Arial"/>
          <w:sz w:val="22"/>
          <w:vertAlign w:val="superscript"/>
        </w:rPr>
        <w:t>5</w:t>
      </w:r>
      <w:r w:rsidR="007702DF">
        <w:rPr>
          <w:rFonts w:ascii="Arial" w:hAnsi="Arial" w:cs="Arial"/>
          <w:color w:val="000000"/>
          <w:sz w:val="22"/>
          <w:szCs w:val="22"/>
        </w:rPr>
        <w:fldChar w:fldCharType="end"/>
      </w:r>
      <w:r>
        <w:rPr>
          <w:rFonts w:ascii="Arial" w:hAnsi="Arial" w:cs="Arial"/>
          <w:color w:val="000000"/>
          <w:sz w:val="22"/>
          <w:szCs w:val="22"/>
        </w:rPr>
        <w:t>. Reference gene stability and normalisation factor calculations were done in RefFinder</w:t>
      </w:r>
      <w:r w:rsidR="007702DF">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{"citationID":"Fm3rlGzc","properties":{"formattedCitation":"\\super 30\\nosupersub{}","plainCitation":"30","noteIndex":0},"citationItems":[{"id":15973,"uris":["http://zotero.org/users/1547967/items/GUBQV3R3"],"itemData":{"id":15973,"type":"article-journal","abstract":"Although many genes may serve as reference genes, they may cause different expression patterns by selecting different reference genes because no single gene is expressed consistently in all tested tissues of an organism under all environmental and developmental conditions. Thus, it is becoming increasingly important and necessary to identify suitable reference genes before performing gene expression analysis. Currently, there are several computational tools available for evaluating the stability of candidate reference genes. These tools are based on different statistical algorithms and may produce different rankings in stability within the same reference gene study. To date, the RefFinder is the only web-based tool available for comparing and evaluating housekeeping genes as candidates to be reference genes. In this tool, we integrated the four currently available computational programs (geNorm, NormFinder, BestKeeper, and the comparative ΔCt method) into a web-based tool for evaluating the stability and reliability of reference genes. According to the gene stability rankings derived from the four programs, we assigned an appropriate weight to each gene and calculated the geometric mean of weights for the final rankings. Aside from the overall ranking, a single program or combination of the four programs can be selected for evaluating the ranking of candidate reference genes. This tool has been widely used and validated by many research laboratories around the world. You may use this tool at http://www.heartcure.com.au/reffinder/ or  https://blooge.cn/RefFinder/. You can also download this algorithm program from https://github.com/fulxie/RefFinderand setup on your own computer. RefFinder is developed by PHP. Users can deploy it to a Php-based server (Apache + PHP) and run it.","container-title":"Functional &amp; Integrative Genomics","DOI":"10.1007/s10142-023-01055-7","ISSN":"1438-7948","issue":"2","journalAbbreviation":"Funct Integr Genomics","language":"en","page":"125","source":"Springer Link","title":"RefFinder: a web-based tool for comprehensively analyzing and identifying reference genes","title-short":"RefFinder","volume":"23","author":[{"family":"Xie","given":"Fuliang"},{"family":"Wang","given":"Jianyu"},{"family":"Zhang","given":"Baohong"}],"issued":{"date-parts":[["2023",4,15]]}}}],"schema":"https://github.com/citation-style-language/schema/raw/master/csl-citation.json"} </w:instrText>
      </w:r>
      <w:r w:rsidR="007702DF">
        <w:rPr>
          <w:rFonts w:ascii="Arial" w:hAnsi="Arial" w:cs="Arial"/>
          <w:color w:val="000000"/>
          <w:sz w:val="22"/>
          <w:szCs w:val="22"/>
        </w:rPr>
        <w:fldChar w:fldCharType="separate"/>
      </w:r>
      <w:r w:rsidR="00305DD2" w:rsidRPr="00305DD2">
        <w:rPr>
          <w:rFonts w:ascii="Arial" w:hAnsi="Arial" w:cs="Arial"/>
          <w:sz w:val="22"/>
          <w:vertAlign w:val="superscript"/>
        </w:rPr>
        <w:t>30</w:t>
      </w:r>
      <w:r w:rsidR="007702DF">
        <w:rPr>
          <w:rFonts w:ascii="Arial" w:hAnsi="Arial" w:cs="Arial"/>
          <w:color w:val="000000"/>
          <w:sz w:val="22"/>
          <w:szCs w:val="22"/>
        </w:rPr>
        <w:fldChar w:fldCharType="end"/>
      </w:r>
      <w:r>
        <w:rPr>
          <w:rFonts w:ascii="Arial" w:hAnsi="Arial" w:cs="Arial"/>
          <w:color w:val="000000"/>
          <w:sz w:val="22"/>
          <w:szCs w:val="22"/>
        </w:rPr>
        <w:t xml:space="preserve">. Normalised relative abundances were then calculated for each of the fusion and fission markers for RR-10 ground control (n=7) vs spaceflight mice (n=8). </w:t>
      </w:r>
      <w:r w:rsidR="00B8209D">
        <w:rPr>
          <w:rFonts w:ascii="Arial" w:hAnsi="Arial" w:cs="Arial"/>
          <w:color w:val="000000"/>
          <w:sz w:val="22"/>
          <w:szCs w:val="22"/>
        </w:rPr>
        <w:t>To look for relative changes in all markers of fission and fusion, the geometric mean was calculated for both the fission and fusion markers, separately for each animal, and the arithmetic mean of these was then used to compare between groups in GraphPad Prism 9 (v.9.5.1).</w:t>
      </w:r>
    </w:p>
    <w:p w14:paraId="2E6CF72E" w14:textId="77777777" w:rsidR="00CE21FC" w:rsidRDefault="00CE21FC" w:rsidP="004C198A">
      <w:pPr>
        <w:pStyle w:val="NormalWeb"/>
        <w:spacing w:before="240" w:beforeAutospacing="0" w:after="240" w:afterAutospacing="0" w:line="480" w:lineRule="auto"/>
        <w:ind w:left="-280"/>
        <w:jc w:val="both"/>
        <w:rPr>
          <w:rFonts w:ascii="Arial" w:hAnsi="Arial" w:cs="Arial"/>
          <w:color w:val="000000"/>
          <w:sz w:val="22"/>
          <w:szCs w:val="22"/>
        </w:rPr>
      </w:pPr>
    </w:p>
    <w:p w14:paraId="5F69A7A0" w14:textId="53DA8878" w:rsidR="00CE21FC" w:rsidRPr="009C25E3" w:rsidRDefault="00CE21FC" w:rsidP="00CE21FC">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Proteome</w:t>
      </w:r>
    </w:p>
    <w:p w14:paraId="73509045" w14:textId="20CCA792" w:rsidR="00CE21FC" w:rsidRPr="009C25E3" w:rsidRDefault="007C685E" w:rsidP="00CE21FC">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 xml:space="preserve">Quantitative fractionated </w:t>
      </w:r>
      <w:r w:rsidR="0036382E">
        <w:rPr>
          <w:rFonts w:ascii="Arial" w:hAnsi="Arial" w:cs="Arial"/>
          <w:b/>
          <w:bCs/>
          <w:i/>
          <w:iCs/>
          <w:color w:val="000000"/>
          <w:sz w:val="22"/>
          <w:szCs w:val="22"/>
        </w:rPr>
        <w:t>TMT</w:t>
      </w:r>
      <w:r>
        <w:rPr>
          <w:rFonts w:ascii="Arial" w:hAnsi="Arial" w:cs="Arial"/>
          <w:b/>
          <w:bCs/>
          <w:i/>
          <w:iCs/>
          <w:color w:val="000000"/>
          <w:sz w:val="22"/>
          <w:szCs w:val="22"/>
        </w:rPr>
        <w:t>-</w:t>
      </w:r>
      <w:r w:rsidR="0036382E">
        <w:rPr>
          <w:rFonts w:ascii="Arial" w:hAnsi="Arial" w:cs="Arial"/>
          <w:b/>
          <w:bCs/>
          <w:i/>
          <w:iCs/>
          <w:color w:val="000000"/>
          <w:sz w:val="22"/>
          <w:szCs w:val="22"/>
        </w:rPr>
        <w:t>labelled DDA LC-MS/MS</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CE21FC" w:rsidRPr="002E73F2" w14:paraId="3B64F42E" w14:textId="77777777" w:rsidTr="0009583A">
        <w:trPr>
          <w:trHeight w:val="103"/>
        </w:trPr>
        <w:tc>
          <w:tcPr>
            <w:tcW w:w="1551" w:type="dxa"/>
          </w:tcPr>
          <w:p w14:paraId="74BB9D86" w14:textId="77777777" w:rsidR="00CE21FC" w:rsidRPr="002E73F2" w:rsidRDefault="00CE21FC"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5" w:type="dxa"/>
          </w:tcPr>
          <w:p w14:paraId="5C9724A0" w14:textId="77777777" w:rsidR="00CE21FC" w:rsidRPr="002E73F2" w:rsidRDefault="00CE21FC"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2D64ED36" w14:textId="77777777" w:rsidR="00CE21FC" w:rsidRPr="002E73F2" w:rsidRDefault="00CE21FC"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13ECF75A" w14:textId="77777777" w:rsidR="00CE21FC" w:rsidRPr="002E73F2" w:rsidRDefault="00CE21FC"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04D9FD28" w14:textId="77777777" w:rsidR="00CE21FC" w:rsidRPr="002E73F2" w:rsidRDefault="00CE21FC"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39D1A99E" w14:textId="77777777" w:rsidR="00CE21FC" w:rsidRPr="002E73F2" w:rsidRDefault="00CE21FC"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CE21FC" w:rsidRPr="002E73F2" w14:paraId="561BFB42" w14:textId="77777777" w:rsidTr="0009583A">
        <w:trPr>
          <w:trHeight w:val="103"/>
        </w:trPr>
        <w:tc>
          <w:tcPr>
            <w:tcW w:w="1551" w:type="dxa"/>
          </w:tcPr>
          <w:p w14:paraId="2AF86420" w14:textId="77777777" w:rsidR="00CE21FC" w:rsidRPr="002E73F2" w:rsidRDefault="00CE21FC" w:rsidP="004821F9">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RR-1</w:t>
            </w:r>
          </w:p>
        </w:tc>
        <w:tc>
          <w:tcPr>
            <w:tcW w:w="1415" w:type="dxa"/>
          </w:tcPr>
          <w:p w14:paraId="1625EA2E" w14:textId="77777777" w:rsidR="00CE21FC" w:rsidRPr="002E73F2" w:rsidRDefault="00CE21FC" w:rsidP="004821F9">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Kidney</w:t>
            </w:r>
          </w:p>
        </w:tc>
        <w:tc>
          <w:tcPr>
            <w:tcW w:w="1845" w:type="dxa"/>
          </w:tcPr>
          <w:p w14:paraId="4795B649" w14:textId="08DDE87A" w:rsidR="00CE21FC" w:rsidRPr="002E73F2" w:rsidRDefault="009A76DB"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{"citationID":"5JxUVmws","properties":{"formattedCitation":"\\super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418" w:type="dxa"/>
          </w:tcPr>
          <w:p w14:paraId="557EE49C" w14:textId="32CF933D" w:rsidR="00CE21FC" w:rsidRPr="002E73F2" w:rsidRDefault="009A76DB"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{"citationID":"UaCgZIec","properties":{"formattedCitation":"\\super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276" w:type="dxa"/>
          </w:tcPr>
          <w:p w14:paraId="00152990" w14:textId="53F51DCA" w:rsidR="00CE21FC" w:rsidRPr="002E73F2" w:rsidRDefault="009A76DB"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476A30">
              <w:rPr>
                <w:rFonts w:ascii="Arial" w:hAnsi="Arial" w:cs="Arial"/>
                <w:sz w:val="20"/>
                <w:szCs w:val="20"/>
              </w:rPr>
              <w:instrText xml:space="preserve"> ADDIN ZOTERO_ITEM CSL_CITATION {"citationID":"XVux6mEF","properties":{"formattedCitation":"\\super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sz w:val="20"/>
                <w:szCs w:val="20"/>
              </w:rPr>
              <w:fldChar w:fldCharType="separate"/>
            </w:r>
            <w:r w:rsidRPr="00406534">
              <w:rPr>
                <w:rFonts w:ascii="Arial" w:hAnsi="Arial" w:cs="Arial"/>
                <w:sz w:val="20"/>
                <w:vertAlign w:val="superscript"/>
              </w:rPr>
              <w:t>2</w:t>
            </w:r>
            <w:r>
              <w:rPr>
                <w:rFonts w:ascii="Arial" w:hAnsi="Arial" w:cs="Arial"/>
                <w:sz w:val="20"/>
                <w:szCs w:val="20"/>
              </w:rPr>
              <w:fldChar w:fldCharType="end"/>
            </w:r>
          </w:p>
        </w:tc>
        <w:tc>
          <w:tcPr>
            <w:tcW w:w="1791" w:type="dxa"/>
          </w:tcPr>
          <w:p w14:paraId="46E83A93" w14:textId="301DB43E" w:rsidR="00CE21FC" w:rsidRPr="002E73F2" w:rsidRDefault="009A76DB" w:rsidP="004821F9">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476A30">
              <w:rPr>
                <w:rFonts w:ascii="Arial" w:hAnsi="Arial" w:cs="Arial"/>
                <w:sz w:val="20"/>
                <w:szCs w:val="20"/>
              </w:rPr>
              <w:instrText xml:space="preserve"> ADDIN ZOTERO_ITEM CSL_CITATION {"citationID":"fPN84rxq","properties":{"formattedCitation":"\\super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sz w:val="20"/>
                <w:szCs w:val="20"/>
              </w:rPr>
              <w:fldChar w:fldCharType="separate"/>
            </w:r>
            <w:r w:rsidRPr="00406534">
              <w:rPr>
                <w:rFonts w:ascii="Arial" w:hAnsi="Arial" w:cs="Arial"/>
                <w:sz w:val="20"/>
                <w:vertAlign w:val="superscript"/>
              </w:rPr>
              <w:t>2</w:t>
            </w:r>
            <w:r>
              <w:rPr>
                <w:rFonts w:ascii="Arial" w:hAnsi="Arial" w:cs="Arial"/>
                <w:sz w:val="20"/>
                <w:szCs w:val="20"/>
              </w:rPr>
              <w:fldChar w:fldCharType="end"/>
            </w:r>
          </w:p>
        </w:tc>
      </w:tr>
      <w:tr w:rsidR="00CE21FC" w:rsidRPr="002E73F2" w14:paraId="7799265F" w14:textId="77777777" w:rsidTr="0009583A">
        <w:trPr>
          <w:trHeight w:val="103"/>
        </w:trPr>
        <w:tc>
          <w:tcPr>
            <w:tcW w:w="1551" w:type="dxa"/>
          </w:tcPr>
          <w:p w14:paraId="0A8302FF" w14:textId="77777777" w:rsidR="00CE21FC" w:rsidRPr="002E73F2" w:rsidRDefault="00CE21FC" w:rsidP="004821F9">
            <w:pPr>
              <w:pStyle w:val="NormalWeb"/>
              <w:spacing w:before="0" w:beforeAutospacing="0" w:after="0" w:afterAutospacing="0"/>
              <w:rPr>
                <w:rFonts w:ascii="Arial" w:hAnsi="Arial" w:cs="Arial"/>
                <w:sz w:val="20"/>
                <w:szCs w:val="20"/>
              </w:rPr>
            </w:pPr>
            <w:r w:rsidRPr="002E73F2">
              <w:rPr>
                <w:rFonts w:ascii="Arial" w:hAnsi="Arial" w:cs="Arial"/>
                <w:sz w:val="20"/>
                <w:szCs w:val="20"/>
              </w:rPr>
              <w:t>RR-3</w:t>
            </w:r>
          </w:p>
        </w:tc>
        <w:tc>
          <w:tcPr>
            <w:tcW w:w="1415" w:type="dxa"/>
          </w:tcPr>
          <w:p w14:paraId="5F16B951" w14:textId="77777777" w:rsidR="00CE21FC" w:rsidRPr="002E73F2" w:rsidRDefault="00CE21FC" w:rsidP="004821F9">
            <w:pPr>
              <w:pStyle w:val="NormalWeb"/>
              <w:spacing w:before="0" w:beforeAutospacing="0" w:after="0" w:afterAutospacing="0"/>
              <w:rPr>
                <w:rFonts w:ascii="Arial" w:hAnsi="Arial" w:cs="Arial"/>
                <w:sz w:val="20"/>
                <w:szCs w:val="20"/>
              </w:rPr>
            </w:pPr>
            <w:r w:rsidRPr="002E73F2">
              <w:rPr>
                <w:rFonts w:ascii="Arial" w:hAnsi="Arial" w:cs="Arial"/>
                <w:sz w:val="20"/>
                <w:szCs w:val="20"/>
              </w:rPr>
              <w:t>Kidney</w:t>
            </w:r>
          </w:p>
        </w:tc>
        <w:tc>
          <w:tcPr>
            <w:tcW w:w="1845" w:type="dxa"/>
          </w:tcPr>
          <w:p w14:paraId="05D0399D" w14:textId="03E638A1" w:rsidR="00CE21FC" w:rsidRPr="002E73F2" w:rsidRDefault="009A76DB"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{"citationID":"SwZbksop","properties":{"formattedCitation":"\\super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c>
          <w:tcPr>
            <w:tcW w:w="1418" w:type="dxa"/>
          </w:tcPr>
          <w:p w14:paraId="203EDFB4" w14:textId="63684B5C" w:rsidR="00CE21FC" w:rsidRPr="002E73F2" w:rsidRDefault="009A76DB"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{"citationID":"hHv5Wb2C","properties":{"formattedCitation":"\\super 3\\nosupersub{}","plainCitation":"3","noteIndex":0},"citationItems":[{"id":15889,"uris":["http://zotero.org/users/1547967/items/7CKIQZXA"],"itemData":{"id":15889,"type":"webpage","title":"NASA OSDR: Open Science for Life in Space","URL":"https://osdr.nasa.gov/bio/repo/data/studies/OSD-163","accessed":{"date-parts":[["2023",5,25]]}}}],"schema":"https://github.com/citation-style-language/schema/raw/master/csl-citation.json"}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3</w:t>
            </w:r>
            <w:r>
              <w:rPr>
                <w:rFonts w:ascii="Arial" w:hAnsi="Arial" w:cs="Arial"/>
                <w:color w:val="000000"/>
                <w:sz w:val="20"/>
                <w:szCs w:val="20"/>
              </w:rPr>
              <w:fldChar w:fldCharType="end"/>
            </w:r>
          </w:p>
        </w:tc>
        <w:tc>
          <w:tcPr>
            <w:tcW w:w="1276" w:type="dxa"/>
          </w:tcPr>
          <w:p w14:paraId="2718C18D" w14:textId="715B6B41" w:rsidR="00CE21FC" w:rsidRPr="002E73F2" w:rsidRDefault="009A76DB"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476A30">
              <w:rPr>
                <w:rFonts w:ascii="Arial" w:hAnsi="Arial" w:cs="Arial"/>
                <w:sz w:val="20"/>
                <w:szCs w:val="20"/>
              </w:rPr>
              <w:instrText xml:space="preserve"> ADDIN ZOTERO_ITEM CSL_CITATION {"citationID":"FW50xlmF","properties":{"formattedCitation":"\\super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sz w:val="20"/>
                <w:szCs w:val="20"/>
              </w:rPr>
              <w:fldChar w:fldCharType="separate"/>
            </w:r>
            <w:r w:rsidRPr="00406534">
              <w:rPr>
                <w:rFonts w:ascii="Arial" w:hAnsi="Arial" w:cs="Arial"/>
                <w:sz w:val="20"/>
                <w:vertAlign w:val="superscript"/>
              </w:rPr>
              <w:t>2</w:t>
            </w:r>
            <w:r>
              <w:rPr>
                <w:rFonts w:ascii="Arial" w:hAnsi="Arial" w:cs="Arial"/>
                <w:sz w:val="20"/>
                <w:szCs w:val="20"/>
              </w:rPr>
              <w:fldChar w:fldCharType="end"/>
            </w:r>
          </w:p>
        </w:tc>
        <w:tc>
          <w:tcPr>
            <w:tcW w:w="1791" w:type="dxa"/>
          </w:tcPr>
          <w:p w14:paraId="7BC60ACC" w14:textId="5AD8E5C1" w:rsidR="00CE21FC" w:rsidRPr="002E73F2" w:rsidRDefault="009A76DB" w:rsidP="004821F9">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476A30">
              <w:rPr>
                <w:rFonts w:ascii="Arial" w:hAnsi="Arial" w:cs="Arial"/>
                <w:sz w:val="20"/>
                <w:szCs w:val="20"/>
              </w:rPr>
              <w:instrText xml:space="preserve"> ADDIN ZOTERO_ITEM CSL_CITATION {"citationID":"FcqG596V","properties":{"formattedCitation":"\\super 2\\nosupersub{}","plainCitation":"2","noteIndex":0},"citationItems":[{"id":15886,"uris":["http://zotero.org/users/1547967/items/ZBNYEQLI"],"itemData":{"id":15886,"type":"article-journal","abstract":"&lt;h2&gt;Summary&lt;/h2&gt;&lt;p&gt;Spaceflight is known to impose changes on human physiology with unknown molecular etiologies. To reveal these causes, we used a multi-omics, systems biology analytical approach using biomedical profiles from fifty-nine astronauts and data from NASA's GeneLab derived from hundreds of samples flown in space to determine transcriptomic, proteomic, metabolomic, and epigenetic responses to spaceflight. Overall pathway analyses on the multi-omics datasets showed significant enrichment for mitochondrial processes, as well as innate immunity, chronic inflammation, cell cycle, circadian rhythm, and olfactory functions. Importantly, NASA's Twin Study provided a platform to confirm several of our principal findings. Evidence of altered mitochondrial function and DNA damage was also found in the urine and blood metabolic data compiled from the astronaut cohort and NASA Twin Study data, indicating mitochondrial stress as a consistent phenotype of spaceflight.&lt;/p&gt;","container-title":"Cell","DOI":"10.1016/j.cell.2020.11.002","ISSN":"0092-8674, 1097-4172","issue":"5","journalAbbreviation":"Cell","language":"English","note":"publisher: Elsevier\nPMID: 33242417","page":"1185-1201.e20","source":"www.cell.com","title":"Comprehensive Multi-omics Analysis Reveals Mitochondrial Stress as a Central Biological Hub for Spaceflight Impact","volume":"183","author":[{"family":"Silveira","given":"Willian A.","dropping-particle":"da"},{"family":"Fazelinia","given":"Hossein"},{"family":"Rosenthal","given":"Sara Brin"},{"family":"Laiakis","given":"Evagelia C."},{"family":"Kim","given":"Man S."},{"family":"Meydan","given":"Cem"},{"family":"Kidane","given":"Yared"},{"family":"Rathi","given":"Komal S."},{"family":"Smith","given":"Scott M."},{"family":"Stear","given":"Benjamin"},{"family":"Ying","given":"Yue"},{"family":"Zhang","given":"Yuanchao"},{"family":"Foox","given":"Jonathan"},{"family":"Zanello","given":"Susana"},{"family":"Crucian","given":"Brian"},{"family":"Wang","given":"Dong"},{"family":"Nugent","given":"Adrienne"},{"family":"Costa","given":"Helio A."},{"family":"Zwart","given":"Sara R."},{"family":"Schrepfer","given":"Sonja"},{"family":"Elworth","given":"R. A. Leo"},{"family":"Sapoval","given":"Nicolae"},{"family":"Treangen","given":"Todd"},{"family":"MacKay","given":"Matthew"},{"family":"Gokhale","given":"Nandan S."},{"family":"Horner","given":"Stacy M."},{"family":"Singh","given":"Larry N."},{"family":"Wallace","given":"Douglas C."},{"family":"Willey","given":"Jeffrey S."},{"family":"Schisler","given":"Jonathan C."},{"family":"Meller","given":"Robert"},{"family":"McDonald","given":"J. Tyson"},{"family":"Fisch","given":"Kathleen M."},{"family":"Hardiman","given":"Gary"},{"family":"Taylor","given":"Deanne"},{"family":"Mason","given":"Christopher E."},{"family":"Costes","given":"Sylvain V."},{"family":"Beheshti","given":"Afshin"}],"issued":{"date-parts":[["2020",11,25]]}}}],"schema":"https://github.com/citation-style-language/schema/raw/master/csl-citation.json"} </w:instrText>
            </w:r>
            <w:r>
              <w:rPr>
                <w:rFonts w:ascii="Arial" w:hAnsi="Arial" w:cs="Arial"/>
                <w:sz w:val="20"/>
                <w:szCs w:val="20"/>
              </w:rPr>
              <w:fldChar w:fldCharType="separate"/>
            </w:r>
            <w:r w:rsidRPr="00406534">
              <w:rPr>
                <w:rFonts w:ascii="Arial" w:hAnsi="Arial" w:cs="Arial"/>
                <w:sz w:val="20"/>
                <w:vertAlign w:val="superscript"/>
              </w:rPr>
              <w:t>2</w:t>
            </w:r>
            <w:r>
              <w:rPr>
                <w:rFonts w:ascii="Arial" w:hAnsi="Arial" w:cs="Arial"/>
                <w:sz w:val="20"/>
                <w:szCs w:val="20"/>
              </w:rPr>
              <w:fldChar w:fldCharType="end"/>
            </w:r>
          </w:p>
        </w:tc>
      </w:tr>
      <w:tr w:rsidR="0036382E" w:rsidRPr="002E73F2" w14:paraId="22BD8756" w14:textId="77777777" w:rsidTr="0009583A">
        <w:trPr>
          <w:trHeight w:val="103"/>
        </w:trPr>
        <w:tc>
          <w:tcPr>
            <w:tcW w:w="1551" w:type="dxa"/>
          </w:tcPr>
          <w:p w14:paraId="49620ADD" w14:textId="15228ED6" w:rsidR="0036382E" w:rsidRPr="002E73F2" w:rsidRDefault="0036382E" w:rsidP="0036382E">
            <w:pPr>
              <w:pStyle w:val="NormalWeb"/>
              <w:spacing w:before="0" w:beforeAutospacing="0" w:after="0" w:afterAutospacing="0"/>
              <w:rPr>
                <w:rFonts w:ascii="Arial" w:hAnsi="Arial" w:cs="Arial"/>
                <w:sz w:val="20"/>
                <w:szCs w:val="20"/>
              </w:rPr>
            </w:pPr>
            <w:r w:rsidRPr="002E73F2">
              <w:rPr>
                <w:rFonts w:ascii="Arial" w:hAnsi="Arial" w:cs="Arial"/>
                <w:sz w:val="20"/>
                <w:szCs w:val="20"/>
              </w:rPr>
              <w:t>RR-10</w:t>
            </w:r>
          </w:p>
        </w:tc>
        <w:tc>
          <w:tcPr>
            <w:tcW w:w="1415" w:type="dxa"/>
          </w:tcPr>
          <w:p w14:paraId="51479FF8" w14:textId="2B99F003" w:rsidR="0036382E" w:rsidRPr="002E73F2" w:rsidRDefault="0036382E" w:rsidP="0036382E">
            <w:pPr>
              <w:pStyle w:val="NormalWeb"/>
              <w:spacing w:before="0" w:beforeAutospacing="0" w:after="0" w:afterAutospacing="0"/>
              <w:rPr>
                <w:rFonts w:ascii="Arial" w:hAnsi="Arial" w:cs="Arial"/>
                <w:sz w:val="20"/>
                <w:szCs w:val="20"/>
              </w:rPr>
            </w:pPr>
            <w:r w:rsidRPr="002E73F2">
              <w:rPr>
                <w:rFonts w:ascii="Arial" w:hAnsi="Arial" w:cs="Arial"/>
                <w:sz w:val="20"/>
                <w:szCs w:val="20"/>
              </w:rPr>
              <w:t>Kidney</w:t>
            </w:r>
          </w:p>
        </w:tc>
        <w:tc>
          <w:tcPr>
            <w:tcW w:w="1845" w:type="dxa"/>
          </w:tcPr>
          <w:p w14:paraId="43D0C536" w14:textId="4E36719C" w:rsidR="0036382E" w:rsidRPr="002E73F2" w:rsidRDefault="009A76DB" w:rsidP="0036382E">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{"citationID":"wo8PoD9G","properties":{"formattedCitation":"\\super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418" w:type="dxa"/>
          </w:tcPr>
          <w:p w14:paraId="3B2A7379" w14:textId="7792ADE5" w:rsidR="0036382E" w:rsidRPr="002E73F2" w:rsidRDefault="009A76DB" w:rsidP="0036382E">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{"citationID":"iMiKKHQN","properties":{"formattedCitation":"\\super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276" w:type="dxa"/>
          </w:tcPr>
          <w:p w14:paraId="669CAE0A" w14:textId="09AAF9B7" w:rsidR="0036382E" w:rsidRDefault="009A76DB" w:rsidP="0036382E">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{"citationID":"xAaMWXF6","properties":{"formattedCitation":"\\super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791" w:type="dxa"/>
          </w:tcPr>
          <w:p w14:paraId="23CDA19B" w14:textId="645750D2" w:rsidR="0036382E" w:rsidRPr="002E73F2" w:rsidRDefault="009A76DB" w:rsidP="0036382E">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{"citationID":"LU0tg4dT","properties":{"formattedCitation":"\\super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r>
    </w:tbl>
    <w:p w14:paraId="790F1FF2" w14:textId="77777777" w:rsidR="00CE21FC" w:rsidRDefault="00CE21FC" w:rsidP="004C198A">
      <w:pPr>
        <w:pStyle w:val="NormalWeb"/>
        <w:spacing w:before="240" w:beforeAutospacing="0" w:after="240" w:afterAutospacing="0" w:line="480" w:lineRule="auto"/>
        <w:ind w:left="-280"/>
        <w:jc w:val="both"/>
        <w:rPr>
          <w:rFonts w:ascii="Arial" w:hAnsi="Arial" w:cs="Arial"/>
          <w:color w:val="000000"/>
          <w:sz w:val="22"/>
          <w:szCs w:val="22"/>
        </w:rPr>
      </w:pPr>
    </w:p>
    <w:p w14:paraId="46D1F423" w14:textId="233FFD7D" w:rsidR="00875E44" w:rsidRPr="00584786" w:rsidRDefault="00584786" w:rsidP="00086686">
      <w:pPr>
        <w:pStyle w:val="NormalWeb"/>
        <w:spacing w:before="240" w:beforeAutospacing="0" w:after="240" w:afterAutospacing="0" w:line="480" w:lineRule="auto"/>
        <w:jc w:val="both"/>
        <w:rPr>
          <w:rFonts w:ascii="Arial" w:hAnsi="Arial" w:cs="Arial"/>
          <w:color w:val="000000"/>
          <w:sz w:val="22"/>
          <w:szCs w:val="22"/>
          <w:u w:val="single"/>
        </w:rPr>
      </w:pPr>
      <w:r>
        <w:rPr>
          <w:rFonts w:ascii="Arial" w:hAnsi="Arial" w:cs="Arial"/>
          <w:color w:val="000000"/>
          <w:sz w:val="22"/>
          <w:szCs w:val="22"/>
          <w:u w:val="single"/>
        </w:rPr>
        <w:t>Data acquisition and processing</w:t>
      </w:r>
    </w:p>
    <w:p w14:paraId="33749631" w14:textId="420A89A3" w:rsidR="009515D3" w:rsidRPr="002734F0" w:rsidRDefault="0009583A" w:rsidP="00086686">
      <w:pPr>
        <w:spacing w:line="480" w:lineRule="auto"/>
        <w:jc w:val="both"/>
        <w:rPr>
          <w:rFonts w:ascii="Arial" w:hAnsi="Arial" w:cs="Arial"/>
        </w:rPr>
      </w:pPr>
      <w:r w:rsidRPr="002734F0">
        <w:rPr>
          <w:rFonts w:ascii="Arial" w:hAnsi="Arial" w:cs="Arial"/>
          <w:color w:val="000000"/>
        </w:rPr>
        <w:t>Either</w:t>
      </w:r>
      <w:r w:rsidR="004723BD" w:rsidRPr="002734F0">
        <w:rPr>
          <w:rFonts w:ascii="Arial" w:hAnsi="Arial" w:cs="Arial"/>
          <w:color w:val="000000"/>
        </w:rPr>
        <w:t xml:space="preserve"> fresh-frozen</w:t>
      </w:r>
      <w:r w:rsidRPr="002734F0">
        <w:rPr>
          <w:rFonts w:ascii="Arial" w:hAnsi="Arial" w:cs="Arial"/>
          <w:color w:val="000000"/>
        </w:rPr>
        <w:t xml:space="preserve"> whole (BNL-3) or axially hemisected kidneys (NSRL</w:t>
      </w:r>
      <w:r w:rsidR="00E67A1B">
        <w:rPr>
          <w:rFonts w:ascii="Arial" w:hAnsi="Arial" w:cs="Arial"/>
          <w:color w:val="000000"/>
        </w:rPr>
        <w:t>-</w:t>
      </w:r>
      <w:r w:rsidRPr="002734F0">
        <w:rPr>
          <w:rFonts w:ascii="Arial" w:hAnsi="Arial" w:cs="Arial"/>
          <w:color w:val="000000"/>
        </w:rPr>
        <w:t xml:space="preserve">22A), were </w:t>
      </w:r>
      <w:r w:rsidR="004723BD" w:rsidRPr="002734F0">
        <w:rPr>
          <w:rFonts w:ascii="Arial" w:hAnsi="Arial" w:cs="Arial"/>
          <w:color w:val="000000"/>
        </w:rPr>
        <w:t>homogenised in 1</w:t>
      </w:r>
      <w:r w:rsidR="000F7F8C">
        <w:rPr>
          <w:rFonts w:ascii="Arial" w:hAnsi="Arial" w:cs="Arial"/>
          <w:color w:val="000000"/>
        </w:rPr>
        <w:t xml:space="preserve"> </w:t>
      </w:r>
      <w:r w:rsidR="004723BD" w:rsidRPr="002734F0">
        <w:rPr>
          <w:rFonts w:ascii="Arial" w:hAnsi="Arial" w:cs="Arial"/>
          <w:color w:val="000000"/>
        </w:rPr>
        <w:t>mL of 1</w:t>
      </w:r>
      <w:r w:rsidR="000F7F8C">
        <w:rPr>
          <w:rFonts w:ascii="Arial" w:hAnsi="Arial" w:cs="Arial"/>
          <w:color w:val="000000"/>
        </w:rPr>
        <w:t xml:space="preserve"> </w:t>
      </w:r>
      <w:r w:rsidR="004723BD" w:rsidRPr="002734F0">
        <w:rPr>
          <w:rFonts w:ascii="Arial" w:hAnsi="Arial" w:cs="Arial"/>
          <w:color w:val="000000"/>
        </w:rPr>
        <w:t xml:space="preserve">ml lysis buffer (8M urea, 2M thiourea, Complete protease inhibitor (#1186153001) Phostop protease inhibitor (PHOSS-RO, both Merck)) using the </w:t>
      </w:r>
      <w:r w:rsidR="004723BD" w:rsidRPr="002734F0">
        <w:rPr>
          <w:rFonts w:ascii="Arial" w:hAnsi="Arial" w:cs="Arial"/>
        </w:rPr>
        <w:t>Precellys 24 Tissue homogeniser (6500 rpm, 1x 15</w:t>
      </w:r>
      <w:r w:rsidR="000F7F8C">
        <w:rPr>
          <w:rFonts w:ascii="Arial" w:hAnsi="Arial" w:cs="Arial"/>
        </w:rPr>
        <w:t xml:space="preserve"> </w:t>
      </w:r>
      <w:r w:rsidR="004723BD" w:rsidRPr="002734F0">
        <w:rPr>
          <w:rFonts w:ascii="Arial" w:hAnsi="Arial" w:cs="Arial"/>
        </w:rPr>
        <w:t>secs) with Lysing Matrix beads (#6913100, MPI Bio).</w:t>
      </w:r>
      <w:r w:rsidR="008E4CCC" w:rsidRPr="002734F0">
        <w:rPr>
          <w:rFonts w:ascii="Arial" w:hAnsi="Arial" w:cs="Arial"/>
        </w:rPr>
        <w:t xml:space="preserve"> After centrifugation at 15,000 rpm for 5 mins to pellet cellular debris, supernatant was removed and stored at -80⁰C. 0.5</w:t>
      </w:r>
      <w:r w:rsidR="000F7F8C">
        <w:rPr>
          <w:rFonts w:ascii="Arial" w:hAnsi="Arial" w:cs="Arial"/>
        </w:rPr>
        <w:t xml:space="preserve"> </w:t>
      </w:r>
      <w:r w:rsidR="008E4CCC" w:rsidRPr="002734F0">
        <w:rPr>
          <w:rFonts w:ascii="Arial" w:hAnsi="Arial" w:cs="Arial"/>
        </w:rPr>
        <w:t>mL of guanidine hydrochloride buffer (4M GuHCl, 50mM sodium acetate, 25</w:t>
      </w:r>
      <w:r w:rsidR="000F7F8C">
        <w:rPr>
          <w:rFonts w:ascii="Arial" w:hAnsi="Arial" w:cs="Arial"/>
        </w:rPr>
        <w:t xml:space="preserve"> </w:t>
      </w:r>
      <w:r w:rsidR="008E4CCC" w:rsidRPr="002734F0">
        <w:rPr>
          <w:rFonts w:ascii="Arial" w:hAnsi="Arial" w:cs="Arial"/>
        </w:rPr>
        <w:t>mM EDTA in ddH</w:t>
      </w:r>
      <w:r w:rsidR="008E4CCC" w:rsidRPr="002734F0">
        <w:rPr>
          <w:rFonts w:ascii="Arial" w:hAnsi="Arial" w:cs="Arial"/>
          <w:vertAlign w:val="subscript"/>
        </w:rPr>
        <w:t>2</w:t>
      </w:r>
      <w:r w:rsidR="008E4CCC" w:rsidRPr="002734F0">
        <w:rPr>
          <w:rFonts w:ascii="Arial" w:hAnsi="Arial" w:cs="Arial"/>
        </w:rPr>
        <w:t xml:space="preserve">O, pH 5.8) was added to the pellet with a metal bead (#69989, </w:t>
      </w:r>
      <w:r w:rsidR="008E4CCC" w:rsidRPr="002734F0">
        <w:rPr>
          <w:rFonts w:ascii="Arial" w:hAnsi="Arial" w:cs="Arial"/>
        </w:rPr>
        <w:lastRenderedPageBreak/>
        <w:t>5mm, Qiagen) and vortexed at 1300</w:t>
      </w:r>
      <w:r w:rsidR="000F7F8C">
        <w:rPr>
          <w:rFonts w:ascii="Arial" w:hAnsi="Arial" w:cs="Arial"/>
        </w:rPr>
        <w:t xml:space="preserve"> </w:t>
      </w:r>
      <w:r w:rsidR="008E4CCC" w:rsidRPr="002734F0">
        <w:rPr>
          <w:rFonts w:ascii="Arial" w:hAnsi="Arial" w:cs="Arial"/>
        </w:rPr>
        <w:t>rpm for 1 hr at room temperature.</w:t>
      </w:r>
      <w:r w:rsidR="001E5389" w:rsidRPr="002734F0">
        <w:rPr>
          <w:rFonts w:ascii="Arial" w:hAnsi="Arial" w:cs="Arial"/>
        </w:rPr>
        <w:t xml:space="preserve"> Once the metal bead was removed, 1.5</w:t>
      </w:r>
      <w:r w:rsidR="000F7F8C">
        <w:rPr>
          <w:rFonts w:ascii="Arial" w:hAnsi="Arial" w:cs="Arial"/>
        </w:rPr>
        <w:t xml:space="preserve"> </w:t>
      </w:r>
      <w:r w:rsidR="001E5389" w:rsidRPr="002734F0">
        <w:rPr>
          <w:rFonts w:ascii="Arial" w:hAnsi="Arial" w:cs="Arial"/>
        </w:rPr>
        <w:t>ml of ice</w:t>
      </w:r>
      <w:r w:rsidR="000F7F8C">
        <w:rPr>
          <w:rFonts w:ascii="Arial" w:hAnsi="Arial" w:cs="Arial"/>
        </w:rPr>
        <w:t>-</w:t>
      </w:r>
      <w:r w:rsidR="001E5389" w:rsidRPr="002734F0">
        <w:rPr>
          <w:rFonts w:ascii="Arial" w:hAnsi="Arial" w:cs="Arial"/>
        </w:rPr>
        <w:t>cold ethanol was added to the supernatant, vortexed and incubated at -20</w:t>
      </w:r>
      <w:r w:rsidR="001E5389" w:rsidRPr="002734F0">
        <w:rPr>
          <w:rFonts w:ascii="Arial" w:hAnsi="Arial" w:cs="Arial"/>
          <w:vertAlign w:val="superscript"/>
        </w:rPr>
        <w:t>o</w:t>
      </w:r>
      <w:r w:rsidR="001E5389" w:rsidRPr="002734F0">
        <w:rPr>
          <w:rFonts w:ascii="Arial" w:hAnsi="Arial" w:cs="Arial"/>
        </w:rPr>
        <w:t>C overnight. Precipitates were pelleted at 15,000</w:t>
      </w:r>
      <w:r w:rsidR="000F7F8C">
        <w:rPr>
          <w:rFonts w:ascii="Arial" w:hAnsi="Arial" w:cs="Arial"/>
        </w:rPr>
        <w:t xml:space="preserve"> </w:t>
      </w:r>
      <w:r w:rsidR="001E5389" w:rsidRPr="002734F0">
        <w:rPr>
          <w:rFonts w:ascii="Arial" w:hAnsi="Arial" w:cs="Arial"/>
        </w:rPr>
        <w:t>rpm for 5</w:t>
      </w:r>
      <w:r w:rsidR="000F7F8C">
        <w:rPr>
          <w:rFonts w:ascii="Arial" w:hAnsi="Arial" w:cs="Arial"/>
        </w:rPr>
        <w:t xml:space="preserve"> </w:t>
      </w:r>
      <w:r w:rsidR="001E5389" w:rsidRPr="002734F0">
        <w:rPr>
          <w:rFonts w:ascii="Arial" w:hAnsi="Arial" w:cs="Arial"/>
        </w:rPr>
        <w:t>mins, and the ethanol was carefully removed, before drying in a SpeedVac. The original supernatant was then thawed and combined with the dried precipitated pellet material, vortexed well to solubilise and centrifuged again at 15,000</w:t>
      </w:r>
      <w:r w:rsidR="000F7F8C">
        <w:rPr>
          <w:rFonts w:ascii="Arial" w:hAnsi="Arial" w:cs="Arial"/>
        </w:rPr>
        <w:t xml:space="preserve"> </w:t>
      </w:r>
      <w:r w:rsidR="001E5389" w:rsidRPr="002734F0">
        <w:rPr>
          <w:rFonts w:ascii="Arial" w:hAnsi="Arial" w:cs="Arial"/>
        </w:rPr>
        <w:t xml:space="preserve">rpm for 5 mins. Protein concentration was quantified with a Bradford assay. </w:t>
      </w:r>
    </w:p>
    <w:p w14:paraId="41F32002" w14:textId="77777777" w:rsidR="00D162D6" w:rsidRPr="002734F0" w:rsidRDefault="009515D3" w:rsidP="00086686">
      <w:pPr>
        <w:spacing w:line="480" w:lineRule="auto"/>
        <w:rPr>
          <w:rFonts w:ascii="Arial" w:hAnsi="Arial" w:cs="Arial"/>
        </w:rPr>
      </w:pPr>
      <w:r w:rsidRPr="002734F0">
        <w:rPr>
          <w:rFonts w:ascii="Arial" w:hAnsi="Arial" w:cs="Arial"/>
        </w:rPr>
        <w:t>In-solution reduction, alkylation and digestion with trypsin was performed according to a routine digestion protocol prior to subsequent analysis by mass spectrometry. Cysteine residues were reduced with dithiothreitol and derivatised by treatment with iodoacetamide to form stable carbamidomethyl derivatives. Trypsin digestion was carried out overnight at room temperature after initial incubation at 37</w:t>
      </w:r>
      <w:r w:rsidRPr="002734F0">
        <w:rPr>
          <w:rFonts w:ascii="Arial" w:hAnsi="Arial" w:cs="Arial"/>
          <w:vertAlign w:val="superscript"/>
        </w:rPr>
        <w:t>o</w:t>
      </w:r>
      <w:r w:rsidRPr="002734F0">
        <w:rPr>
          <w:rFonts w:ascii="Arial" w:hAnsi="Arial" w:cs="Arial"/>
        </w:rPr>
        <w:t>C for 2 hours. The digested samples were cleaned up with PR-C18 resins. The cleaned peptide samples were resuspended in loading buffer for LC-MS/MS analysis.</w:t>
      </w:r>
      <w:r w:rsidR="00D162D6" w:rsidRPr="002734F0">
        <w:rPr>
          <w:rFonts w:ascii="Arial" w:hAnsi="Arial" w:cs="Arial"/>
        </w:rPr>
        <w:t xml:space="preserve"> </w:t>
      </w:r>
    </w:p>
    <w:p w14:paraId="7E5FEA55" w14:textId="1CABB4F4" w:rsidR="00D162D6" w:rsidRPr="002734F0" w:rsidRDefault="00D162D6" w:rsidP="00086686">
      <w:pPr>
        <w:spacing w:line="480" w:lineRule="auto"/>
        <w:rPr>
          <w:rFonts w:ascii="Arial" w:hAnsi="Arial" w:cs="Arial"/>
        </w:rPr>
      </w:pPr>
      <w:r w:rsidRPr="002734F0">
        <w:rPr>
          <w:rFonts w:ascii="Arial" w:hAnsi="Arial" w:cs="Arial"/>
        </w:rPr>
        <w:t xml:space="preserve">For TMT labelling the cleaned peptide samples were resuspended in 100mM TEAB and labelled with </w:t>
      </w:r>
      <w:r w:rsidRPr="002734F0">
        <w:rPr>
          <w:rFonts w:ascii="Arial" w:hAnsi="Arial" w:cs="Arial"/>
          <w:i/>
          <w:iCs/>
        </w:rPr>
        <w:t>TMTpro</w:t>
      </w:r>
      <w:r w:rsidRPr="002734F0">
        <w:rPr>
          <w:rFonts w:ascii="Arial" w:hAnsi="Arial" w:cs="Arial"/>
        </w:rPr>
        <w:t xml:space="preserve"> tags based on the user guide protocol. TMT tag labelling efficiency check showed &gt;99%, and all 16plex tags were combined as one TMTpro set. Three TMTpro sets were generated, with a master pooled reference standard labelled with the 134N tag, allowing up to 45 experimental samples to be investigated that were randomised across the tags and sets (but allowing for equal proportions of each group per set). </w:t>
      </w:r>
    </w:p>
    <w:p w14:paraId="2C4DCD2F" w14:textId="01A57DEC" w:rsidR="00D00355" w:rsidRDefault="00D00355" w:rsidP="00086686">
      <w:pPr>
        <w:pStyle w:val="BodyText"/>
        <w:spacing w:line="480" w:lineRule="auto"/>
        <w:rPr>
          <w:rFonts w:ascii="Arial" w:hAnsi="Arial" w:cs="Arial"/>
          <w:sz w:val="22"/>
          <w:szCs w:val="22"/>
        </w:rPr>
      </w:pPr>
      <w:r w:rsidRPr="00D00355">
        <w:rPr>
          <w:rFonts w:ascii="Arial" w:hAnsi="Arial" w:cs="Arial"/>
          <w:sz w:val="22"/>
          <w:szCs w:val="22"/>
        </w:rPr>
        <w:t>In order to explore de</w:t>
      </w:r>
      <w:r>
        <w:rPr>
          <w:rFonts w:ascii="Arial" w:hAnsi="Arial" w:cs="Arial"/>
          <w:sz w:val="22"/>
          <w:szCs w:val="22"/>
        </w:rPr>
        <w:t>eper into the</w:t>
      </w:r>
      <w:r w:rsidRPr="00D00355">
        <w:rPr>
          <w:rFonts w:ascii="Arial" w:hAnsi="Arial" w:cs="Arial"/>
          <w:sz w:val="22"/>
          <w:szCs w:val="22"/>
        </w:rPr>
        <w:t xml:space="preserve"> proteome, a fractionation of TMTpro labelled peptide mix prior to LCMS analysis was performed using a high pH reversed phase HPLC. We used an Ultimate 3000 HPLC equipped with a degasser and a UV detector. Mobile phase A was 0.1% triethylamine (aq), Mobile phase B was 0.1% triethylamine in acetonitrile. Peptides were subjected to a ZORBAX 300Extend-C18 column (4.6 mm inner diameter x 150 mm length, 3.5 μm particle size, part no. 763973-902, Agilent Technologies) and eluted out in a 20-min long two-step linear gradient from 0% to 50% for 9 min and from 50% to 90% buffer B for 1 min </w:t>
      </w:r>
      <w:r w:rsidRPr="00D00355">
        <w:rPr>
          <w:rFonts w:ascii="Arial" w:hAnsi="Arial" w:cs="Arial"/>
          <w:sz w:val="22"/>
          <w:szCs w:val="22"/>
        </w:rPr>
        <w:lastRenderedPageBreak/>
        <w:t>and keeping 90% buffer B for another 1 min, at a flow rate of 0.4</w:t>
      </w:r>
      <w:r w:rsidR="000F7F8C">
        <w:rPr>
          <w:rFonts w:ascii="Arial" w:hAnsi="Arial" w:cs="Arial"/>
          <w:sz w:val="22"/>
          <w:szCs w:val="22"/>
        </w:rPr>
        <w:t xml:space="preserve"> </w:t>
      </w:r>
      <w:r w:rsidRPr="00D00355">
        <w:rPr>
          <w:rFonts w:ascii="Arial" w:hAnsi="Arial" w:cs="Arial"/>
          <w:sz w:val="22"/>
          <w:szCs w:val="22"/>
        </w:rPr>
        <w:t>ml/min. The peptide mixture was fractionated into a total of 16 fractions, which were consolidated into 8 super-fractions. Peptide fractions were dried using a vacuum centrifuge and resuspended in 2% acetonitrile, 0.05% TFA (aq).</w:t>
      </w:r>
    </w:p>
    <w:p w14:paraId="3F816391" w14:textId="75D2592C" w:rsidR="00D00355" w:rsidRDefault="00D00355" w:rsidP="00086686">
      <w:pPr>
        <w:pStyle w:val="BodyText"/>
        <w:spacing w:line="480" w:lineRule="auto"/>
        <w:rPr>
          <w:rFonts w:ascii="Arial" w:hAnsi="Arial" w:cs="Arial"/>
          <w:sz w:val="22"/>
          <w:szCs w:val="22"/>
        </w:rPr>
      </w:pPr>
      <w:r w:rsidRPr="00D00355">
        <w:rPr>
          <w:rFonts w:ascii="Arial" w:hAnsi="Arial" w:cs="Arial"/>
          <w:sz w:val="22"/>
          <w:szCs w:val="22"/>
        </w:rPr>
        <w:t>Chromatographic separation was performed using an Ultimate 3000 NanoLC system (ThermoFisherScientific, UK). Peptides were resolved by reversed phase chromatography on a 75</w:t>
      </w:r>
      <w:r w:rsidR="00E2219C">
        <w:rPr>
          <w:rFonts w:ascii="Arial" w:hAnsi="Arial" w:cs="Arial"/>
          <w:sz w:val="22"/>
          <w:szCs w:val="22"/>
        </w:rPr>
        <w:t>µ</w:t>
      </w:r>
      <w:r w:rsidRPr="00D00355">
        <w:rPr>
          <w:rFonts w:ascii="Arial" w:hAnsi="Arial" w:cs="Arial"/>
          <w:sz w:val="22"/>
          <w:szCs w:val="22"/>
        </w:rPr>
        <w:t>m*50cm C18 column using a three-step gradient of water in 0.1% formic acid (A) and 80% acetonitrile in 0.1% formic acid (B). The gradient was delivered to elute the peptides at a flow rate of 250</w:t>
      </w:r>
      <w:r w:rsidR="00A256C4">
        <w:rPr>
          <w:rFonts w:ascii="Arial" w:hAnsi="Arial" w:cs="Arial"/>
          <w:sz w:val="22"/>
          <w:szCs w:val="22"/>
        </w:rPr>
        <w:t xml:space="preserve"> </w:t>
      </w:r>
      <w:r w:rsidRPr="00D00355">
        <w:rPr>
          <w:rFonts w:ascii="Arial" w:hAnsi="Arial" w:cs="Arial"/>
          <w:sz w:val="22"/>
          <w:szCs w:val="22"/>
        </w:rPr>
        <w:t>nl/min over 120 min. The eluate was ionised by electrospray ionisation using an Orbitrap Fusion Lumos (ThermoFisherScientific, UK) operating under Xcalibur v4.4. The instrument was programmed to acquire MS data using “Synchronous Precursor Selection with Multi-notch MS3” method (SPS MS3) by defining a 3s cycle time among a full MS scan, MS/MS fragmentation and MS3 fragmentation. We acquired one full-scan MS spectrum at a resolution of 120,000 at 200</w:t>
      </w:r>
      <w:r w:rsidR="00A256C4">
        <w:rPr>
          <w:rFonts w:ascii="Arial" w:hAnsi="Arial" w:cs="Arial"/>
          <w:sz w:val="22"/>
          <w:szCs w:val="22"/>
        </w:rPr>
        <w:t xml:space="preserve"> </w:t>
      </w:r>
      <w:r w:rsidRPr="00D00355">
        <w:rPr>
          <w:rFonts w:ascii="Arial" w:hAnsi="Arial" w:cs="Arial"/>
          <w:sz w:val="22"/>
          <w:szCs w:val="22"/>
        </w:rPr>
        <w:t>m/z with 100% normalized AGC target and a scan range of 400~1500m/z and maximum injection time 100 ms. The MS/MS fragmentation was conducted using collision-induced dissociation (CID) and quadrupole ion trap analyzer. Parameters were set up as 100% normalized AGC target, NCE (normalized collision energy) 35, q-value 0.25, isolation window 1.2 Th and maximum injection time 50 ms. The MS3 scan was analyzed using higher-energy collision dissociation (HCD) and Orbitrap analyzer with a synchronous precursor selection. Parameters included number of SPS 10, NCE 65, 400% normalized AGC target, maximum injection time 105 ms, resolution 50,000 at 200 Th, isolation window 1.6. 2-6 charged states were defined within this method.</w:t>
      </w:r>
    </w:p>
    <w:p w14:paraId="623A9EB7" w14:textId="51DBA530" w:rsidR="002734F0" w:rsidRDefault="002734F0" w:rsidP="00086686">
      <w:pPr>
        <w:pStyle w:val="BodyText"/>
        <w:spacing w:line="480" w:lineRule="auto"/>
        <w:rPr>
          <w:rFonts w:ascii="Arial" w:hAnsi="Arial" w:cs="Arial"/>
          <w:sz w:val="22"/>
          <w:szCs w:val="22"/>
        </w:rPr>
      </w:pPr>
      <w:r w:rsidRPr="002734F0">
        <w:rPr>
          <w:rFonts w:ascii="Arial" w:hAnsi="Arial" w:cs="Arial"/>
          <w:sz w:val="22"/>
          <w:szCs w:val="22"/>
        </w:rPr>
        <w:t>Raw mass spectrometry data were processed into peak list files using Proteome Discoverer (ThermoScientific; v2.5) (PD 2.4)</w:t>
      </w:r>
      <w:r w:rsidR="0044683B">
        <w:rPr>
          <w:rFonts w:ascii="Arial" w:hAnsi="Arial" w:cs="Arial"/>
          <w:sz w:val="22"/>
          <w:szCs w:val="22"/>
        </w:rPr>
        <w:t xml:space="preserve">. </w:t>
      </w:r>
      <w:r w:rsidR="0044683B" w:rsidRPr="0044683B">
        <w:rPr>
          <w:rFonts w:ascii="Arial" w:hAnsi="Arial" w:cs="Arial"/>
          <w:sz w:val="22"/>
          <w:szCs w:val="22"/>
        </w:rPr>
        <w:t xml:space="preserve">Processed data was then searched using Sequest search engine embedded in PD 2.5, against the current version of the reviewed Swissprot </w:t>
      </w:r>
      <w:r w:rsidR="0044683B" w:rsidRPr="00584786">
        <w:rPr>
          <w:rFonts w:ascii="Arial" w:hAnsi="Arial" w:cs="Arial"/>
          <w:i/>
          <w:iCs/>
          <w:sz w:val="22"/>
          <w:szCs w:val="22"/>
        </w:rPr>
        <w:t>Mouse</w:t>
      </w:r>
      <w:r w:rsidR="0044683B" w:rsidRPr="0044683B">
        <w:rPr>
          <w:rFonts w:ascii="Arial" w:hAnsi="Arial" w:cs="Arial"/>
          <w:sz w:val="22"/>
          <w:szCs w:val="22"/>
        </w:rPr>
        <w:t xml:space="preserve"> database downloaded from Uniprot</w:t>
      </w:r>
      <w:r w:rsidR="00EF2BB1">
        <w:rPr>
          <w:rFonts w:ascii="Arial" w:hAnsi="Arial" w:cs="Arial"/>
          <w:sz w:val="22"/>
          <w:szCs w:val="22"/>
        </w:rPr>
        <w:fldChar w:fldCharType="begin"/>
      </w:r>
      <w:r w:rsidR="00305DD2">
        <w:rPr>
          <w:rFonts w:ascii="Arial" w:hAnsi="Arial" w:cs="Arial"/>
          <w:sz w:val="22"/>
          <w:szCs w:val="22"/>
        </w:rPr>
        <w:instrText xml:space="preserve"> ADDIN ZOTERO_ITEM CSL_CITATION {"citationID":"dVIfBEZu","properties":{"formattedCitation":"\\super 31\\nosupersub{}","plainCitation":"31","noteIndex":0},"citationItems":[{"id":15972,"uris":["http://zotero.org/users/1547967/items/TJP7VA62"],"itemData":{"id":15972,"type":"article-journal","abstract":"The aim of the UniProt Knowledgebase is to provide users with a comprehensive, high-quality and freely accessible set of protein sequences annotated with functional information. In this publication we describe enhancements made to our data processing pipeline and to our website to adapt to an ever-increasing information content. The number of sequences in UniProtKB has risen to over 227 million and we are working towards including a reference proteome for each taxonomic group. We continue to extract detailed annotations from the literature to update or create reviewed entries, while unreviewed entries are supplemented with annotations provided by automated systems using a variety of machine-learning techniques. In addition, the scientific community continues their contributions of publications and annotations to UniProt entries of their interest. Finally, we describe our new website (https://www.uniprot.org/), designed to enhance our users’ experience and make our data easily accessible to the research community. This interface includes access to AlphaFold structures for more than 85% of all entries as well as improved visualisations for subcellular localisation of proteins.","container-title":"Nucleic Acids Research","DOI":"10.1093/nar/gkac1052","ISSN":"0305-1048","issue":"D1","journalAbbreviation":"Nucleic Acids Research","page":"D523-D531","source":"Silverchair","title":"UniProt: the Universal Protein Knowledgebase in 2023","title-short":"UniProt","volume":"51","author":[{"literal":"The UniProt Consortium"}],"issued":{"date-parts":[["2023",1,6]]}}}],"schema":"https://github.com/citation-style-language/schema/raw/master/csl-citation.json"} </w:instrText>
      </w:r>
      <w:r w:rsidR="00EF2BB1">
        <w:rPr>
          <w:rFonts w:ascii="Arial" w:hAnsi="Arial" w:cs="Arial"/>
          <w:sz w:val="22"/>
          <w:szCs w:val="22"/>
        </w:rPr>
        <w:fldChar w:fldCharType="separate"/>
      </w:r>
      <w:r w:rsidR="00305DD2" w:rsidRPr="00305DD2">
        <w:rPr>
          <w:rFonts w:ascii="Arial" w:hAnsi="Arial" w:cs="Arial"/>
          <w:sz w:val="22"/>
          <w:vertAlign w:val="superscript"/>
        </w:rPr>
        <w:t>31</w:t>
      </w:r>
      <w:r w:rsidR="00EF2BB1">
        <w:rPr>
          <w:rFonts w:ascii="Arial" w:hAnsi="Arial" w:cs="Arial"/>
          <w:sz w:val="22"/>
          <w:szCs w:val="22"/>
        </w:rPr>
        <w:fldChar w:fldCharType="end"/>
      </w:r>
      <w:r w:rsidR="0044683B">
        <w:rPr>
          <w:rFonts w:ascii="Arial" w:hAnsi="Arial" w:cs="Arial"/>
          <w:sz w:val="22"/>
          <w:szCs w:val="22"/>
        </w:rPr>
        <w:t>.</w:t>
      </w:r>
      <w:r w:rsidR="00726729">
        <w:rPr>
          <w:rFonts w:ascii="Arial" w:hAnsi="Arial" w:cs="Arial"/>
          <w:sz w:val="22"/>
          <w:szCs w:val="22"/>
        </w:rPr>
        <w:t xml:space="preserve"> The following parameters were used:</w:t>
      </w:r>
    </w:p>
    <w:p w14:paraId="235174DF" w14:textId="77777777" w:rsidR="00726729" w:rsidRDefault="00726729" w:rsidP="00086686">
      <w:pPr>
        <w:spacing w:line="240" w:lineRule="auto"/>
        <w:rPr>
          <w:rFonts w:ascii="Times New Roman" w:hAnsi="Times New Roman" w:cs="Times New Roman"/>
          <w:b/>
        </w:rPr>
      </w:pPr>
      <w:r>
        <w:rPr>
          <w:b/>
        </w:rPr>
        <w:t xml:space="preserve">Spectrum Selector </w:t>
      </w:r>
    </w:p>
    <w:p w14:paraId="06FD65EF" w14:textId="77777777" w:rsidR="00726729" w:rsidRDefault="00726729" w:rsidP="00086686">
      <w:pPr>
        <w:spacing w:line="240" w:lineRule="auto"/>
        <w:ind w:firstLine="540"/>
      </w:pPr>
      <w:r>
        <w:tab/>
      </w:r>
      <w:r>
        <w:tab/>
      </w:r>
      <w:r>
        <w:tab/>
        <w:t>Min. Precursor mass:</w:t>
      </w:r>
      <w:r>
        <w:tab/>
      </w:r>
      <w:r>
        <w:tab/>
        <w:t>350 Da</w:t>
      </w:r>
    </w:p>
    <w:p w14:paraId="423C29E9" w14:textId="77777777" w:rsidR="00726729" w:rsidRDefault="00726729" w:rsidP="00086686">
      <w:pPr>
        <w:spacing w:line="240" w:lineRule="auto"/>
        <w:ind w:firstLine="540"/>
      </w:pPr>
      <w:r>
        <w:lastRenderedPageBreak/>
        <w:tab/>
      </w:r>
      <w:r>
        <w:tab/>
      </w:r>
      <w:r>
        <w:tab/>
        <w:t>Max. Precursor mass:</w:t>
      </w:r>
      <w:r>
        <w:tab/>
      </w:r>
      <w:r>
        <w:tab/>
        <w:t>10000 Da</w:t>
      </w:r>
    </w:p>
    <w:p w14:paraId="1920B04E" w14:textId="77777777" w:rsidR="00726729" w:rsidRDefault="00726729" w:rsidP="00086686">
      <w:pPr>
        <w:spacing w:line="240" w:lineRule="auto"/>
        <w:ind w:firstLine="540"/>
      </w:pPr>
      <w:r>
        <w:tab/>
      </w:r>
      <w:r>
        <w:tab/>
      </w:r>
      <w:r>
        <w:tab/>
        <w:t>S/N Threshold (FT-only):</w:t>
      </w:r>
      <w:r>
        <w:tab/>
        <w:t>1.5</w:t>
      </w:r>
    </w:p>
    <w:p w14:paraId="16185FF4" w14:textId="77777777" w:rsidR="00726729" w:rsidRDefault="00726729" w:rsidP="00086686">
      <w:pPr>
        <w:spacing w:line="240" w:lineRule="auto"/>
        <w:ind w:firstLine="540"/>
        <w:rPr>
          <w:b/>
        </w:rPr>
      </w:pPr>
      <w:r>
        <w:rPr>
          <w:b/>
        </w:rPr>
        <w:t>Mascot/Sequest</w:t>
      </w:r>
    </w:p>
    <w:p w14:paraId="4025CF49" w14:textId="77777777" w:rsidR="00726729" w:rsidRDefault="00726729" w:rsidP="00086686">
      <w:pPr>
        <w:spacing w:line="240" w:lineRule="auto"/>
        <w:ind w:firstLine="540"/>
      </w:pPr>
      <w:r>
        <w:tab/>
      </w:r>
      <w:r>
        <w:tab/>
      </w:r>
      <w:r>
        <w:tab/>
        <w:t>Database:</w:t>
      </w:r>
      <w:r>
        <w:tab/>
      </w:r>
      <w:r>
        <w:tab/>
      </w:r>
      <w:r>
        <w:tab/>
        <w:t>Uniprot</w:t>
      </w:r>
    </w:p>
    <w:p w14:paraId="058DED7A" w14:textId="77777777" w:rsidR="00726729" w:rsidRDefault="00726729" w:rsidP="00086686">
      <w:pPr>
        <w:spacing w:line="240" w:lineRule="auto"/>
        <w:ind w:firstLine="540"/>
      </w:pPr>
      <w:r>
        <w:tab/>
      </w:r>
      <w:r>
        <w:tab/>
      </w:r>
      <w:r>
        <w:tab/>
        <w:t>Enzyme:</w:t>
      </w:r>
      <w:r>
        <w:tab/>
      </w:r>
      <w:r>
        <w:tab/>
      </w:r>
      <w:r>
        <w:tab/>
        <w:t>Trypsin</w:t>
      </w:r>
    </w:p>
    <w:p w14:paraId="30DC1F83" w14:textId="77777777" w:rsidR="00726729" w:rsidRDefault="00726729" w:rsidP="00086686">
      <w:pPr>
        <w:spacing w:line="240" w:lineRule="auto"/>
        <w:ind w:firstLine="540"/>
      </w:pPr>
      <w:r>
        <w:tab/>
      </w:r>
      <w:r>
        <w:tab/>
      </w:r>
      <w:r>
        <w:tab/>
        <w:t>Missed cleavage:</w:t>
      </w:r>
      <w:r>
        <w:tab/>
      </w:r>
      <w:r>
        <w:tab/>
        <w:t>2</w:t>
      </w:r>
    </w:p>
    <w:p w14:paraId="07B1B54B" w14:textId="77777777" w:rsidR="00726729" w:rsidRDefault="00726729" w:rsidP="00086686">
      <w:pPr>
        <w:spacing w:line="240" w:lineRule="auto"/>
        <w:ind w:firstLine="540"/>
      </w:pPr>
      <w:r>
        <w:tab/>
      </w:r>
      <w:r>
        <w:tab/>
      </w:r>
      <w:r>
        <w:tab/>
        <w:t>Precursor mass tol:</w:t>
      </w:r>
      <w:r>
        <w:tab/>
      </w:r>
      <w:r>
        <w:tab/>
        <w:t>10 ppm</w:t>
      </w:r>
    </w:p>
    <w:p w14:paraId="4784A369" w14:textId="77777777" w:rsidR="00726729" w:rsidRDefault="00726729" w:rsidP="00086686">
      <w:pPr>
        <w:spacing w:line="240" w:lineRule="auto"/>
        <w:ind w:firstLine="540"/>
      </w:pPr>
      <w:r>
        <w:tab/>
      </w:r>
      <w:r>
        <w:tab/>
      </w:r>
      <w:r>
        <w:tab/>
        <w:t>Fragment mass tol:</w:t>
      </w:r>
      <w:r>
        <w:tab/>
      </w:r>
      <w:r>
        <w:tab/>
        <w:t>0.6 Da</w:t>
      </w:r>
    </w:p>
    <w:p w14:paraId="467DD094" w14:textId="77777777" w:rsidR="00726729" w:rsidRDefault="00726729" w:rsidP="00086686">
      <w:pPr>
        <w:spacing w:line="240" w:lineRule="auto"/>
        <w:ind w:firstLine="540"/>
      </w:pPr>
      <w:r>
        <w:tab/>
      </w:r>
      <w:r>
        <w:tab/>
      </w:r>
      <w:r>
        <w:tab/>
        <w:t>Dynamic modifications:</w:t>
      </w:r>
      <w:r>
        <w:tab/>
      </w:r>
    </w:p>
    <w:p w14:paraId="63B7AB02" w14:textId="77777777" w:rsidR="00726729" w:rsidRDefault="00726729" w:rsidP="00086686">
      <w:pPr>
        <w:spacing w:line="240" w:lineRule="auto"/>
        <w:ind w:firstLine="540"/>
      </w:pPr>
      <w:r>
        <w:tab/>
      </w:r>
      <w:r>
        <w:tab/>
      </w:r>
      <w:r>
        <w:tab/>
      </w:r>
      <w:r>
        <w:tab/>
      </w:r>
      <w:r>
        <w:tab/>
      </w:r>
      <w:r>
        <w:tab/>
      </w:r>
      <w:r>
        <w:tab/>
        <w:t>Carbamidomethyl (C)</w:t>
      </w:r>
    </w:p>
    <w:p w14:paraId="1828657D" w14:textId="77777777" w:rsidR="00726729" w:rsidRDefault="00726729" w:rsidP="00086686">
      <w:pPr>
        <w:spacing w:line="240" w:lineRule="auto"/>
        <w:ind w:firstLine="540"/>
      </w:pPr>
      <w:r>
        <w:tab/>
      </w:r>
      <w:r>
        <w:tab/>
      </w:r>
      <w:r>
        <w:tab/>
      </w:r>
      <w:r>
        <w:tab/>
      </w:r>
      <w:r>
        <w:tab/>
      </w:r>
      <w:r>
        <w:tab/>
      </w:r>
      <w:r>
        <w:tab/>
        <w:t>Oxidation (M)</w:t>
      </w:r>
      <w:r>
        <w:tab/>
      </w:r>
      <w:r>
        <w:tab/>
      </w:r>
    </w:p>
    <w:p w14:paraId="60CA2641" w14:textId="77777777" w:rsidR="00726729" w:rsidRDefault="00726729" w:rsidP="00086686">
      <w:pPr>
        <w:spacing w:line="240" w:lineRule="auto"/>
        <w:ind w:firstLine="540"/>
        <w:rPr>
          <w:b/>
        </w:rPr>
      </w:pPr>
      <w:r>
        <w:rPr>
          <w:b/>
        </w:rPr>
        <w:t>Peptide validator</w:t>
      </w:r>
    </w:p>
    <w:p w14:paraId="462A6E25" w14:textId="77777777" w:rsidR="00726729" w:rsidRDefault="00726729" w:rsidP="00086686">
      <w:pPr>
        <w:spacing w:line="240" w:lineRule="auto"/>
        <w:ind w:firstLine="540"/>
      </w:pPr>
      <w:r>
        <w:tab/>
      </w:r>
      <w:r>
        <w:tab/>
      </w:r>
      <w:r>
        <w:tab/>
        <w:t>Target FDR (strict):</w:t>
      </w:r>
      <w:r>
        <w:tab/>
      </w:r>
      <w:r>
        <w:tab/>
        <w:t>0.01</w:t>
      </w:r>
    </w:p>
    <w:p w14:paraId="64D055CF" w14:textId="77777777" w:rsidR="00726729" w:rsidRDefault="00726729" w:rsidP="00086686">
      <w:pPr>
        <w:spacing w:line="240" w:lineRule="auto"/>
        <w:ind w:firstLine="540"/>
      </w:pPr>
      <w:r>
        <w:tab/>
      </w:r>
      <w:r>
        <w:tab/>
      </w:r>
      <w:r>
        <w:tab/>
        <w:t>Target FDR (relaxed):</w:t>
      </w:r>
      <w:r>
        <w:tab/>
      </w:r>
      <w:r>
        <w:tab/>
        <w:t>0.05</w:t>
      </w:r>
    </w:p>
    <w:p w14:paraId="2778D445" w14:textId="77777777" w:rsidR="00726729" w:rsidRDefault="00726729" w:rsidP="00086686">
      <w:pPr>
        <w:spacing w:line="240" w:lineRule="auto"/>
        <w:ind w:firstLine="540"/>
        <w:rPr>
          <w:rFonts w:cstheme="minorHAnsi"/>
          <w:b/>
        </w:rPr>
      </w:pPr>
      <w:r>
        <w:rPr>
          <w:rFonts w:cstheme="minorHAnsi"/>
          <w:b/>
        </w:rPr>
        <w:t>TMT Reporter Quantification</w:t>
      </w:r>
    </w:p>
    <w:p w14:paraId="61742E63" w14:textId="77777777" w:rsidR="00726729" w:rsidRDefault="00726729" w:rsidP="00086686">
      <w:pPr>
        <w:spacing w:line="240" w:lineRule="auto"/>
        <w:ind w:firstLine="540"/>
        <w:rPr>
          <w:rFonts w:cstheme="minorHAnsi"/>
        </w:rPr>
      </w:pPr>
      <w:r>
        <w:rPr>
          <w:rFonts w:cstheme="minorHAnsi"/>
        </w:rPr>
        <w:tab/>
      </w:r>
      <w:r>
        <w:rPr>
          <w:rFonts w:cstheme="minorHAnsi"/>
        </w:rPr>
        <w:tab/>
      </w:r>
      <w:r>
        <w:rPr>
          <w:rFonts w:cstheme="minorHAnsi"/>
        </w:rPr>
        <w:tab/>
        <w:t>Co-Isolation Threshold.:</w:t>
      </w:r>
      <w:r>
        <w:rPr>
          <w:rFonts w:cstheme="minorHAnsi"/>
        </w:rPr>
        <w:tab/>
        <w:t xml:space="preserve">               50</w:t>
      </w:r>
    </w:p>
    <w:p w14:paraId="41246534" w14:textId="77777777" w:rsidR="00726729" w:rsidRDefault="00726729" w:rsidP="00086686">
      <w:pPr>
        <w:pStyle w:val="BodyText"/>
        <w:ind w:firstLine="540"/>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SPS Mass Matches[%] Threshold: 50 (65 as default)</w:t>
      </w:r>
    </w:p>
    <w:p w14:paraId="2C4B628B" w14:textId="77777777" w:rsidR="00726729" w:rsidRDefault="00726729" w:rsidP="00086686">
      <w:pPr>
        <w:pStyle w:val="BodyText"/>
        <w:spacing w:after="240"/>
        <w:ind w:left="1440" w:firstLine="540"/>
        <w:rPr>
          <w:rFonts w:asciiTheme="minorHAnsi" w:hAnsiTheme="minorHAnsi" w:cstheme="minorHAnsi"/>
          <w:sz w:val="22"/>
          <w:szCs w:val="22"/>
        </w:rPr>
      </w:pPr>
      <w:r>
        <w:rPr>
          <w:rFonts w:asciiTheme="minorHAnsi" w:hAnsiTheme="minorHAnsi" w:cstheme="minorHAnsi"/>
          <w:sz w:val="22"/>
          <w:szCs w:val="22"/>
        </w:rPr>
        <w:t xml:space="preserve">   Average Reporter S/N Threshold: 10</w:t>
      </w:r>
    </w:p>
    <w:p w14:paraId="4A29E126" w14:textId="40ADCD3E" w:rsidR="00D162D6" w:rsidRPr="00D162D6" w:rsidRDefault="00D162D6" w:rsidP="00D162D6">
      <w:pPr>
        <w:spacing w:line="480" w:lineRule="auto"/>
        <w:rPr>
          <w:rFonts w:ascii="Arial" w:hAnsi="Arial" w:cs="Arial"/>
        </w:rPr>
      </w:pPr>
    </w:p>
    <w:p w14:paraId="3533A420" w14:textId="11FB9B4E" w:rsidR="007C685E" w:rsidRPr="009C25E3" w:rsidRDefault="007C685E" w:rsidP="007C685E">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 xml:space="preserve">Quantitative </w:t>
      </w:r>
      <w:r w:rsidR="007A3500">
        <w:rPr>
          <w:rFonts w:ascii="Arial" w:hAnsi="Arial" w:cs="Arial"/>
          <w:b/>
          <w:bCs/>
          <w:i/>
          <w:iCs/>
          <w:color w:val="000000"/>
          <w:sz w:val="22"/>
          <w:szCs w:val="22"/>
        </w:rPr>
        <w:t>l</w:t>
      </w:r>
      <w:r>
        <w:rPr>
          <w:rFonts w:ascii="Arial" w:hAnsi="Arial" w:cs="Arial"/>
          <w:b/>
          <w:bCs/>
          <w:i/>
          <w:iCs/>
          <w:color w:val="000000"/>
          <w:sz w:val="22"/>
          <w:szCs w:val="22"/>
        </w:rPr>
        <w:t>abel</w:t>
      </w:r>
      <w:r w:rsidR="007A3500">
        <w:rPr>
          <w:rFonts w:ascii="Arial" w:hAnsi="Arial" w:cs="Arial"/>
          <w:b/>
          <w:bCs/>
          <w:i/>
          <w:iCs/>
          <w:color w:val="000000"/>
          <w:sz w:val="22"/>
          <w:szCs w:val="22"/>
        </w:rPr>
        <w:t>-free SEER</w:t>
      </w:r>
      <w:r>
        <w:rPr>
          <w:rFonts w:ascii="Arial" w:hAnsi="Arial" w:cs="Arial"/>
          <w:b/>
          <w:bCs/>
          <w:i/>
          <w:iCs/>
          <w:color w:val="000000"/>
          <w:sz w:val="22"/>
          <w:szCs w:val="22"/>
        </w:rPr>
        <w:t xml:space="preserve"> D</w:t>
      </w:r>
      <w:r w:rsidR="007A3500">
        <w:rPr>
          <w:rFonts w:ascii="Arial" w:hAnsi="Arial" w:cs="Arial"/>
          <w:b/>
          <w:bCs/>
          <w:i/>
          <w:iCs/>
          <w:color w:val="000000"/>
          <w:sz w:val="22"/>
          <w:szCs w:val="22"/>
        </w:rPr>
        <w:t>I</w:t>
      </w:r>
      <w:r>
        <w:rPr>
          <w:rFonts w:ascii="Arial" w:hAnsi="Arial" w:cs="Arial"/>
          <w:b/>
          <w:bCs/>
          <w:i/>
          <w:iCs/>
          <w:color w:val="000000"/>
          <w:sz w:val="22"/>
          <w:szCs w:val="22"/>
        </w:rPr>
        <w:t>A LC-MS/MS</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7C685E" w:rsidRPr="002E73F2" w14:paraId="2A71C168" w14:textId="77777777" w:rsidTr="00261BC6">
        <w:trPr>
          <w:trHeight w:val="103"/>
        </w:trPr>
        <w:tc>
          <w:tcPr>
            <w:tcW w:w="1551" w:type="dxa"/>
          </w:tcPr>
          <w:p w14:paraId="192C3007" w14:textId="77777777" w:rsidR="007C685E" w:rsidRPr="002E73F2" w:rsidRDefault="007C685E"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5" w:type="dxa"/>
          </w:tcPr>
          <w:p w14:paraId="4F3B2C32" w14:textId="77777777" w:rsidR="007C685E" w:rsidRPr="002E73F2" w:rsidRDefault="007C685E"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2C1B6816" w14:textId="77777777" w:rsidR="007C685E" w:rsidRPr="002E73F2" w:rsidRDefault="007C685E"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3274D960" w14:textId="77777777" w:rsidR="007C685E" w:rsidRPr="002E73F2" w:rsidRDefault="007C685E"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47C4195B" w14:textId="77777777" w:rsidR="007C685E" w:rsidRPr="002E73F2" w:rsidRDefault="007C685E"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490D9DF6" w14:textId="77777777" w:rsidR="007C685E" w:rsidRPr="002E73F2" w:rsidRDefault="007C685E"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7C685E" w:rsidRPr="002E73F2" w14:paraId="38101B86" w14:textId="77777777" w:rsidTr="00261BC6">
        <w:trPr>
          <w:trHeight w:val="103"/>
        </w:trPr>
        <w:tc>
          <w:tcPr>
            <w:tcW w:w="1551" w:type="dxa"/>
          </w:tcPr>
          <w:p w14:paraId="691580DB" w14:textId="4EBA1618" w:rsidR="007C685E" w:rsidRPr="002E73F2" w:rsidRDefault="007A3500" w:rsidP="004821F9">
            <w:pPr>
              <w:pStyle w:val="NormalWeb"/>
              <w:spacing w:before="0" w:beforeAutospacing="0" w:after="0" w:afterAutospacing="0"/>
              <w:rPr>
                <w:rFonts w:ascii="Arial" w:hAnsi="Arial" w:cs="Arial"/>
                <w:color w:val="000000"/>
                <w:sz w:val="20"/>
                <w:szCs w:val="20"/>
              </w:rPr>
            </w:pPr>
            <w:r>
              <w:rPr>
                <w:rFonts w:ascii="Arial" w:hAnsi="Arial" w:cs="Arial"/>
                <w:sz w:val="20"/>
                <w:szCs w:val="20"/>
              </w:rPr>
              <w:t>Inspiration4</w:t>
            </w:r>
          </w:p>
        </w:tc>
        <w:tc>
          <w:tcPr>
            <w:tcW w:w="1415" w:type="dxa"/>
          </w:tcPr>
          <w:p w14:paraId="78FD35BC" w14:textId="2F6C03DC" w:rsidR="007C685E" w:rsidRPr="002E73F2" w:rsidRDefault="007A3500"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Plasma</w:t>
            </w:r>
          </w:p>
        </w:tc>
        <w:tc>
          <w:tcPr>
            <w:tcW w:w="1845" w:type="dxa"/>
          </w:tcPr>
          <w:p w14:paraId="250367E2" w14:textId="65E4FEE4" w:rsidR="007C685E" w:rsidRPr="002E73F2" w:rsidRDefault="001E1DBD" w:rsidP="008D48D2">
            <w:pPr>
              <w:pStyle w:val="NormalWeb"/>
              <w:tabs>
                <w:tab w:val="center" w:pos="814"/>
              </w:tabs>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Pr>
                <w:rFonts w:ascii="Arial" w:hAnsi="Arial" w:cs="Arial"/>
                <w:color w:val="000000"/>
                <w:sz w:val="20"/>
                <w:szCs w:val="20"/>
              </w:rPr>
              <w:instrText xml:space="preserve"> ADDIN ZOTERO_ITEM CSL_CITATION {"citationID":"I31Piaqz","properties":{"formattedCitation":"\\super 31\\uc0\\u8211{}33\\nosupersub{}","plainCitation":"31–33","noteIndex":0},"citationItems":[{"id":15972,"uris":["http://zotero.org/users/1547967/items/TJP7VA62"],"itemData":{"id":15972,"type":"article-journal","abstract":"The aim of the UniProt Knowledgebase is to provide users with a comprehensive, high-quality and freely accessible set of protein sequences annotated with functional information. In this publication we describe enhancements made to our data processing pipeline and to our website to adapt to an ever-increasing information content. The number of sequences in UniProtKB has risen to over 227 million and we are working towards including a reference proteome for each taxonomic group. We continue to extract detailed annotations from the literature to update or create reviewed entries, while unreviewed entries are supplemented with annotations provided by automated systems using a variety of machine-learning techniques. In addition, the scientific community continues their contributions of publications and annotations to UniProt entries of their interest. Finally, we describe our new website (https://www.uniprot.org/), designed to enhance our users’ experience and make our data easily accessible to the research community. This interface includes access to AlphaFold structures for more than 85% of all entries as well as improved visualisations for subcellular localisation of proteins.","container-title":"Nucleic Acids Research","DOI":"10.1093/nar/gkac1052","ISSN":"0305-1048","issue":"D1","journalAbbreviation":"Nucleic Acids Research","page":"D523-D531","source":"Silverchair","title":"UniProt: the Universal Protein Knowledgebase in 2023","title-short":"UniProt","volume":"51","author":[{"literal":"The UniProt Consortium"}],"issued":{"date-parts":[["2023",1,6]]}}},{"id":16173,"uris":["http://zotero.org/users/1547967/items/VDEWUAUV"],"itemData":{"id":16173,"type":"article-journal","container-title":"Nature","title":"In Review. Nature ID: 2022-12-20632:The Space Omics and Medical Atlas (SOMA): A comprehensive data resource and biobank for astronauts","author":[{"family":"Overbey","given":""},{"family":"Mason","given":"Christopher E."}],"issued":{"date-parts":[["2023"]]}}},{"id":15970,"uris":["http://zotero.org/users/1547967/items/A48T9BGF"],"itemData":{"id":15970,"type":"article-journal","abstract":"Much of the complexity within cells arises from functional and regulatory interactions among proteins. The core of these interactions is increasingly known, but novel interactions continue to be discovered, and the information remains scattered across different database resources, experimental modalities and levels of mechanistic detail. The STRING database (https://string-db.org/) systematically collects and integrates protein–protein interactions—both physical interactions as well as functional associations. The data originate from a number of sources: automated text mining of the scientific literature, computational interaction predictions from co-expression, conserved genomic context, databases of interaction experiments and known complexes/pathways from curated sources. All of these interactions are critically assessed, scored, and subsequently automatically transferred to less well-studied organisms using hierarchical orthology information. The data can be accessed via the website, but also programmatically and via bulk downloads. The most recent developments in STRING (version 12.0) are: (i) it is now possible to create, browse and analyze a full interaction network for any novel genome of interest, by submitting its complement of encoded proteins, (ii) the co-expression channel now uses variational auto-encoders to predict interactions, and it covers two new sources, single-cell RNA-seq and experimental proteomics data and (iii) the confidence in each experimentally derived interaction is now estimated based on the detection method used, and communicated to the user in the web-interface. Furthermore, STRING continues to enhance its facilities for functional enrichment analysis, which are now fully available also for user-submitted genomes.","container-title":"Nucleic Acids Research","DOI":"10.1093/nar/gkac1000","ISSN":"0305-1048","issue":"D1","journalAbbreviation":"Nucleic Acids Research","page":"D638-D646","source":"Silverchair","title":"The STRING database in 2023: protein–protein association networks and functional enrichment analyses for any sequenced genome of interest","title-short":"The STRING database in 2023","volume":"51","author":[{"family":"Szklarczyk","given":"Damian"},{"family":"Kirsch","given":"Rebecca"},{"family":"Koutrouli","given":"Mikaela"},{"family":"Nastou","given":"Katerina"},{"family":"Mehryary","given":"Farrokh"},{"family":"Hachilif","given":"Radja"},{"family":"Gable","given":"Annika L"},{"family":"Fang","given":"Tao"},{"family":"Doncheva","given":"Nadezhda T"},{"family":"Pyysalo","given":"Sampo"},{"family":"Bork","given":"Peer"},{"family":"Jensen","given":"Lars J"},{"family":"von Mering","given":"Christian"}],"issued":{"date-parts":[["2023",1,6]]}}}],"schema":"https://github.com/citation-style-language/schema/raw/master/csl-citation.json"} </w:instrText>
            </w:r>
            <w:r>
              <w:rPr>
                <w:rFonts w:ascii="Arial" w:hAnsi="Arial" w:cs="Arial"/>
                <w:color w:val="000000"/>
                <w:sz w:val="20"/>
                <w:szCs w:val="20"/>
              </w:rPr>
              <w:fldChar w:fldCharType="separate"/>
            </w:r>
            <w:r w:rsidRPr="001E1DBD">
              <w:rPr>
                <w:rFonts w:ascii="Arial" w:hAnsi="Arial" w:cs="Arial"/>
                <w:sz w:val="20"/>
                <w:vertAlign w:val="superscript"/>
              </w:rPr>
              <w:t>31–33</w:t>
            </w:r>
            <w:r>
              <w:rPr>
                <w:rFonts w:ascii="Arial" w:hAnsi="Arial" w:cs="Arial"/>
                <w:color w:val="000000"/>
                <w:sz w:val="20"/>
                <w:szCs w:val="20"/>
              </w:rPr>
              <w:fldChar w:fldCharType="end"/>
            </w:r>
          </w:p>
        </w:tc>
        <w:tc>
          <w:tcPr>
            <w:tcW w:w="1418" w:type="dxa"/>
          </w:tcPr>
          <w:p w14:paraId="0EB502E0" w14:textId="4DA1BE14" w:rsidR="007C685E" w:rsidRPr="002E73F2" w:rsidRDefault="007A3500"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By Request</w:t>
            </w:r>
          </w:p>
        </w:tc>
        <w:tc>
          <w:tcPr>
            <w:tcW w:w="1276" w:type="dxa"/>
          </w:tcPr>
          <w:p w14:paraId="513C0093" w14:textId="17E6D1F9" w:rsidR="007C685E" w:rsidRPr="002E73F2" w:rsidRDefault="001E1DBD"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 ADDIN ZOTERO_ITEM CSL_CITATION {"citationID":"XU5tpXPV","properties":{"formattedCitation":"\\super 33\\nosupersub{}","plainCitation":"33","noteIndex":0},"citationItems":[{"id":15970,"uris":["http://zotero.org/users/1547967/items/A48T9BGF"],"itemData":{"id":15970,"type":"article-journal","abstract":"Much of the complexity within cells arises from functional and regulatory interactions among proteins. The core of these interactions is increasingly known, but novel interactions continue to be discovered, and the information remains scattered across different database resources, experimental modalities and levels of mechanistic detail. The STRING database (https://string-db.org/) systematically collects and integrates protein–protein interactions—both physical interactions as well as functional associations. The data originate from a number of sources: automated text mining of the scientific literature, computational interaction predictions from co-expression, conserved genomic context, databases of interaction experiments and known complexes/pathways from curated sources. All of these interactions are critically assessed, scored, and subsequently automatically transferred to less well-studied organisms using hierarchical orthology information. The data can be accessed via the website, but also programmatically and via bulk downloads. The most recent developments in STRING (version 12.0) are: (i) it is now possible to create, browse and analyze a full interaction network for any novel genome of interest, by submitting its complement of encoded proteins, (ii) the co-expression channel now uses variational auto-encoders to predict interactions, and it covers two new sources, single-cell RNA-seq and experimental proteomics data and (iii) the confidence in each experimentally derived interaction is now estimated based on the detection method used, and communicated to the user in the web-interface. Furthermore, STRING continues to enhance its facilities for functional enrichment analysis, which are now fully available also for user-submitted genomes.","container-title":"Nucleic Acids Research","DOI":"10.1093/nar/gkac1000","ISSN":"0305-1048","issue":"D1","journalAbbreviation":"Nucleic Acids Research","page":"D638-D646","source":"Silverchair","title":"The STRING database in 2023: protein–protein association networks and functional enrichment analyses for any sequenced genome of interest","title-short":"The STRING database in 2023","volume":"51","author":[{"family":"Szklarczyk","given":"Damian"},{"family":"Kirsch","given":"Rebecca"},{"family":"Koutrouli","given":"Mikaela"},{"family":"Nastou","given":"Katerina"},{"family":"Mehryary","given":"Farrokh"},{"family":"Hachilif","given":"Radja"},{"family":"Gable","given":"Annika L"},{"family":"Fang","given":"Tao"},{"family":"Doncheva","given":"Nadezhda T"},{"family":"Pyysalo","given":"Sampo"},{"family":"Bork","given":"Peer"},{"family":"Jensen","given":"Lars J"},{"family":"von Mering","given":"Christian"}],"issued":{"date-parts":[["2023",1,6]]}}}],"schema":"https://github.com/citation-style-language/schema/raw/master/csl-citation.json"} </w:instrText>
            </w:r>
            <w:r>
              <w:rPr>
                <w:rFonts w:ascii="Arial" w:hAnsi="Arial" w:cs="Arial"/>
                <w:sz w:val="20"/>
                <w:szCs w:val="20"/>
              </w:rPr>
              <w:fldChar w:fldCharType="separate"/>
            </w:r>
            <w:r w:rsidRPr="001E1DBD">
              <w:rPr>
                <w:rFonts w:ascii="Arial" w:hAnsi="Arial" w:cs="Arial"/>
                <w:sz w:val="20"/>
                <w:vertAlign w:val="superscript"/>
              </w:rPr>
              <w:t>33</w:t>
            </w:r>
            <w:r>
              <w:rPr>
                <w:rFonts w:ascii="Arial" w:hAnsi="Arial" w:cs="Arial"/>
                <w:sz w:val="20"/>
                <w:szCs w:val="20"/>
              </w:rPr>
              <w:fldChar w:fldCharType="end"/>
            </w:r>
          </w:p>
        </w:tc>
        <w:tc>
          <w:tcPr>
            <w:tcW w:w="1791" w:type="dxa"/>
          </w:tcPr>
          <w:p w14:paraId="05EEDFE6" w14:textId="22636142" w:rsidR="007C685E" w:rsidRPr="002E73F2" w:rsidRDefault="00476A30"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{"citationID":"DGl153R6","properties":{"formattedCitation":"\\super 32\\nosupersub{}","plainCitation":"32","noteIndex":0},"citationItems":[{"id":16173,"uris":["http://zotero.org/users/1547967/items/VDEWUAUV"],"itemData":{"id":16173,"type":"article-journal","container-title":"Nature","title":"In Review. Nature ID: 2022-12-20632:The Space Omics and Medical Atlas (SOMA): A comprehensive data resource and biobank for astronauts","author":[{"family":"Overbey","given":""},{"family":"Mason","given":"Christopher E."}],"issued":{"date-parts":[["2023"]]}}}],"schema":"https://github.com/citation-style-language/schema/raw/master/csl-citation.json"}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32</w:t>
            </w:r>
            <w:r>
              <w:rPr>
                <w:rFonts w:ascii="Arial" w:hAnsi="Arial" w:cs="Arial"/>
                <w:color w:val="000000"/>
                <w:sz w:val="20"/>
                <w:szCs w:val="20"/>
              </w:rPr>
              <w:fldChar w:fldCharType="end"/>
            </w:r>
            <w:r w:rsidR="00261BC6">
              <w:rPr>
                <w:rFonts w:ascii="Arial" w:hAnsi="Arial" w:cs="Arial"/>
                <w:color w:val="000000"/>
                <w:sz w:val="20"/>
                <w:szCs w:val="20"/>
              </w:rPr>
              <w:t>, See “DAA”</w:t>
            </w:r>
          </w:p>
        </w:tc>
      </w:tr>
      <w:tr w:rsidR="001E1DBD" w:rsidRPr="002E73F2" w14:paraId="5158940E" w14:textId="77777777" w:rsidTr="00261BC6">
        <w:trPr>
          <w:trHeight w:val="103"/>
        </w:trPr>
        <w:tc>
          <w:tcPr>
            <w:tcW w:w="1551" w:type="dxa"/>
          </w:tcPr>
          <w:p w14:paraId="5CFCBA85" w14:textId="385E30DB" w:rsidR="001E1DBD" w:rsidRPr="002E73F2" w:rsidRDefault="001E1DBD" w:rsidP="001E1DBD">
            <w:pPr>
              <w:pStyle w:val="NormalWeb"/>
              <w:spacing w:before="0" w:beforeAutospacing="0" w:after="0" w:afterAutospacing="0"/>
              <w:rPr>
                <w:rFonts w:ascii="Arial" w:hAnsi="Arial" w:cs="Arial"/>
                <w:sz w:val="20"/>
                <w:szCs w:val="20"/>
              </w:rPr>
            </w:pPr>
            <w:r>
              <w:rPr>
                <w:rFonts w:ascii="Arial" w:hAnsi="Arial" w:cs="Arial"/>
                <w:sz w:val="20"/>
                <w:szCs w:val="20"/>
              </w:rPr>
              <w:t>Inspiration4</w:t>
            </w:r>
          </w:p>
        </w:tc>
        <w:tc>
          <w:tcPr>
            <w:tcW w:w="1415" w:type="dxa"/>
          </w:tcPr>
          <w:p w14:paraId="668C6E29" w14:textId="1AAF401A" w:rsidR="001E1DBD" w:rsidRPr="002E73F2" w:rsidRDefault="001E1DBD" w:rsidP="001E1DBD">
            <w:pPr>
              <w:pStyle w:val="NormalWeb"/>
              <w:spacing w:before="0" w:beforeAutospacing="0" w:after="0" w:afterAutospacing="0"/>
              <w:rPr>
                <w:rFonts w:ascii="Arial" w:hAnsi="Arial" w:cs="Arial"/>
                <w:sz w:val="20"/>
                <w:szCs w:val="20"/>
              </w:rPr>
            </w:pPr>
            <w:r>
              <w:rPr>
                <w:rFonts w:ascii="Arial" w:hAnsi="Arial" w:cs="Arial"/>
                <w:sz w:val="20"/>
                <w:szCs w:val="20"/>
              </w:rPr>
              <w:t>Exosome</w:t>
            </w:r>
          </w:p>
        </w:tc>
        <w:tc>
          <w:tcPr>
            <w:tcW w:w="1845" w:type="dxa"/>
          </w:tcPr>
          <w:p w14:paraId="346AFFAD" w14:textId="7326FFD8" w:rsidR="001E1DBD" w:rsidRPr="002E73F2" w:rsidRDefault="001E1DBD" w:rsidP="001E1DBD">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Pr>
                <w:rFonts w:ascii="Arial" w:hAnsi="Arial" w:cs="Arial"/>
                <w:color w:val="000000"/>
                <w:sz w:val="20"/>
                <w:szCs w:val="20"/>
              </w:rPr>
              <w:instrText xml:space="preserve"> ADDIN ZOTERO_ITEM CSL_CITATION {"citationID":"dIJ4hhlz","properties":{"formattedCitation":"\\super 31\\uc0\\u8211{}33\\nosupersub{}","plainCitation":"31–33","noteIndex":0},"citationItems":[{"id":15972,"uris":["http://zotero.org/users/1547967/items/TJP7VA62"],"itemData":{"id":15972,"type":"article-journal","abstract":"The aim of the UniProt Knowledgebase is to provide users with a comprehensive, high-quality and freely accessible set of protein sequences annotated with functional information. In this publication we describe enhancements made to our data processing pipeline and to our website to adapt to an ever-increasing information content. The number of sequences in UniProtKB has risen to over 227 million and we are working towards including a reference proteome for each taxonomic group. We continue to extract detailed annotations from the literature to update or create reviewed entries, while unreviewed entries are supplemented with annotations provided by automated systems using a variety of machine-learning techniques. In addition, the scientific community continues their contributions of publications and annotations to UniProt entries of their interest. Finally, we describe our new website (https://www.uniprot.org/), designed to enhance our users’ experience and make our data easily accessible to the research community. This interface includes access to AlphaFold structures for more than 85% of all entries as well as improved visualisations for subcellular localisation of proteins.","container-title":"Nucleic Acids Research","DOI":"10.1093/nar/gkac1052","ISSN":"0305-1048","issue":"D1","journalAbbreviation":"Nucleic Acids Research","page":"D523-D531","source":"Silverchair","title":"UniProt: the Universal Protein Knowledgebase in 2023","title-short":"UniProt","volume":"51","author":[{"literal":"The UniProt Consortium"}],"issued":{"date-parts":[["2023",1,6]]}}},{"id":16173,"uris":["http://zotero.org/users/1547967/items/VDEWUAUV"],"itemData":{"id":16173,"type":"article-journal","container-title":"Nature","title":"In Review. Nature ID: 2022-12-20632:The Space Omics and Medical Atlas (SOMA): A comprehensive data resource and biobank for astronauts","author":[{"family":"Overbey","given":""},{"family":"Mason","given":"Christopher E."}],"issued":{"date-parts":[["2023"]]}}},{"id":15970,"uris":["http://zotero.org/users/1547967/items/A48T9BGF"],"itemData":{"id":15970,"type":"article-journal","abstract":"Much of the complexity within cells arises from functional and regulatory interactions among proteins. The core of these interactions is increasingly known, but novel interactions continue to be discovered, and the information remains scattered across different database resources, experimental modalities and levels of mechanistic detail. The STRING database (https://string-db.org/) systematically collects and integrates protein–protein interactions—both physical interactions as well as functional associations. The data originate from a number of sources: automated text mining of the scientific literature, computational interaction predictions from co-expression, conserved genomic context, databases of interaction experiments and known complexes/pathways from curated sources. All of these interactions are critically assessed, scored, and subsequently automatically transferred to less well-studied organisms using hierarchical orthology information. The data can be accessed via the website, but also programmatically and via bulk downloads. The most recent developments in STRING (version 12.0) are: (i) it is now possible to create, browse and analyze a full interaction network for any novel genome of interest, by submitting its complement of encoded proteins, (ii) the co-expression channel now uses variational auto-encoders to predict interactions, and it covers two new sources, single-cell RNA-seq and experimental proteomics data and (iii) the confidence in each experimentally derived interaction is now estimated based on the detection method used, and communicated to the user in the web-interface. Furthermore, STRING continues to enhance its facilities for functional enrichment analysis, which are now fully available also for user-submitted genomes.","container-title":"Nucleic Acids Research","DOI":"10.1093/nar/gkac1000","ISSN":"0305-1048","issue":"D1","journalAbbreviation":"Nucleic Acids Research","page":"D638-D646","source":"Silverchair","title":"The STRING database in 2023: protein–protein association networks and functional enrichment analyses for any sequenced genome of interest","title-short":"The STRING database in 2023","volume":"51","author":[{"family":"Szklarczyk","given":"Damian"},{"family":"Kirsch","given":"Rebecca"},{"family":"Koutrouli","given":"Mikaela"},{"family":"Nastou","given":"Katerina"},{"family":"Mehryary","given":"Farrokh"},{"family":"Hachilif","given":"Radja"},{"family":"Gable","given":"Annika L"},{"family":"Fang","given":"Tao"},{"family":"Doncheva","given":"Nadezhda T"},{"family":"Pyysalo","given":"Sampo"},{"family":"Bork","given":"Peer"},{"family":"Jensen","given":"Lars J"},{"family":"von Mering","given":"Christian"}],"issued":{"date-parts":[["2023",1,6]]}}}],"schema":"https://github.com/citation-style-language/schema/raw/master/csl-citation.json"} </w:instrText>
            </w:r>
            <w:r>
              <w:rPr>
                <w:rFonts w:ascii="Arial" w:hAnsi="Arial" w:cs="Arial"/>
                <w:color w:val="000000"/>
                <w:sz w:val="20"/>
                <w:szCs w:val="20"/>
              </w:rPr>
              <w:fldChar w:fldCharType="separate"/>
            </w:r>
            <w:r w:rsidRPr="001E1DBD">
              <w:rPr>
                <w:rFonts w:ascii="Arial" w:hAnsi="Arial" w:cs="Arial"/>
                <w:sz w:val="20"/>
                <w:vertAlign w:val="superscript"/>
              </w:rPr>
              <w:t>31–33</w:t>
            </w:r>
            <w:r>
              <w:rPr>
                <w:rFonts w:ascii="Arial" w:hAnsi="Arial" w:cs="Arial"/>
                <w:color w:val="000000"/>
                <w:sz w:val="20"/>
                <w:szCs w:val="20"/>
              </w:rPr>
              <w:fldChar w:fldCharType="end"/>
            </w:r>
          </w:p>
        </w:tc>
        <w:tc>
          <w:tcPr>
            <w:tcW w:w="1418" w:type="dxa"/>
          </w:tcPr>
          <w:p w14:paraId="07DF4F17" w14:textId="549D7B81" w:rsidR="001E1DBD" w:rsidRPr="002E73F2" w:rsidRDefault="001E1DBD" w:rsidP="001E1DBD">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By Request</w:t>
            </w:r>
          </w:p>
        </w:tc>
        <w:tc>
          <w:tcPr>
            <w:tcW w:w="1276" w:type="dxa"/>
          </w:tcPr>
          <w:p w14:paraId="1CE9E486" w14:textId="27AA023A" w:rsidR="001E1DBD" w:rsidRPr="002E73F2" w:rsidRDefault="001E1DBD" w:rsidP="001E1DBD">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 ADDIN ZOTERO_ITEM CSL_CITATION {"citationID":"qt6fZofH","properties":{"formattedCitation":"\\super 33\\nosupersub{}","plainCitation":"33","noteIndex":0},"citationItems":[{"id":15970,"uris":["http://zotero.org/users/1547967/items/A48T9BGF"],"itemData":{"id":15970,"type":"article-journal","abstract":"Much of the complexity within cells arises from functional and regulatory interactions among proteins. The core of these interactions is increasingly known, but novel interactions continue to be discovered, and the information remains scattered across different database resources, experimental modalities and levels of mechanistic detail. The STRING database (https://string-db.org/) systematically collects and integrates protein–protein interactions—both physical interactions as well as functional associations. The data originate from a number of sources: automated text mining of the scientific literature, computational interaction predictions from co-expression, conserved genomic context, databases of interaction experiments and known complexes/pathways from curated sources. All of these interactions are critically assessed, scored, and subsequently automatically transferred to less well-studied organisms using hierarchical orthology information. The data can be accessed via the website, but also programmatically and via bulk downloads. The most recent developments in STRING (version 12.0) are: (i) it is now possible to create, browse and analyze a full interaction network for any novel genome of interest, by submitting its complement of encoded proteins, (ii) the co-expression channel now uses variational auto-encoders to predict interactions, and it covers two new sources, single-cell RNA-seq and experimental proteomics data and (iii) the confidence in each experimentally derived interaction is now estimated based on the detection method used, and communicated to the user in the web-interface. Furthermore, STRING continues to enhance its facilities for functional enrichment analysis, which are now fully available also for user-submitted genomes.","container-title":"Nucleic Acids Research","DOI":"10.1093/nar/gkac1000","ISSN":"0305-1048","issue":"D1","journalAbbreviation":"Nucleic Acids Research","page":"D638-D646","source":"Silverchair","title":"The STRING database in 2023: protein–protein association networks and functional enrichment analyses for any sequenced genome of interest","title-short":"The STRING database in 2023","volume":"51","author":[{"family":"Szklarczyk","given":"Damian"},{"family":"Kirsch","given":"Rebecca"},{"family":"Koutrouli","given":"Mikaela"},{"family":"Nastou","given":"Katerina"},{"family":"Mehryary","given":"Farrokh"},{"family":"Hachilif","given":"Radja"},{"family":"Gable","given":"Annika L"},{"family":"Fang","given":"Tao"},{"family":"Doncheva","given":"Nadezhda T"},{"family":"Pyysalo","given":"Sampo"},{"family":"Bork","given":"Peer"},{"family":"Jensen","given":"Lars J"},{"family":"von Mering","given":"Christian"}],"issued":{"date-parts":[["2023",1,6]]}}}],"schema":"https://github.com/citation-style-language/schema/raw/master/csl-citation.json"} </w:instrText>
            </w:r>
            <w:r>
              <w:rPr>
                <w:rFonts w:ascii="Arial" w:hAnsi="Arial" w:cs="Arial"/>
                <w:sz w:val="20"/>
                <w:szCs w:val="20"/>
              </w:rPr>
              <w:fldChar w:fldCharType="separate"/>
            </w:r>
            <w:r w:rsidRPr="001E1DBD">
              <w:rPr>
                <w:rFonts w:ascii="Arial" w:hAnsi="Arial" w:cs="Arial"/>
                <w:sz w:val="20"/>
                <w:vertAlign w:val="superscript"/>
              </w:rPr>
              <w:t>33</w:t>
            </w:r>
            <w:r>
              <w:rPr>
                <w:rFonts w:ascii="Arial" w:hAnsi="Arial" w:cs="Arial"/>
                <w:sz w:val="20"/>
                <w:szCs w:val="20"/>
              </w:rPr>
              <w:fldChar w:fldCharType="end"/>
            </w:r>
          </w:p>
        </w:tc>
        <w:tc>
          <w:tcPr>
            <w:tcW w:w="1791" w:type="dxa"/>
          </w:tcPr>
          <w:p w14:paraId="53F0A0E0" w14:textId="13655468" w:rsidR="001E1DBD" w:rsidRPr="002E73F2" w:rsidRDefault="001E1DBD" w:rsidP="001E1DBD">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Pr>
                <w:rFonts w:ascii="Arial" w:hAnsi="Arial" w:cs="Arial"/>
                <w:color w:val="000000"/>
                <w:sz w:val="20"/>
                <w:szCs w:val="20"/>
              </w:rPr>
              <w:instrText xml:space="preserve"> ADDIN ZOTERO_ITEM CSL_CITATION {"citationID":"kdzOIpkE","properties":{"formattedCitation":"\\super 34\\nosupersub{}","plainCitation":"34","noteIndex":0},"citationItems":[{"id":16174,"uris":["http://zotero.org/users/1547967/items/YSB28L4B"],"itemData":{"id":16174,"type":"article-journal","container-title":"Nature Communications","title":"In Review. NCOMMS-23-19167: Collection of Biospecimens from the Inspiration4 Mission Establishes the Standards for the Space Omics and Medical Atlas (SOMA)","URL":"https://www.biorxiv.org/content/10.1101/2023.05.02.539108v1","author":[{"family":"Overbey","given":""},{"family":"Mason","given":"Christopher E."}],"issued":{"date-parts":[["2023"]]}}}],"schema":"https://github.com/citation-style-language/schema/raw/master/csl-citation.json"} </w:instrText>
            </w:r>
            <w:r>
              <w:rPr>
                <w:rFonts w:ascii="Arial" w:hAnsi="Arial" w:cs="Arial"/>
                <w:color w:val="000000"/>
                <w:sz w:val="20"/>
                <w:szCs w:val="20"/>
              </w:rPr>
              <w:fldChar w:fldCharType="separate"/>
            </w:r>
            <w:r w:rsidRPr="001E1DBD">
              <w:rPr>
                <w:rFonts w:ascii="Arial" w:hAnsi="Arial" w:cs="Arial"/>
                <w:sz w:val="20"/>
                <w:vertAlign w:val="superscript"/>
              </w:rPr>
              <w:t>34</w:t>
            </w:r>
            <w:r>
              <w:rPr>
                <w:rFonts w:ascii="Arial" w:hAnsi="Arial" w:cs="Arial"/>
                <w:color w:val="000000"/>
                <w:sz w:val="20"/>
                <w:szCs w:val="20"/>
              </w:rPr>
              <w:fldChar w:fldCharType="end"/>
            </w:r>
            <w:r>
              <w:rPr>
                <w:rFonts w:ascii="Arial" w:hAnsi="Arial" w:cs="Arial"/>
                <w:color w:val="000000"/>
                <w:sz w:val="20"/>
                <w:szCs w:val="20"/>
              </w:rPr>
              <w:t>, See “DAA”</w:t>
            </w:r>
          </w:p>
        </w:tc>
      </w:tr>
    </w:tbl>
    <w:p w14:paraId="79375098" w14:textId="77777777" w:rsidR="00261BC6" w:rsidRDefault="00261BC6" w:rsidP="007C685E">
      <w:pPr>
        <w:pStyle w:val="NormalWeb"/>
        <w:spacing w:before="240" w:beforeAutospacing="0" w:after="240" w:afterAutospacing="0" w:line="480" w:lineRule="auto"/>
        <w:ind w:left="-280"/>
        <w:jc w:val="both"/>
        <w:rPr>
          <w:rFonts w:ascii="Arial" w:hAnsi="Arial" w:cs="Arial"/>
          <w:color w:val="000000"/>
          <w:sz w:val="22"/>
          <w:szCs w:val="22"/>
        </w:rPr>
      </w:pPr>
    </w:p>
    <w:p w14:paraId="226226BC" w14:textId="78CAE4C6" w:rsidR="007A3500" w:rsidRPr="007A3500" w:rsidRDefault="007A3500" w:rsidP="007C685E">
      <w:pPr>
        <w:pStyle w:val="NormalWeb"/>
        <w:spacing w:before="240" w:beforeAutospacing="0" w:after="240" w:afterAutospacing="0" w:line="480" w:lineRule="auto"/>
        <w:ind w:left="-280"/>
        <w:jc w:val="both"/>
        <w:rPr>
          <w:rFonts w:ascii="Arial" w:hAnsi="Arial" w:cs="Arial"/>
          <w:b/>
          <w:bCs/>
          <w:i/>
          <w:iCs/>
          <w:color w:val="000000"/>
          <w:sz w:val="22"/>
          <w:szCs w:val="22"/>
        </w:rPr>
      </w:pPr>
      <w:r w:rsidRPr="007A3500">
        <w:rPr>
          <w:rFonts w:ascii="Arial" w:hAnsi="Arial" w:cs="Arial"/>
          <w:b/>
          <w:bCs/>
          <w:i/>
          <w:iCs/>
          <w:color w:val="000000"/>
          <w:sz w:val="22"/>
          <w:szCs w:val="22"/>
        </w:rPr>
        <w:t>Plasma Slow Off-Rate Modified Aptamers</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7A3500" w:rsidRPr="002E73F2" w14:paraId="03EE5666" w14:textId="77777777" w:rsidTr="007A3500">
        <w:trPr>
          <w:trHeight w:val="103"/>
        </w:trPr>
        <w:tc>
          <w:tcPr>
            <w:tcW w:w="1551" w:type="dxa"/>
          </w:tcPr>
          <w:p w14:paraId="6D79B885" w14:textId="77777777" w:rsidR="007A3500" w:rsidRPr="002E73F2" w:rsidRDefault="007A3500"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5" w:type="dxa"/>
          </w:tcPr>
          <w:p w14:paraId="71A8B7C1" w14:textId="77777777" w:rsidR="007A3500" w:rsidRPr="002E73F2" w:rsidRDefault="007A3500"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709E679D" w14:textId="77777777" w:rsidR="007A3500" w:rsidRPr="002E73F2" w:rsidRDefault="007A3500"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07F9DFA9" w14:textId="77777777" w:rsidR="007A3500" w:rsidRPr="002E73F2" w:rsidRDefault="007A3500"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1805FFFC" w14:textId="77777777" w:rsidR="007A3500" w:rsidRPr="002E73F2" w:rsidRDefault="007A3500"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393A12C1" w14:textId="77777777" w:rsidR="007A3500" w:rsidRPr="002E73F2" w:rsidRDefault="007A3500"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7A3500" w:rsidRPr="002E73F2" w14:paraId="7C6D1FCE" w14:textId="77777777" w:rsidTr="007A3500">
        <w:trPr>
          <w:trHeight w:val="103"/>
        </w:trPr>
        <w:tc>
          <w:tcPr>
            <w:tcW w:w="1551" w:type="dxa"/>
          </w:tcPr>
          <w:p w14:paraId="69754A30" w14:textId="5F9A75EB" w:rsidR="007A3500" w:rsidRPr="002E73F2" w:rsidRDefault="007A3500"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RR-19</w:t>
            </w:r>
          </w:p>
        </w:tc>
        <w:tc>
          <w:tcPr>
            <w:tcW w:w="1415" w:type="dxa"/>
          </w:tcPr>
          <w:p w14:paraId="53AC0A0C" w14:textId="77777777" w:rsidR="007A3500" w:rsidRPr="002E73F2" w:rsidRDefault="007A3500"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Plasma</w:t>
            </w:r>
          </w:p>
        </w:tc>
        <w:tc>
          <w:tcPr>
            <w:tcW w:w="1845" w:type="dxa"/>
          </w:tcPr>
          <w:p w14:paraId="0A0A5CCF" w14:textId="69C63BF1" w:rsidR="007A3500" w:rsidRPr="002E73F2" w:rsidRDefault="008D48D2"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1E1DBD">
              <w:rPr>
                <w:rFonts w:ascii="Arial" w:hAnsi="Arial" w:cs="Arial"/>
                <w:color w:val="000000"/>
                <w:sz w:val="20"/>
                <w:szCs w:val="20"/>
              </w:rPr>
              <w:instrText xml:space="preserve"> ADDIN ZOTERO_ITEM CSL_CITATION {"citationID":"BJzOhGUo","properties":{"formattedCitation":"\\super 35,36\\nosupersub{}","plainCitation":"35,36","noteIndex":0},"citationItems":[{"id":15944,"uris":["http://zotero.org/users/1547967/items/R7HI5RV9"],"itemData":{"id":15944,"type":"article-journal","abstract":"Among the physiological consequences of extended spaceflight are loss of skeletal muscle and bone mass. One signaling pathway that plays an important role in maintaining muscle and bone homeostasis is that regulated by the secreted signaling proteins, myostatin (MSTN) and activin A. Here, we used both genetic and pharmacological approaches to investigate the effect of targeting MSTN/activin A signaling in mice that were sent to the International Space Station. Wild type mice lost significant muscle and bone mass during the 33 d spent in microgravity. Muscle weights of Mstn −/− mice, which are about twice those of wild type mice, were largely maintained during spaceflight. Systemic inhibition of MSTN/activin A signaling using a soluble form of the activin type IIB receptor (ACVR2B), which can bind each of these ligands, led to dramatic increases in both muscle and bone mass, with effects being comparable in ground and flight mice. Exposure to microgravity and treatment with the soluble receptor each led to alterations in numerous signaling pathways, which were reflected in changes in levels of key signaling components in the blood as well as their RNA expression levels in muscle and bone. These findings have implications for therapeutic strategies to combat the concomitant muscle and bone loss occurring in people afflicted with disuse atrophy on Earth as well as in astronauts in space, especially during prolonged missions.","container-title":"Proceedings of the National Academy of Sciences","DOI":"10.1073/pnas.2014716117","issue":"38","note":"publisher: Proceedings of the National Academy of Sciences","page":"23942-23951","source":"pnas.org (Atypon)","title":"Targeting myostatin/activin A protects against skeletal muscle and bone loss during spaceflight","volume":"117","author":[{"family":"Lee","given":"Se-Jin"},{"family":"Lehar","given":"Adam"},{"family":"Meir","given":"Jessica U."},{"family":"Koch","given":"Christina"},{"family":"Morgan","given":"Andrew"},{"family":"Warren","given":"Lara E."},{"family":"Rydzik","given":"Renata"},{"family":"Youngstrom","given":"Daniel W."},{"family":"Chandok","given":"Harshpreet"},{"family":"George","given":"Joshy"},{"family":"Gogain","given":"Joseph"},{"family":"Michaud","given":"Michael"},{"family":"Stoklasek","given":"Thomas A."},{"family":"Liu","given":"Yewei"},{"family":"Germain-Lee","given":"Emily L."}],"issued":{"date-parts":[["2020",9,22]]}}},{"id":15943,"uris":["http://zotero.org/users/1547967/items/TRDTKAGV"],"itemData":{"id":15943,"type":"webpage","title":"NASA OSDR: Open Science for Life in Space","URL":"https://osdr.nasa.gov/bio/repo/data/studies/OSD-342","accessed":{"date-parts":[["2023",5,25]]}}}],"schema":"https://github.com/citation-style-language/schema/raw/master/csl-citation.json"} </w:instrText>
            </w:r>
            <w:r>
              <w:rPr>
                <w:rFonts w:ascii="Arial" w:hAnsi="Arial" w:cs="Arial"/>
                <w:color w:val="000000"/>
                <w:sz w:val="20"/>
                <w:szCs w:val="20"/>
              </w:rPr>
              <w:fldChar w:fldCharType="separate"/>
            </w:r>
            <w:r w:rsidR="001E1DBD" w:rsidRPr="001E1DBD">
              <w:rPr>
                <w:rFonts w:ascii="Arial" w:hAnsi="Arial" w:cs="Arial"/>
                <w:sz w:val="20"/>
                <w:vertAlign w:val="superscript"/>
              </w:rPr>
              <w:t>35,36</w:t>
            </w:r>
            <w:r>
              <w:rPr>
                <w:rFonts w:ascii="Arial" w:hAnsi="Arial" w:cs="Arial"/>
                <w:color w:val="000000"/>
                <w:sz w:val="20"/>
                <w:szCs w:val="20"/>
              </w:rPr>
              <w:fldChar w:fldCharType="end"/>
            </w:r>
          </w:p>
        </w:tc>
        <w:tc>
          <w:tcPr>
            <w:tcW w:w="1418" w:type="dxa"/>
          </w:tcPr>
          <w:p w14:paraId="4A971AA2" w14:textId="2E94A082" w:rsidR="007A3500" w:rsidRPr="002E73F2" w:rsidRDefault="008D48D2"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1E1DBD">
              <w:rPr>
                <w:rFonts w:ascii="Arial" w:hAnsi="Arial" w:cs="Arial"/>
                <w:color w:val="000000"/>
                <w:sz w:val="20"/>
                <w:szCs w:val="20"/>
              </w:rPr>
              <w:instrText xml:space="preserve"> ADDIN ZOTERO_ITEM CSL_CITATION {"citationID":"AJHFjNhP","properties":{"formattedCitation":"\\super 36\\nosupersub{}","plainCitation":"36","noteIndex":0},"citationItems":[{"id":15943,"uris":["http://zotero.org/users/1547967/items/TRDTKAGV"],"itemData":{"id":15943,"type":"webpage","title":"NASA OSDR: Open Science for Life in Space","URL":"https://osdr.nasa.gov/bio/repo/data/studies/OSD-342","accessed":{"date-parts":[["2023",5,25]]}}}],"schema":"https://github.com/citation-style-language/schema/raw/master/csl-citation.json"} </w:instrText>
            </w:r>
            <w:r>
              <w:rPr>
                <w:rFonts w:ascii="Arial" w:hAnsi="Arial" w:cs="Arial"/>
                <w:color w:val="000000"/>
                <w:sz w:val="20"/>
                <w:szCs w:val="20"/>
              </w:rPr>
              <w:fldChar w:fldCharType="separate"/>
            </w:r>
            <w:r w:rsidR="001E1DBD" w:rsidRPr="001E1DBD">
              <w:rPr>
                <w:rFonts w:ascii="Arial" w:hAnsi="Arial" w:cs="Arial"/>
                <w:sz w:val="20"/>
                <w:vertAlign w:val="superscript"/>
              </w:rPr>
              <w:t>36</w:t>
            </w:r>
            <w:r>
              <w:rPr>
                <w:rFonts w:ascii="Arial" w:hAnsi="Arial" w:cs="Arial"/>
                <w:color w:val="000000"/>
                <w:sz w:val="20"/>
                <w:szCs w:val="20"/>
              </w:rPr>
              <w:fldChar w:fldCharType="end"/>
            </w:r>
          </w:p>
        </w:tc>
        <w:tc>
          <w:tcPr>
            <w:tcW w:w="1276" w:type="dxa"/>
          </w:tcPr>
          <w:p w14:paraId="21E5A3DA" w14:textId="736D191B" w:rsidR="007A3500" w:rsidRPr="002E73F2" w:rsidRDefault="008D48D2" w:rsidP="004821F9">
            <w:pPr>
              <w:pStyle w:val="NormalWeb"/>
              <w:spacing w:before="0" w:beforeAutospacing="0" w:after="0" w:afterAutospacing="0"/>
              <w:rPr>
                <w:rFonts w:ascii="Arial" w:hAnsi="Arial" w:cs="Arial"/>
                <w:sz w:val="20"/>
                <w:szCs w:val="20"/>
              </w:rPr>
            </w:pPr>
            <w:r>
              <w:rPr>
                <w:rFonts w:ascii="Arial" w:hAnsi="Arial" w:cs="Arial"/>
                <w:color w:val="000000"/>
                <w:sz w:val="20"/>
                <w:szCs w:val="20"/>
              </w:rPr>
              <w:fldChar w:fldCharType="begin"/>
            </w:r>
            <w:r w:rsidR="001E1DBD">
              <w:rPr>
                <w:rFonts w:ascii="Arial" w:hAnsi="Arial" w:cs="Arial"/>
                <w:color w:val="000000"/>
                <w:sz w:val="20"/>
                <w:szCs w:val="20"/>
              </w:rPr>
              <w:instrText xml:space="preserve"> ADDIN ZOTERO_ITEM CSL_CITATION {"citationID":"GYMm21wk","properties":{"formattedCitation":"\\super 36\\nosupersub{}","plainCitation":"36","noteIndex":0},"citationItems":[{"id":15943,"uris":["http://zotero.org/users/1547967/items/TRDTKAGV"],"itemData":{"id":15943,"type":"webpage","title":"NASA OSDR: Open Science for Life in Space","URL":"https://osdr.nasa.gov/bio/repo/data/studies/OSD-342","accessed":{"date-parts":[["2023",5,25]]}}}],"schema":"https://github.com/citation-style-language/schema/raw/master/csl-citation.json"} </w:instrText>
            </w:r>
            <w:r>
              <w:rPr>
                <w:rFonts w:ascii="Arial" w:hAnsi="Arial" w:cs="Arial"/>
                <w:color w:val="000000"/>
                <w:sz w:val="20"/>
                <w:szCs w:val="20"/>
              </w:rPr>
              <w:fldChar w:fldCharType="separate"/>
            </w:r>
            <w:r w:rsidR="001E1DBD" w:rsidRPr="001E1DBD">
              <w:rPr>
                <w:rFonts w:ascii="Arial" w:hAnsi="Arial" w:cs="Arial"/>
                <w:sz w:val="20"/>
                <w:vertAlign w:val="superscript"/>
              </w:rPr>
              <w:t>36</w:t>
            </w:r>
            <w:r>
              <w:rPr>
                <w:rFonts w:ascii="Arial" w:hAnsi="Arial" w:cs="Arial"/>
                <w:color w:val="000000"/>
                <w:sz w:val="20"/>
                <w:szCs w:val="20"/>
              </w:rPr>
              <w:fldChar w:fldCharType="end"/>
            </w:r>
          </w:p>
        </w:tc>
        <w:tc>
          <w:tcPr>
            <w:tcW w:w="1791" w:type="dxa"/>
          </w:tcPr>
          <w:p w14:paraId="01CBA45C" w14:textId="29D9C53A" w:rsidR="007A3500" w:rsidRPr="002E73F2" w:rsidRDefault="00BE0948"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See “DAA”</w:t>
            </w:r>
          </w:p>
        </w:tc>
      </w:tr>
    </w:tbl>
    <w:p w14:paraId="6BE2A53D" w14:textId="1DD2DA29" w:rsidR="001E5389" w:rsidRDefault="001E5389" w:rsidP="001E5389">
      <w:pPr>
        <w:pStyle w:val="NoSpacing"/>
        <w:jc w:val="both"/>
        <w:rPr>
          <w:rFonts w:ascii="Arial" w:hAnsi="Arial" w:cs="Arial"/>
        </w:rPr>
      </w:pPr>
    </w:p>
    <w:p w14:paraId="67FA7E04" w14:textId="77777777" w:rsidR="007A3500" w:rsidRDefault="007A3500" w:rsidP="001E5389">
      <w:pPr>
        <w:pStyle w:val="NoSpacing"/>
        <w:jc w:val="both"/>
        <w:rPr>
          <w:rFonts w:ascii="Arial" w:hAnsi="Arial" w:cs="Arial"/>
        </w:rPr>
      </w:pPr>
    </w:p>
    <w:p w14:paraId="0301E0F3" w14:textId="77777777" w:rsidR="007A3500" w:rsidRDefault="007A3500" w:rsidP="001E5389">
      <w:pPr>
        <w:pStyle w:val="NoSpacing"/>
        <w:jc w:val="both"/>
        <w:rPr>
          <w:rFonts w:ascii="Arial" w:hAnsi="Arial" w:cs="Arial"/>
        </w:rPr>
      </w:pPr>
    </w:p>
    <w:p w14:paraId="6BC31367" w14:textId="59D46145" w:rsidR="00E83B12" w:rsidRPr="007A3500" w:rsidRDefault="00E83B12" w:rsidP="00E83B12">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Shotgun LC-MS/MS</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E83B12" w:rsidRPr="002E73F2" w14:paraId="754158DC" w14:textId="77777777" w:rsidTr="0042698E">
        <w:trPr>
          <w:trHeight w:val="103"/>
        </w:trPr>
        <w:tc>
          <w:tcPr>
            <w:tcW w:w="1551" w:type="dxa"/>
          </w:tcPr>
          <w:p w14:paraId="35CC3B59" w14:textId="77777777" w:rsidR="00E83B12" w:rsidRPr="002E73F2" w:rsidRDefault="00E83B12"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lastRenderedPageBreak/>
              <w:t>Cohort</w:t>
            </w:r>
          </w:p>
        </w:tc>
        <w:tc>
          <w:tcPr>
            <w:tcW w:w="1415" w:type="dxa"/>
          </w:tcPr>
          <w:p w14:paraId="770D9294" w14:textId="77777777" w:rsidR="00E83B12" w:rsidRPr="002E73F2" w:rsidRDefault="00E83B12"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5EBD4262" w14:textId="77777777" w:rsidR="00E83B12" w:rsidRPr="002E73F2" w:rsidRDefault="00E83B12"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1DA884F1" w14:textId="77777777" w:rsidR="00E83B12" w:rsidRPr="002E73F2" w:rsidRDefault="00E83B12"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6500D522" w14:textId="77777777" w:rsidR="00E83B12" w:rsidRPr="002E73F2" w:rsidRDefault="00E83B12"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6BFD7368" w14:textId="77777777" w:rsidR="00E83B12" w:rsidRPr="002E73F2" w:rsidRDefault="00E83B12"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E83B12" w:rsidRPr="002E73F2" w14:paraId="144D181B" w14:textId="77777777" w:rsidTr="0042698E">
        <w:trPr>
          <w:trHeight w:val="103"/>
        </w:trPr>
        <w:tc>
          <w:tcPr>
            <w:tcW w:w="1551" w:type="dxa"/>
          </w:tcPr>
          <w:p w14:paraId="66FAE854" w14:textId="299807D4" w:rsidR="00E83B12" w:rsidRPr="002E73F2" w:rsidRDefault="00E83B12"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Cosmonauts</w:t>
            </w:r>
          </w:p>
        </w:tc>
        <w:tc>
          <w:tcPr>
            <w:tcW w:w="1415" w:type="dxa"/>
          </w:tcPr>
          <w:p w14:paraId="42AFDAD2" w14:textId="6FC651DD" w:rsidR="00E83B12" w:rsidRPr="002E73F2" w:rsidRDefault="00E83B12"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Urine</w:t>
            </w:r>
          </w:p>
        </w:tc>
        <w:tc>
          <w:tcPr>
            <w:tcW w:w="1845" w:type="dxa"/>
          </w:tcPr>
          <w:p w14:paraId="6F6A913D" w14:textId="71A18C65" w:rsidR="00E83B12" w:rsidRPr="002E73F2" w:rsidRDefault="00243103"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1E1DBD">
              <w:rPr>
                <w:rFonts w:ascii="Arial" w:hAnsi="Arial" w:cs="Arial"/>
                <w:color w:val="000000"/>
                <w:sz w:val="20"/>
                <w:szCs w:val="20"/>
              </w:rPr>
              <w:instrText xml:space="preserve"> ADDIN ZOTERO_ITEM CSL_CITATION {"citationID":"icj7AXRj","properties":{"formattedCitation":"\\super 37\\nosupersub{}","plainCitation":"37","noteIndex":0},"citationItems":[{"id":15029,"uris":["http://zotero.org/groups/4810757/items/VC82M5G8"],"itemData":{"id":15029,"type":"article-journal","abstract":"We analyzed protein profile of urine samples obtained from 7 Russian cosmonauts (age 35-51 years), participants of space flights on the International Space Station lasting for 169-199 days. Gradient chromatography with linear increase of eluent proportion was carried out in a system consisting of an Agilent 1100 chromatograph (Agilent Technologies Inc.) and a hybrid mass-spectrometer LTQ-FT Ultra (Thermo). The obtained results help to understand changes in the human body induced by space flight factors.","container-title":"Bulletin of Experimental Biology and Medicine","DOI":"10.1007/s10517-013-2310-2","ISSN":"1573-8221","issue":"2","journalAbbreviation":"Bull Exp Biol Med","language":"en","page":"201-204","source":"Springer Link","title":"Changes of Protein Profile of Human Urine after Long-Term Orbital Flights","volume":"156","author":[{"family":"Pastushkova","given":"L. Kh."},{"family":"Valeeva","given":"O. A."},{"family":"Kononikhin","given":"A. S."},{"family":"Nikolaev","given":"E. N."},{"family":"Larina","given":"I. M."},{"family":"Dobrokhotov","given":"I. V."},{"family":"Popov","given":"I. A."},{"family":"Pochuev","given":"V. I."},{"family":"Kireev","given":"K. S."}],"issued":{"date-parts":[["2013",12,1]]}}}],"schema":"https://github.com/citation-style-language/schema/raw/master/csl-citation.json"} </w:instrText>
            </w:r>
            <w:r>
              <w:rPr>
                <w:rFonts w:ascii="Arial" w:hAnsi="Arial" w:cs="Arial"/>
                <w:color w:val="000000"/>
                <w:sz w:val="20"/>
                <w:szCs w:val="20"/>
              </w:rPr>
              <w:fldChar w:fldCharType="separate"/>
            </w:r>
            <w:r w:rsidR="001E1DBD" w:rsidRPr="001E1DBD">
              <w:rPr>
                <w:rFonts w:ascii="Arial" w:hAnsi="Arial" w:cs="Arial"/>
                <w:sz w:val="20"/>
                <w:vertAlign w:val="superscript"/>
              </w:rPr>
              <w:t>37</w:t>
            </w:r>
            <w:r>
              <w:rPr>
                <w:rFonts w:ascii="Arial" w:hAnsi="Arial" w:cs="Arial"/>
                <w:color w:val="000000"/>
                <w:sz w:val="20"/>
                <w:szCs w:val="20"/>
              </w:rPr>
              <w:fldChar w:fldCharType="end"/>
            </w:r>
          </w:p>
        </w:tc>
        <w:tc>
          <w:tcPr>
            <w:tcW w:w="1418" w:type="dxa"/>
          </w:tcPr>
          <w:p w14:paraId="6652C107" w14:textId="7643A74A" w:rsidR="00E83B12" w:rsidRPr="002E73F2" w:rsidRDefault="00243103"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1E1DBD">
              <w:rPr>
                <w:rFonts w:ascii="Arial" w:hAnsi="Arial" w:cs="Arial"/>
                <w:color w:val="000000"/>
                <w:sz w:val="20"/>
                <w:szCs w:val="20"/>
              </w:rPr>
              <w:instrText xml:space="preserve"> ADDIN ZOTERO_ITEM CSL_CITATION {"citationID":"liIlpxrm","properties":{"formattedCitation":"\\super 38\\nosupersub{}","plainCitation":"38","noteIndex":0},"citationItems":[{"id":15939,"uris":["http://zotero.org/users/1547967/items/TBXSR7H3"],"itemData":{"id":15939,"type":"webpage","title":"View a PASSEL Dataset","URL":"https://db.systemsbiology.net/sbeams/cgi/PeptideAtlas/PASS_View?identifier=PASS00239","accessed":{"date-parts":[["2023",5,25]]}}}],"schema":"https://github.com/citation-style-language/schema/raw/master/csl-citation.json"} </w:instrText>
            </w:r>
            <w:r>
              <w:rPr>
                <w:rFonts w:ascii="Arial" w:hAnsi="Arial" w:cs="Arial"/>
                <w:color w:val="000000"/>
                <w:sz w:val="20"/>
                <w:szCs w:val="20"/>
              </w:rPr>
              <w:fldChar w:fldCharType="separate"/>
            </w:r>
            <w:r w:rsidR="001E1DBD" w:rsidRPr="001E1DBD">
              <w:rPr>
                <w:rFonts w:ascii="Arial" w:hAnsi="Arial" w:cs="Arial"/>
                <w:sz w:val="20"/>
                <w:vertAlign w:val="superscript"/>
              </w:rPr>
              <w:t>38</w:t>
            </w:r>
            <w:r>
              <w:rPr>
                <w:rFonts w:ascii="Arial" w:hAnsi="Arial" w:cs="Arial"/>
                <w:color w:val="000000"/>
                <w:sz w:val="20"/>
                <w:szCs w:val="20"/>
              </w:rPr>
              <w:fldChar w:fldCharType="end"/>
            </w:r>
          </w:p>
        </w:tc>
        <w:tc>
          <w:tcPr>
            <w:tcW w:w="1276" w:type="dxa"/>
          </w:tcPr>
          <w:p w14:paraId="0FC40ABA" w14:textId="0A068A87" w:rsidR="00E83B12" w:rsidRPr="002E73F2" w:rsidRDefault="0042698E" w:rsidP="004821F9">
            <w:pPr>
              <w:pStyle w:val="NormalWeb"/>
              <w:spacing w:before="0" w:beforeAutospacing="0" w:after="0" w:afterAutospacing="0"/>
              <w:rPr>
                <w:rFonts w:ascii="Arial" w:hAnsi="Arial" w:cs="Arial"/>
                <w:sz w:val="20"/>
                <w:szCs w:val="20"/>
              </w:rPr>
            </w:pPr>
            <w:r>
              <w:rPr>
                <w:rFonts w:ascii="Arial" w:hAnsi="Arial" w:cs="Arial"/>
                <w:color w:val="000000"/>
                <w:sz w:val="20"/>
                <w:szCs w:val="20"/>
              </w:rPr>
              <w:fldChar w:fldCharType="begin"/>
            </w:r>
            <w:r w:rsidR="001E1DBD">
              <w:rPr>
                <w:rFonts w:ascii="Arial" w:hAnsi="Arial" w:cs="Arial"/>
                <w:color w:val="000000"/>
                <w:sz w:val="20"/>
                <w:szCs w:val="20"/>
              </w:rPr>
              <w:instrText xml:space="preserve"> ADDIN ZOTERO_ITEM CSL_CITATION {"citationID":"J0pCH9gg","properties":{"formattedCitation":"\\super 38\\nosupersub{}","plainCitation":"38","noteIndex":0},"citationItems":[{"id":15939,"uris":["http://zotero.org/users/1547967/items/TBXSR7H3"],"itemData":{"id":15939,"type":"webpage","title":"View a PASSEL Dataset","URL":"https://db.systemsbiology.net/sbeams/cgi/PeptideAtlas/PASS_View?identifier=PASS00239","accessed":{"date-parts":[["2023",5,25]]}}}],"schema":"https://github.com/citation-style-language/schema/raw/master/csl-citation.json"} </w:instrText>
            </w:r>
            <w:r>
              <w:rPr>
                <w:rFonts w:ascii="Arial" w:hAnsi="Arial" w:cs="Arial"/>
                <w:color w:val="000000"/>
                <w:sz w:val="20"/>
                <w:szCs w:val="20"/>
              </w:rPr>
              <w:fldChar w:fldCharType="separate"/>
            </w:r>
            <w:r w:rsidR="001E1DBD" w:rsidRPr="001E1DBD">
              <w:rPr>
                <w:rFonts w:ascii="Arial" w:hAnsi="Arial" w:cs="Arial"/>
                <w:sz w:val="20"/>
                <w:vertAlign w:val="superscript"/>
              </w:rPr>
              <w:t>38</w:t>
            </w:r>
            <w:r>
              <w:rPr>
                <w:rFonts w:ascii="Arial" w:hAnsi="Arial" w:cs="Arial"/>
                <w:color w:val="000000"/>
                <w:sz w:val="20"/>
                <w:szCs w:val="20"/>
              </w:rPr>
              <w:fldChar w:fldCharType="end"/>
            </w:r>
          </w:p>
        </w:tc>
        <w:tc>
          <w:tcPr>
            <w:tcW w:w="1791" w:type="dxa"/>
          </w:tcPr>
          <w:p w14:paraId="6EDC4B99" w14:textId="1E27C61A" w:rsidR="00E83B12" w:rsidRPr="002E73F2" w:rsidRDefault="00F2747F"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See below</w:t>
            </w:r>
          </w:p>
        </w:tc>
      </w:tr>
    </w:tbl>
    <w:p w14:paraId="6352F6FA" w14:textId="77777777" w:rsidR="005B38C1" w:rsidRPr="00E66748" w:rsidRDefault="005B38C1" w:rsidP="001E5389">
      <w:pPr>
        <w:pStyle w:val="NoSpacing"/>
        <w:jc w:val="both"/>
        <w:rPr>
          <w:rFonts w:ascii="Arial" w:hAnsi="Arial" w:cs="Arial"/>
        </w:rPr>
      </w:pPr>
    </w:p>
    <w:p w14:paraId="794B91CF" w14:textId="70EA17AF" w:rsidR="004723BD" w:rsidRPr="00E66748" w:rsidRDefault="004723BD" w:rsidP="008E4CCC">
      <w:pPr>
        <w:pStyle w:val="NoSpacing"/>
        <w:jc w:val="both"/>
        <w:rPr>
          <w:rFonts w:ascii="Arial" w:hAnsi="Arial" w:cs="Arial"/>
        </w:rPr>
      </w:pPr>
    </w:p>
    <w:p w14:paraId="4A63D03C" w14:textId="77777777" w:rsidR="008E2F1F" w:rsidRPr="008E2F1F" w:rsidRDefault="008E2F1F" w:rsidP="008E2F1F">
      <w:pPr>
        <w:pStyle w:val="NormalWeb"/>
        <w:spacing w:before="240" w:after="240" w:line="480" w:lineRule="auto"/>
        <w:ind w:left="-280"/>
        <w:jc w:val="both"/>
        <w:rPr>
          <w:rFonts w:ascii="Arial" w:hAnsi="Arial" w:cs="Arial"/>
          <w:color w:val="000000"/>
          <w:sz w:val="22"/>
          <w:szCs w:val="22"/>
          <w:u w:val="single"/>
        </w:rPr>
      </w:pPr>
      <w:r w:rsidRPr="008E2F1F">
        <w:rPr>
          <w:rFonts w:ascii="Arial" w:hAnsi="Arial" w:cs="Arial"/>
          <w:color w:val="000000"/>
          <w:sz w:val="22"/>
          <w:szCs w:val="22"/>
          <w:u w:val="single"/>
        </w:rPr>
        <w:t>Network Analysis</w:t>
      </w:r>
    </w:p>
    <w:p w14:paraId="1308F183" w14:textId="0CDF53DC" w:rsidR="008E2F1F" w:rsidRDefault="008E2F1F" w:rsidP="008E2F1F">
      <w:pPr>
        <w:pStyle w:val="NormalWeb"/>
        <w:spacing w:before="240" w:after="240" w:line="480" w:lineRule="auto"/>
        <w:ind w:left="-280"/>
        <w:jc w:val="both"/>
        <w:rPr>
          <w:rFonts w:ascii="Arial" w:hAnsi="Arial" w:cs="Arial"/>
          <w:color w:val="000000"/>
          <w:sz w:val="22"/>
          <w:szCs w:val="22"/>
        </w:rPr>
      </w:pPr>
      <w:r w:rsidRPr="008E2F1F">
        <w:rPr>
          <w:rFonts w:ascii="Arial" w:hAnsi="Arial" w:cs="Arial"/>
          <w:color w:val="000000"/>
          <w:sz w:val="22"/>
          <w:szCs w:val="22"/>
        </w:rPr>
        <w:t xml:space="preserve">Cosmonaut (n=10 per timepoint) urinary shotgun proteomes pre-flight were compared with those measured post-flight R+1d and R+7d. Proteins that were absent pre-flight but detected after spaceflight were taken forward for network analysis in </w:t>
      </w:r>
      <w:proofErr w:type="spellStart"/>
      <w:r w:rsidRPr="008E2F1F">
        <w:rPr>
          <w:rFonts w:ascii="Arial" w:hAnsi="Arial" w:cs="Arial"/>
          <w:sz w:val="22"/>
          <w:szCs w:val="22"/>
        </w:rPr>
        <w:t>Cytoscape</w:t>
      </w:r>
      <w:proofErr w:type="spellEnd"/>
      <w:r w:rsidRPr="008E2F1F">
        <w:rPr>
          <w:rFonts w:ascii="Arial" w:hAnsi="Arial" w:cs="Arial"/>
          <w:sz w:val="22"/>
          <w:szCs w:val="22"/>
        </w:rPr>
        <w:t xml:space="preserve"> StringApp</w:t>
      </w:r>
      <w:r w:rsidR="00EF2BB1">
        <w:rPr>
          <w:rFonts w:ascii="Arial" w:hAnsi="Arial" w:cs="Arial"/>
          <w:sz w:val="22"/>
          <w:szCs w:val="22"/>
        </w:rPr>
        <w:fldChar w:fldCharType="begin"/>
      </w:r>
      <w:r w:rsidR="001E1DBD">
        <w:rPr>
          <w:rFonts w:ascii="Arial" w:hAnsi="Arial" w:cs="Arial"/>
          <w:sz w:val="22"/>
          <w:szCs w:val="22"/>
        </w:rPr>
        <w:instrText xml:space="preserve"> ADDIN ZOTERO_ITEM CSL_CITATION {"citationID":"CihLIxzh","properties":{"formattedCitation":"\\super 39\\nosupersub{}","plainCitation":"39","noteIndex":0},"citationItems":[{"id":15971,"uris":["http://zotero.org/users/1547967/items/YG65IIJT"],"itemData":{"id":15971,"type":"article-journal","abstract":"Protein networks have become a popular tool for analyzing and visualizing the often long lists of proteins or genes obtained from proteomics and other high-throughput technologies. One of the most popular sources of such networks is the STRING database, which provides protein networks for more than 2000 organisms, including both physical interactions from experimental data and functional associations from curated pathways, automatic text mining, and prediction methods. However, its web interface is mainly intended for inspection of small networks and their underlying evidence. The Cytoscape software, on the other hand, is much better suited for working with large networks and offers greater flexibility in terms of network analysis, import, and visualization of additional data. To include both resources in the same workflow, we created stringApp, a Cytoscape app that makes it easy to import STRING networks into Cytoscape, retains the appearance and many of the features of STRING, and integrates data from associated databases. Here, we introduce many of the stringApp features and show how they can be used to carry out complex network analysis and visualization tasks on a typical proteomics data set, all through the Cytoscape user interface. stringApp is freely available from the Cytoscape app store: http://apps.cytoscape.org/apps/stringapp.","container-title":"Journal of Proteome Research","DOI":"10.1021/acs.jproteome.8b00702","ISSN":"1535-3893","issue":"2","journalAbbreviation":"J. Proteome Res.","note":"publisher: American Chemical Society","page":"623-632","source":"ACS Publications","title":"Cytoscape StringApp: Network Analysis and Visualization of Proteomics Data","title-short":"Cytoscape StringApp","volume":"18","author":[{"family":"Doncheva","given":"Nadezhda T."},{"family":"Morris","given":"John H."},{"family":"Gorodkin","given":"Jan"},{"family":"Jensen","given":"Lars J."}],"issued":{"date-parts":[["2019",2,1]]}}}],"schema":"https://github.com/citation-style-language/schema/raw/master/csl-citation.json"} </w:instrText>
      </w:r>
      <w:r w:rsidR="00EF2BB1">
        <w:rPr>
          <w:rFonts w:ascii="Arial" w:hAnsi="Arial" w:cs="Arial"/>
          <w:sz w:val="22"/>
          <w:szCs w:val="22"/>
        </w:rPr>
        <w:fldChar w:fldCharType="separate"/>
      </w:r>
      <w:r w:rsidR="001E1DBD" w:rsidRPr="001E1DBD">
        <w:rPr>
          <w:rFonts w:ascii="Arial" w:hAnsi="Arial" w:cs="Arial"/>
          <w:sz w:val="22"/>
          <w:vertAlign w:val="superscript"/>
        </w:rPr>
        <w:t>39</w:t>
      </w:r>
      <w:r w:rsidR="00EF2BB1">
        <w:rPr>
          <w:rFonts w:ascii="Arial" w:hAnsi="Arial" w:cs="Arial"/>
          <w:sz w:val="22"/>
          <w:szCs w:val="22"/>
        </w:rPr>
        <w:fldChar w:fldCharType="end"/>
      </w:r>
      <w:r w:rsidR="00EF2BB1">
        <w:rPr>
          <w:rFonts w:ascii="Arial" w:hAnsi="Arial" w:cs="Arial"/>
          <w:sz w:val="22"/>
          <w:szCs w:val="22"/>
        </w:rPr>
        <w:t xml:space="preserve"> </w:t>
      </w:r>
      <w:r w:rsidRPr="008E2F1F">
        <w:rPr>
          <w:rFonts w:ascii="Arial" w:hAnsi="Arial" w:cs="Arial"/>
          <w:sz w:val="22"/>
          <w:szCs w:val="22"/>
        </w:rPr>
        <w:t>using the latest version of the STRING</w:t>
      </w:r>
      <w:r w:rsidR="00EF2BB1">
        <w:rPr>
          <w:rFonts w:ascii="Arial" w:hAnsi="Arial" w:cs="Arial"/>
          <w:sz w:val="22"/>
          <w:szCs w:val="22"/>
        </w:rPr>
        <w:fldChar w:fldCharType="begin"/>
      </w:r>
      <w:r w:rsidR="001E1DBD">
        <w:rPr>
          <w:rFonts w:ascii="Arial" w:hAnsi="Arial" w:cs="Arial"/>
          <w:sz w:val="22"/>
          <w:szCs w:val="22"/>
        </w:rPr>
        <w:instrText xml:space="preserve"> ADDIN ZOTERO_ITEM CSL_CITATION {"citationID":"CNHo3aem","properties":{"formattedCitation":"\\super 33\\nosupersub{}","plainCitation":"33","noteIndex":0},"citationItems":[{"id":15970,"uris":["http://zotero.org/users/1547967/items/A48T9BGF"],"itemData":{"id":15970,"type":"article-journal","abstract":"Much of the complexity within cells arises from functional and regulatory interactions among proteins. The core of these interactions is increasingly known, but novel interactions continue to be discovered, and the information remains scattered across different database resources, experimental modalities and levels of mechanistic detail. The STRING database (https://string-db.org/) systematically collects and integrates protein–protein interactions—both physical interactions as well as functional associations. The data originate from a number of sources: automated text mining of the scientific literature, computational interaction predictions from co-expression, conserved genomic context, databases of interaction experiments and known complexes/pathways from curated sources. All of these interactions are critically assessed, scored, and subsequently automatically transferred to less well-studied organisms using hierarchical orthology information. The data can be accessed via the website, but also programmatically and via bulk downloads. The most recent developments in STRING (version 12.0) are: (i) it is now possible to create, browse and analyze a full interaction network for any novel genome of interest, by submitting its complement of encoded proteins, (ii) the co-expression channel now uses variational auto-encoders to predict interactions, and it covers two new sources, single-cell RNA-seq and experimental proteomics data and (iii) the confidence in each experimentally derived interaction is now estimated based on the detection method used, and communicated to the user in the web-interface. Furthermore, STRING continues to enhance its facilities for functional enrichment analysis, which are now fully available also for user-submitted genomes.","container-title":"Nucleic Acids Research","DOI":"10.1093/nar/gkac1000","ISSN":"0305-1048","issue":"D1","journalAbbreviation":"Nucleic Acids Research","page":"D638-D646","source":"Silverchair","title":"The STRING database in 2023: protein–protein association networks and functional enrichment analyses for any sequenced genome of interest","title-short":"The STRING database in 2023","volume":"51","author":[{"family":"Szklarczyk","given":"Damian"},{"family":"Kirsch","given":"Rebecca"},{"family":"Koutrouli","given":"Mikaela"},{"family":"Nastou","given":"Katerina"},{"family":"Mehryary","given":"Farrokh"},{"family":"Hachilif","given":"Radja"},{"family":"Gable","given":"Annika L"},{"family":"Fang","given":"Tao"},{"family":"Doncheva","given":"Nadezhda T"},{"family":"Pyysalo","given":"Sampo"},{"family":"Bork","given":"Peer"},{"family":"Jensen","given":"Lars J"},{"family":"von Mering","given":"Christian"}],"issued":{"date-parts":[["2023",1,6]]}}}],"schema":"https://github.com/citation-style-language/schema/raw/master/csl-citation.json"} </w:instrText>
      </w:r>
      <w:r w:rsidR="00EF2BB1">
        <w:rPr>
          <w:rFonts w:ascii="Arial" w:hAnsi="Arial" w:cs="Arial"/>
          <w:sz w:val="22"/>
          <w:szCs w:val="22"/>
        </w:rPr>
        <w:fldChar w:fldCharType="separate"/>
      </w:r>
      <w:r w:rsidR="001E1DBD" w:rsidRPr="001E1DBD">
        <w:rPr>
          <w:rFonts w:ascii="Arial" w:hAnsi="Arial" w:cs="Arial"/>
          <w:sz w:val="22"/>
          <w:vertAlign w:val="superscript"/>
        </w:rPr>
        <w:t>33</w:t>
      </w:r>
      <w:r w:rsidR="00EF2BB1">
        <w:rPr>
          <w:rFonts w:ascii="Arial" w:hAnsi="Arial" w:cs="Arial"/>
          <w:sz w:val="22"/>
          <w:szCs w:val="22"/>
        </w:rPr>
        <w:fldChar w:fldCharType="end"/>
      </w:r>
      <w:r w:rsidR="00EF2BB1">
        <w:rPr>
          <w:rFonts w:ascii="Arial" w:hAnsi="Arial" w:cs="Arial"/>
          <w:sz w:val="22"/>
          <w:szCs w:val="22"/>
        </w:rPr>
        <w:t xml:space="preserve"> </w:t>
      </w:r>
      <w:r w:rsidRPr="008E2F1F">
        <w:rPr>
          <w:rFonts w:ascii="Arial" w:hAnsi="Arial" w:cs="Arial"/>
          <w:sz w:val="22"/>
          <w:szCs w:val="22"/>
        </w:rPr>
        <w:t>database</w:t>
      </w:r>
      <w:r w:rsidRPr="008E2F1F">
        <w:rPr>
          <w:rFonts w:ascii="Arial" w:hAnsi="Arial" w:cs="Arial"/>
          <w:color w:val="000000"/>
          <w:sz w:val="22"/>
          <w:szCs w:val="22"/>
        </w:rPr>
        <w:t>.</w:t>
      </w:r>
      <w:r w:rsidR="00F345A2">
        <w:rPr>
          <w:rFonts w:ascii="Arial" w:hAnsi="Arial" w:cs="Arial"/>
          <w:color w:val="000000"/>
          <w:sz w:val="22"/>
          <w:szCs w:val="22"/>
        </w:rPr>
        <w:t xml:space="preserve"> This was then visualised in Cytoscape using the yFiles Tree layout, excluding singletons.</w:t>
      </w:r>
    </w:p>
    <w:p w14:paraId="45410279" w14:textId="77777777" w:rsidR="008E2F1F" w:rsidRPr="008E2F1F" w:rsidRDefault="008E2F1F" w:rsidP="008E2F1F">
      <w:pPr>
        <w:pStyle w:val="NormalWeb"/>
        <w:spacing w:before="240" w:after="240" w:line="480" w:lineRule="auto"/>
        <w:ind w:left="-280"/>
        <w:jc w:val="both"/>
        <w:rPr>
          <w:rFonts w:ascii="Arial" w:hAnsi="Arial" w:cs="Arial"/>
          <w:color w:val="000000"/>
          <w:sz w:val="22"/>
          <w:szCs w:val="22"/>
        </w:rPr>
      </w:pPr>
    </w:p>
    <w:p w14:paraId="10A908D0" w14:textId="09DA33FC" w:rsidR="008E2F1F" w:rsidRPr="008E2F1F" w:rsidRDefault="008E2F1F" w:rsidP="008E2F1F">
      <w:pPr>
        <w:pStyle w:val="NormalWeb"/>
        <w:spacing w:before="240" w:after="240" w:line="480" w:lineRule="auto"/>
        <w:ind w:left="-280"/>
        <w:jc w:val="both"/>
        <w:rPr>
          <w:rFonts w:ascii="Arial" w:hAnsi="Arial" w:cs="Arial"/>
          <w:b/>
          <w:bCs/>
          <w:color w:val="000000"/>
          <w:sz w:val="22"/>
          <w:szCs w:val="22"/>
        </w:rPr>
      </w:pPr>
      <w:r w:rsidRPr="008E2F1F">
        <w:rPr>
          <w:rFonts w:ascii="Arial" w:hAnsi="Arial" w:cs="Arial"/>
          <w:b/>
          <w:bCs/>
          <w:color w:val="000000"/>
          <w:sz w:val="22"/>
          <w:szCs w:val="22"/>
        </w:rPr>
        <w:t>Differential abundance analysis (DAA)</w:t>
      </w:r>
    </w:p>
    <w:p w14:paraId="3FC3D979" w14:textId="77777777" w:rsidR="008E2F1F" w:rsidRPr="008E2F1F" w:rsidRDefault="008E2F1F" w:rsidP="008E2F1F">
      <w:pPr>
        <w:pStyle w:val="NormalWeb"/>
        <w:spacing w:before="240" w:after="240" w:line="480" w:lineRule="auto"/>
        <w:ind w:left="-280"/>
        <w:jc w:val="both"/>
        <w:rPr>
          <w:rFonts w:ascii="Arial" w:hAnsi="Arial" w:cs="Arial"/>
          <w:color w:val="000000"/>
          <w:sz w:val="22"/>
          <w:szCs w:val="22"/>
        </w:rPr>
      </w:pPr>
      <w:r w:rsidRPr="008E2F1F">
        <w:rPr>
          <w:rFonts w:ascii="Arial" w:hAnsi="Arial" w:cs="Arial"/>
          <w:color w:val="000000"/>
          <w:sz w:val="22"/>
          <w:szCs w:val="22"/>
        </w:rPr>
        <w:t xml:space="preserve">In-house R scripts were used for proteomics data processing and statistical analysis. The corrected reporter intensity values were used to analyse proteomics data. Protein groups containing matches to decoy database or contaminants were discarded. Total intensity for each reporter were calculated and matched to correct for the sample loads in each experiment. Only proteins that were quantified in the pooled samples were used for the analysis. Subsequently, internal reference scaling (IRS) method was employed to normalize protein intensities between different runs using common proteins in pooled internal standards. The data was log2 transformed and scaled by subtracting the median for each sample. LIMMA was employed to determine differentially abundant proteins between groups. </w:t>
      </w:r>
    </w:p>
    <w:p w14:paraId="577ABC7D" w14:textId="77777777" w:rsidR="008E2F1F" w:rsidRPr="008E2F1F" w:rsidRDefault="008E2F1F" w:rsidP="008E2F1F">
      <w:pPr>
        <w:pStyle w:val="NormalWeb"/>
        <w:spacing w:before="240" w:after="240" w:line="480" w:lineRule="auto"/>
        <w:ind w:left="-280"/>
        <w:jc w:val="both"/>
        <w:rPr>
          <w:rFonts w:ascii="Arial" w:hAnsi="Arial" w:cs="Arial"/>
          <w:color w:val="000000"/>
          <w:sz w:val="22"/>
          <w:szCs w:val="22"/>
        </w:rPr>
      </w:pPr>
    </w:p>
    <w:p w14:paraId="5E9282B6" w14:textId="1A9DF6D5" w:rsidR="008E2F1F" w:rsidRPr="008E2F1F" w:rsidRDefault="008E2F1F" w:rsidP="008E2F1F">
      <w:pPr>
        <w:pStyle w:val="NormalWeb"/>
        <w:spacing w:before="240" w:beforeAutospacing="0" w:after="240" w:afterAutospacing="0" w:line="480" w:lineRule="auto"/>
        <w:ind w:left="-280"/>
        <w:jc w:val="both"/>
        <w:rPr>
          <w:rFonts w:ascii="Arial" w:hAnsi="Arial" w:cs="Arial"/>
          <w:i/>
          <w:iCs/>
          <w:color w:val="000000"/>
          <w:sz w:val="22"/>
          <w:szCs w:val="22"/>
        </w:rPr>
      </w:pPr>
      <w:r w:rsidRPr="008E2F1F">
        <w:rPr>
          <w:rFonts w:ascii="Arial" w:hAnsi="Arial" w:cs="Arial"/>
          <w:i/>
          <w:iCs/>
          <w:color w:val="000000"/>
          <w:sz w:val="22"/>
          <w:szCs w:val="22"/>
        </w:rPr>
        <w:t>Inspiration4</w:t>
      </w:r>
    </w:p>
    <w:p w14:paraId="7397E58F" w14:textId="39110FA8" w:rsidR="00261BC6" w:rsidRDefault="00261BC6" w:rsidP="00261BC6">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 xml:space="preserve">For the analysis, samples from timepoints L-92d, L-44d and L-3d were pooled </w:t>
      </w:r>
      <w:r w:rsidR="00B03701">
        <w:rPr>
          <w:rFonts w:ascii="Arial" w:hAnsi="Arial" w:cs="Arial"/>
          <w:color w:val="000000"/>
          <w:sz w:val="22"/>
          <w:szCs w:val="22"/>
        </w:rPr>
        <w:t xml:space="preserve">and averaged </w:t>
      </w:r>
      <w:r>
        <w:rPr>
          <w:rFonts w:ascii="Arial" w:hAnsi="Arial" w:cs="Arial"/>
          <w:color w:val="000000"/>
          <w:sz w:val="22"/>
          <w:szCs w:val="22"/>
        </w:rPr>
        <w:t xml:space="preserve">into </w:t>
      </w:r>
      <w:r w:rsidR="00B03701">
        <w:rPr>
          <w:rFonts w:ascii="Arial" w:hAnsi="Arial" w:cs="Arial"/>
          <w:color w:val="000000"/>
          <w:sz w:val="22"/>
          <w:szCs w:val="22"/>
        </w:rPr>
        <w:t>“</w:t>
      </w:r>
      <w:r>
        <w:rPr>
          <w:rFonts w:ascii="Arial" w:hAnsi="Arial" w:cs="Arial"/>
          <w:color w:val="000000"/>
          <w:sz w:val="22"/>
          <w:szCs w:val="22"/>
        </w:rPr>
        <w:t>pre-flight</w:t>
      </w:r>
      <w:r w:rsidR="00B03701">
        <w:rPr>
          <w:rFonts w:ascii="Arial" w:hAnsi="Arial" w:cs="Arial"/>
          <w:color w:val="000000"/>
          <w:sz w:val="22"/>
          <w:szCs w:val="22"/>
        </w:rPr>
        <w:t>”</w:t>
      </w:r>
      <w:r>
        <w:rPr>
          <w:rFonts w:ascii="Arial" w:hAnsi="Arial" w:cs="Arial"/>
          <w:color w:val="000000"/>
          <w:sz w:val="22"/>
          <w:szCs w:val="22"/>
        </w:rPr>
        <w:t xml:space="preserve"> for comparison to immediate post-flight R+1d.</w:t>
      </w:r>
    </w:p>
    <w:p w14:paraId="733CB56C" w14:textId="77777777" w:rsidR="00261BC6" w:rsidRDefault="00261BC6" w:rsidP="0009583A">
      <w:pPr>
        <w:pStyle w:val="NormalWeb"/>
        <w:spacing w:before="240" w:after="240" w:line="480" w:lineRule="auto"/>
        <w:ind w:left="-280"/>
        <w:jc w:val="both"/>
        <w:rPr>
          <w:rFonts w:ascii="Arial" w:hAnsi="Arial" w:cs="Arial"/>
          <w:color w:val="000000"/>
          <w:sz w:val="22"/>
          <w:szCs w:val="22"/>
        </w:rPr>
      </w:pPr>
    </w:p>
    <w:p w14:paraId="48FD9E31" w14:textId="264A4164" w:rsidR="00BF4385" w:rsidRPr="009C25E3" w:rsidRDefault="00BF4385" w:rsidP="00BF4385">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Epiproteome</w:t>
      </w:r>
    </w:p>
    <w:p w14:paraId="44AA8F9F" w14:textId="0D0F4DF0" w:rsidR="00BF4385" w:rsidRPr="009C25E3" w:rsidRDefault="00BF4385" w:rsidP="00BF4385">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Quantitative fractionated TMT-labelled DDA LC-MS/MS of phospho-enriched peptides</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BF4385" w:rsidRPr="002E73F2" w14:paraId="5A79434A" w14:textId="77777777" w:rsidTr="00716639">
        <w:trPr>
          <w:trHeight w:val="103"/>
        </w:trPr>
        <w:tc>
          <w:tcPr>
            <w:tcW w:w="1551" w:type="dxa"/>
          </w:tcPr>
          <w:p w14:paraId="5E54AE16" w14:textId="77777777" w:rsidR="00BF4385" w:rsidRPr="002E73F2" w:rsidRDefault="00BF438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5" w:type="dxa"/>
          </w:tcPr>
          <w:p w14:paraId="71A76E56" w14:textId="77777777" w:rsidR="00BF4385" w:rsidRPr="002E73F2" w:rsidRDefault="00BF438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3F40CC1C" w14:textId="77777777" w:rsidR="00BF4385" w:rsidRPr="002E73F2" w:rsidRDefault="00BF438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33E3132F" w14:textId="77777777" w:rsidR="00BF4385" w:rsidRPr="002E73F2" w:rsidRDefault="00BF438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2963B0B7" w14:textId="77777777" w:rsidR="00BF4385" w:rsidRPr="002E73F2" w:rsidRDefault="00BF4385"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707F309F" w14:textId="77777777" w:rsidR="00BF4385" w:rsidRPr="002E73F2" w:rsidRDefault="00BF438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BF4385" w:rsidRPr="002E73F2" w14:paraId="1C3A1469" w14:textId="77777777" w:rsidTr="00716639">
        <w:trPr>
          <w:trHeight w:val="103"/>
        </w:trPr>
        <w:tc>
          <w:tcPr>
            <w:tcW w:w="1551" w:type="dxa"/>
          </w:tcPr>
          <w:p w14:paraId="79174DB7" w14:textId="1F2DAB62" w:rsidR="00BF4385" w:rsidRPr="002E73F2" w:rsidRDefault="00BF4385" w:rsidP="004821F9">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RR-1</w:t>
            </w:r>
            <w:r>
              <w:rPr>
                <w:rFonts w:ascii="Arial" w:hAnsi="Arial" w:cs="Arial"/>
                <w:sz w:val="20"/>
                <w:szCs w:val="20"/>
              </w:rPr>
              <w:t>0</w:t>
            </w:r>
          </w:p>
        </w:tc>
        <w:tc>
          <w:tcPr>
            <w:tcW w:w="1415" w:type="dxa"/>
          </w:tcPr>
          <w:p w14:paraId="0E0D4B89" w14:textId="77777777" w:rsidR="00BF4385" w:rsidRPr="002E73F2" w:rsidRDefault="00BF4385" w:rsidP="004821F9">
            <w:pPr>
              <w:pStyle w:val="NormalWeb"/>
              <w:spacing w:before="0" w:beforeAutospacing="0" w:after="0" w:afterAutospacing="0"/>
              <w:rPr>
                <w:rFonts w:ascii="Arial" w:hAnsi="Arial" w:cs="Arial"/>
                <w:color w:val="000000"/>
                <w:sz w:val="20"/>
                <w:szCs w:val="20"/>
              </w:rPr>
            </w:pPr>
            <w:r w:rsidRPr="002E73F2">
              <w:rPr>
                <w:rFonts w:ascii="Arial" w:hAnsi="Arial" w:cs="Arial"/>
                <w:sz w:val="20"/>
                <w:szCs w:val="20"/>
              </w:rPr>
              <w:t>Kidney</w:t>
            </w:r>
          </w:p>
        </w:tc>
        <w:tc>
          <w:tcPr>
            <w:tcW w:w="1845" w:type="dxa"/>
          </w:tcPr>
          <w:p w14:paraId="2F178988" w14:textId="442A2FF2" w:rsidR="00BF4385" w:rsidRPr="002E73F2" w:rsidRDefault="00243103"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{"citationID":"aI15Vhze","properties":{"formattedCitation":"\\super 1\\nosupersub{}","plainCitation":"1","noteIndex":0},"citationItems":[{"id":15890,"uris":["http://zotero.org/users/1547967/items/RKFJAHT5"],"itemData":{"id":15890,"type":"webpage","title":"NASA OSDR: Open Science for Life in Space","URL":"https://osdr.nasa.gov/bio/repo/data/studies/OSD-102","accessed":{"date-parts":[["2023",5,25]]}}}],"schema":"https://github.com/citation-style-language/schema/raw/master/csl-citation.json"} </w:instrText>
            </w:r>
            <w:r>
              <w:rPr>
                <w:rFonts w:ascii="Arial" w:hAnsi="Arial" w:cs="Arial"/>
                <w:color w:val="000000"/>
                <w:sz w:val="20"/>
                <w:szCs w:val="20"/>
              </w:rPr>
              <w:fldChar w:fldCharType="separate"/>
            </w:r>
            <w:r w:rsidRPr="00406534">
              <w:rPr>
                <w:rFonts w:ascii="Arial" w:hAnsi="Arial" w:cs="Arial"/>
                <w:sz w:val="20"/>
                <w:vertAlign w:val="superscript"/>
              </w:rPr>
              <w:t>1</w:t>
            </w:r>
            <w:r>
              <w:rPr>
                <w:rFonts w:ascii="Arial" w:hAnsi="Arial" w:cs="Arial"/>
                <w:color w:val="000000"/>
                <w:sz w:val="20"/>
                <w:szCs w:val="20"/>
              </w:rPr>
              <w:fldChar w:fldCharType="end"/>
            </w:r>
          </w:p>
        </w:tc>
        <w:tc>
          <w:tcPr>
            <w:tcW w:w="1418" w:type="dxa"/>
          </w:tcPr>
          <w:p w14:paraId="3503FA2D" w14:textId="434AD360" w:rsidR="00BF4385" w:rsidRPr="002E73F2" w:rsidRDefault="00243103"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{"citationID":"8iZEyhn5","properties":{"formattedCitation":"\\super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276" w:type="dxa"/>
          </w:tcPr>
          <w:p w14:paraId="74A16D08" w14:textId="35D71E82" w:rsidR="00BF4385" w:rsidRPr="002E73F2" w:rsidRDefault="00243103" w:rsidP="004821F9">
            <w:pPr>
              <w:pStyle w:val="NormalWeb"/>
              <w:spacing w:before="0" w:beforeAutospacing="0" w:after="0" w:afterAutospacing="0"/>
              <w:rPr>
                <w:rFonts w:ascii="Arial" w:hAnsi="Arial" w:cs="Arial"/>
                <w:sz w:val="20"/>
                <w:szCs w:val="20"/>
              </w:rPr>
            </w:pPr>
            <w:r>
              <w:rPr>
                <w:rFonts w:ascii="Arial" w:hAnsi="Arial" w:cs="Arial"/>
                <w:color w:val="000000"/>
                <w:sz w:val="20"/>
                <w:szCs w:val="20"/>
              </w:rPr>
              <w:fldChar w:fldCharType="begin"/>
            </w:r>
            <w:r w:rsidR="00476A30">
              <w:rPr>
                <w:rFonts w:ascii="Arial" w:hAnsi="Arial" w:cs="Arial"/>
                <w:color w:val="000000"/>
                <w:sz w:val="20"/>
                <w:szCs w:val="20"/>
              </w:rPr>
              <w:instrText xml:space="preserve"> ADDIN ZOTERO_ITEM CSL_CITATION {"citationID":"V8lAGKMP","properties":{"formattedCitation":"\\super 5\\nosupersub{}","plainCitation":"5","noteIndex":0},"citationItems":[{"id":15887,"uris":["http://zotero.org/users/1547967/items/U7X9PHJ6"],"itemData":{"id":15887,"type":"webpage","title":"NASA OSDR: Open Science for Life in Space","URL":"https://osdr.nasa.gov/bio/repo/data/studies/OSD-462","accessed":{"date-parts":[["2023",5,25]]}}}],"schema":"https://github.com/citation-style-language/schema/raw/master/csl-citation.json"} </w:instrText>
            </w:r>
            <w:r>
              <w:rPr>
                <w:rFonts w:ascii="Arial" w:hAnsi="Arial" w:cs="Arial"/>
                <w:color w:val="000000"/>
                <w:sz w:val="20"/>
                <w:szCs w:val="20"/>
              </w:rPr>
              <w:fldChar w:fldCharType="separate"/>
            </w:r>
            <w:r w:rsidRPr="00FF78DD">
              <w:rPr>
                <w:rFonts w:ascii="Arial" w:hAnsi="Arial" w:cs="Arial"/>
                <w:sz w:val="20"/>
                <w:vertAlign w:val="superscript"/>
              </w:rPr>
              <w:t>5</w:t>
            </w:r>
            <w:r>
              <w:rPr>
                <w:rFonts w:ascii="Arial" w:hAnsi="Arial" w:cs="Arial"/>
                <w:color w:val="000000"/>
                <w:sz w:val="20"/>
                <w:szCs w:val="20"/>
              </w:rPr>
              <w:fldChar w:fldCharType="end"/>
            </w:r>
          </w:p>
        </w:tc>
        <w:tc>
          <w:tcPr>
            <w:tcW w:w="1791" w:type="dxa"/>
          </w:tcPr>
          <w:p w14:paraId="6FE0C031" w14:textId="2DD63EE3" w:rsidR="00BF4385" w:rsidRPr="002E73F2" w:rsidRDefault="00F2747F"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See below</w:t>
            </w:r>
          </w:p>
        </w:tc>
      </w:tr>
    </w:tbl>
    <w:p w14:paraId="0AE50029" w14:textId="77777777" w:rsidR="00C81A94" w:rsidRDefault="00C81A94" w:rsidP="00C81A94">
      <w:pPr>
        <w:pStyle w:val="NormalWeb"/>
        <w:spacing w:before="240" w:after="240" w:line="480" w:lineRule="auto"/>
        <w:ind w:left="-280"/>
        <w:jc w:val="both"/>
        <w:rPr>
          <w:rFonts w:ascii="Arial" w:hAnsi="Arial" w:cs="Arial"/>
          <w:color w:val="000000"/>
          <w:sz w:val="22"/>
          <w:szCs w:val="22"/>
        </w:rPr>
      </w:pPr>
    </w:p>
    <w:p w14:paraId="3DCEADB4" w14:textId="0ECA888B" w:rsidR="00C81A94" w:rsidRPr="00C81A94" w:rsidRDefault="00C81A94" w:rsidP="00C81A94">
      <w:pPr>
        <w:pStyle w:val="NormalWeb"/>
        <w:spacing w:before="240" w:after="240" w:line="480" w:lineRule="auto"/>
        <w:ind w:left="-280"/>
        <w:jc w:val="both"/>
        <w:rPr>
          <w:rFonts w:ascii="Arial" w:hAnsi="Arial" w:cs="Arial"/>
          <w:color w:val="000000"/>
          <w:sz w:val="22"/>
          <w:szCs w:val="22"/>
          <w:u w:val="single"/>
        </w:rPr>
      </w:pPr>
      <w:r w:rsidRPr="00C81A94">
        <w:rPr>
          <w:rFonts w:ascii="Arial" w:hAnsi="Arial" w:cs="Arial"/>
          <w:color w:val="000000"/>
          <w:sz w:val="22"/>
          <w:szCs w:val="22"/>
          <w:u w:val="single"/>
        </w:rPr>
        <w:t>Differential abundance analysis</w:t>
      </w:r>
    </w:p>
    <w:p w14:paraId="6C42E041" w14:textId="3CEA97B3" w:rsidR="00BF4385" w:rsidRDefault="00C81A94" w:rsidP="00C81A94">
      <w:pPr>
        <w:pStyle w:val="NormalWeb"/>
        <w:spacing w:before="240" w:after="240" w:line="480" w:lineRule="auto"/>
        <w:ind w:left="-280"/>
        <w:jc w:val="both"/>
        <w:rPr>
          <w:rFonts w:ascii="Arial" w:hAnsi="Arial" w:cs="Arial"/>
          <w:color w:val="000000"/>
          <w:sz w:val="22"/>
          <w:szCs w:val="22"/>
        </w:rPr>
      </w:pPr>
      <w:r w:rsidRPr="00C81A94">
        <w:rPr>
          <w:rFonts w:ascii="Arial" w:hAnsi="Arial" w:cs="Arial"/>
          <w:color w:val="000000"/>
          <w:sz w:val="22"/>
          <w:szCs w:val="22"/>
        </w:rPr>
        <w:t>In-house R scripts were used for phosphoproteomics data processing and statistical analysis. Only phosphopeptides with a single modified residue were considered for further analysis. These phosphopeptides were mapped back to genes with the residue amino acid and position annotated. The data was log2 transformed and LIMMA was employed to determine differentially abundant phosphopeptides between groups. For analyses that required single entries for each gene, the phosphopeptides were collapsed into a single gene and their intensity scores aggregated to obtain a generalised change in the overall phospho-status of the protein encoded by that gene.</w:t>
      </w:r>
    </w:p>
    <w:p w14:paraId="641C6820" w14:textId="77777777" w:rsidR="00716639" w:rsidRDefault="00716639" w:rsidP="0009583A">
      <w:pPr>
        <w:pStyle w:val="NormalWeb"/>
        <w:spacing w:before="240" w:after="240" w:line="480" w:lineRule="auto"/>
        <w:ind w:left="-280"/>
        <w:jc w:val="both"/>
        <w:rPr>
          <w:rFonts w:ascii="Arial" w:hAnsi="Arial" w:cs="Arial"/>
          <w:color w:val="000000"/>
          <w:sz w:val="22"/>
          <w:szCs w:val="22"/>
        </w:rPr>
      </w:pPr>
    </w:p>
    <w:p w14:paraId="7C19D3B5" w14:textId="591D1559" w:rsidR="00683705" w:rsidRPr="009C7158" w:rsidRDefault="00683705" w:rsidP="00683705">
      <w:pPr>
        <w:pStyle w:val="NormalWeb"/>
        <w:spacing w:before="240" w:beforeAutospacing="0" w:after="240" w:afterAutospacing="0" w:line="480" w:lineRule="auto"/>
        <w:ind w:left="-280"/>
        <w:jc w:val="both"/>
        <w:rPr>
          <w:rFonts w:ascii="Arial" w:hAnsi="Arial"/>
          <w:b/>
          <w:color w:val="000000"/>
          <w:u w:val="single"/>
          <w:lang w:val="it-IT"/>
        </w:rPr>
      </w:pPr>
      <w:r w:rsidRPr="009C7158">
        <w:rPr>
          <w:rFonts w:ascii="Arial" w:hAnsi="Arial"/>
          <w:b/>
          <w:color w:val="000000"/>
          <w:u w:val="single"/>
          <w:lang w:val="it-IT"/>
        </w:rPr>
        <w:t>Metabolome</w:t>
      </w:r>
    </w:p>
    <w:p w14:paraId="05DBD3FF" w14:textId="3039566B" w:rsidR="00683705" w:rsidRPr="009C7158" w:rsidRDefault="00261BC6" w:rsidP="00683705">
      <w:pPr>
        <w:pStyle w:val="NormalWeb"/>
        <w:spacing w:before="240" w:beforeAutospacing="0" w:after="240" w:afterAutospacing="0" w:line="480" w:lineRule="auto"/>
        <w:ind w:left="-280"/>
        <w:jc w:val="both"/>
        <w:rPr>
          <w:rFonts w:ascii="Arial" w:hAnsi="Arial"/>
          <w:b/>
          <w:i/>
          <w:color w:val="000000"/>
          <w:sz w:val="22"/>
          <w:lang w:val="it-IT"/>
        </w:rPr>
      </w:pPr>
      <w:r w:rsidRPr="009C7158">
        <w:rPr>
          <w:rFonts w:ascii="Arial" w:hAnsi="Arial"/>
          <w:b/>
          <w:i/>
          <w:color w:val="000000"/>
          <w:sz w:val="22"/>
          <w:lang w:val="it-IT"/>
        </w:rPr>
        <w:t xml:space="preserve">Quantitative label-free </w:t>
      </w:r>
      <w:r w:rsidR="00683705" w:rsidRPr="009C7158">
        <w:rPr>
          <w:rFonts w:ascii="Arial" w:hAnsi="Arial"/>
          <w:b/>
          <w:i/>
          <w:color w:val="000000"/>
          <w:sz w:val="22"/>
          <w:lang w:val="it-IT"/>
        </w:rPr>
        <w:t>UHPLC-MS/MS</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683705" w:rsidRPr="002E73F2" w14:paraId="5E996347" w14:textId="77777777" w:rsidTr="00261BC6">
        <w:trPr>
          <w:trHeight w:val="103"/>
        </w:trPr>
        <w:tc>
          <w:tcPr>
            <w:tcW w:w="1551" w:type="dxa"/>
          </w:tcPr>
          <w:p w14:paraId="5D60A03F" w14:textId="77777777" w:rsidR="00683705" w:rsidRPr="002E73F2" w:rsidRDefault="0068370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5" w:type="dxa"/>
          </w:tcPr>
          <w:p w14:paraId="5EF07D15" w14:textId="77777777" w:rsidR="00683705" w:rsidRPr="002E73F2" w:rsidRDefault="0068370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4AFB738F" w14:textId="77777777" w:rsidR="00683705" w:rsidRPr="002E73F2" w:rsidRDefault="0068370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2B8D0220" w14:textId="77777777" w:rsidR="00683705" w:rsidRPr="002E73F2" w:rsidRDefault="0068370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5B9762E9" w14:textId="77777777" w:rsidR="00683705" w:rsidRPr="002E73F2" w:rsidRDefault="00683705"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59BA63F4" w14:textId="77777777" w:rsidR="00683705" w:rsidRPr="002E73F2" w:rsidRDefault="00683705"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683705" w:rsidRPr="002E73F2" w14:paraId="59D8C18A" w14:textId="77777777" w:rsidTr="00261BC6">
        <w:trPr>
          <w:trHeight w:val="103"/>
        </w:trPr>
        <w:tc>
          <w:tcPr>
            <w:tcW w:w="1551" w:type="dxa"/>
          </w:tcPr>
          <w:p w14:paraId="3D827A41" w14:textId="6D59D983" w:rsidR="00683705" w:rsidRPr="002E73F2" w:rsidRDefault="00261BC6"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Inspiration4</w:t>
            </w:r>
          </w:p>
        </w:tc>
        <w:tc>
          <w:tcPr>
            <w:tcW w:w="1415" w:type="dxa"/>
          </w:tcPr>
          <w:p w14:paraId="5198D2D3" w14:textId="1B155A3A" w:rsidR="00683705" w:rsidRPr="002E73F2" w:rsidRDefault="00261BC6" w:rsidP="004821F9">
            <w:pPr>
              <w:pStyle w:val="NormalWeb"/>
              <w:spacing w:before="0" w:beforeAutospacing="0" w:after="0" w:afterAutospacing="0"/>
              <w:rPr>
                <w:rFonts w:ascii="Arial" w:hAnsi="Arial" w:cs="Arial"/>
                <w:color w:val="000000"/>
                <w:sz w:val="20"/>
                <w:szCs w:val="20"/>
              </w:rPr>
            </w:pPr>
            <w:r>
              <w:rPr>
                <w:rFonts w:ascii="Arial" w:hAnsi="Arial" w:cs="Arial"/>
                <w:sz w:val="20"/>
                <w:szCs w:val="20"/>
              </w:rPr>
              <w:t>Plasma</w:t>
            </w:r>
          </w:p>
        </w:tc>
        <w:tc>
          <w:tcPr>
            <w:tcW w:w="1845" w:type="dxa"/>
          </w:tcPr>
          <w:p w14:paraId="6EDCBFDE" w14:textId="3805EFC2" w:rsidR="00683705" w:rsidRPr="002E73F2" w:rsidRDefault="001E1DBD"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Pr>
                <w:rFonts w:ascii="Arial" w:hAnsi="Arial" w:cs="Arial"/>
                <w:color w:val="000000"/>
                <w:sz w:val="20"/>
                <w:szCs w:val="20"/>
              </w:rPr>
              <w:instrText xml:space="preserve"> ADDIN ZOTERO_ITEM CSL_CITATION {"citationID":"r0SUgbwc","properties":{"formattedCitation":"\\super 31\\uc0\\u8211{}33\\nosupersub{}","plainCitation":"31–33","noteIndex":0},"citationItems":[{"id":15972,"uris":["http://zotero.org/users/1547967/items/TJP7VA62"],"itemData":{"id":15972,"type":"article-journal","abstract":"The aim of the UniProt Knowledgebase is to provide users with a comprehensive, high-quality and freely accessible set of protein sequences annotated with functional information. In this publication we describe enhancements made to our data processing pipeline and to our website to adapt to an ever-increasing information content. The number of sequences in UniProtKB has risen to over 227 million and we are working towards including a reference proteome for each taxonomic group. We continue to extract detailed annotations from the literature to update or create reviewed entries, while unreviewed entries are supplemented with annotations provided by automated systems using a variety of machine-learning techniques. In addition, the scientific community continues their contributions of publications and annotations to UniProt entries of their interest. Finally, we describe our new website (https://www.uniprot.org/), designed to enhance our users’ experience and make our data easily accessible to the research community. This interface includes access to AlphaFold structures for more than 85% of all entries as well as improved visualisations for subcellular localisation of proteins.","container-title":"Nucleic Acids Research","DOI":"10.1093/nar/gkac1052","ISSN":"0305-1048","issue":"D1","journalAbbreviation":"Nucleic Acids Research","page":"D523-D531","source":"Silverchair","title":"UniProt: the Universal Protein Knowledgebase in 2023","title-short":"UniProt","volume":"51","author":[{"literal":"The UniProt Consortium"}],"issued":{"date-parts":[["2023",1,6]]}}},{"id":16173,"uris":["http://zotero.org/users/1547967/items/VDEWUAUV"],"itemData":{"id":16173,"type":"article-journal","container-title":"Nature","title":"In Review. Nature ID: 2022-12-20632:The Space Omics and Medical Atlas (SOMA): A comprehensive data resource and biobank for astronauts","author":[{"family":"Overbey","given":""},{"family":"Mason","given":"Christopher E."}],"issued":{"date-parts":[["2023"]]}}},{"id":15970,"uris":["http://zotero.org/users/1547967/items/A48T9BGF"],"itemData":{"id":15970,"type":"article-journal","abstract":"Much of the complexity within cells arises from functional and regulatory interactions among proteins. The core of these interactions is increasingly known, but novel interactions continue to be discovered, and the information remains scattered across different database resources, experimental modalities and levels of mechanistic detail. The STRING database (https://string-db.org/) systematically collects and integrates protein–protein interactions—both physical interactions as well as functional associations. The data originate from a number of sources: automated text mining of the scientific literature, computational interaction predictions from co-expression, conserved genomic context, databases of interaction experiments and known complexes/pathways from curated sources. All of these interactions are critically assessed, scored, and subsequently automatically transferred to less well-studied organisms using hierarchical orthology information. The data can be accessed via the website, but also programmatically and via bulk downloads. The most recent developments in STRING (version 12.0) are: (i) it is now possible to create, browse and analyze a full interaction network for any novel genome of interest, by submitting its complement of encoded proteins, (ii) the co-expression channel now uses variational auto-encoders to predict interactions, and it covers two new sources, single-cell RNA-seq and experimental proteomics data and (iii) the confidence in each experimentally derived interaction is now estimated based on the detection method used, and communicated to the user in the web-interface. Furthermore, STRING continues to enhance its facilities for functional enrichment analysis, which are now fully available also for user-submitted genomes.","container-title":"Nucleic Acids Research","DOI":"10.1093/nar/gkac1000","ISSN":"0305-1048","issue":"D1","journalAbbreviation":"Nucleic Acids Research","page":"D638-D646","source":"Silverchair","title":"The STRING database in 2023: protein–protein association networks and functional enrichment analyses for any sequenced genome of interest","title-short":"The STRING database in 2023","volume":"51","author":[{"family":"Szklarczyk","given":"Damian"},{"family":"Kirsch","given":"Rebecca"},{"family":"Koutrouli","given":"Mikaela"},{"family":"Nastou","given":"Katerina"},{"family":"Mehryary","given":"Farrokh"},{"family":"Hachilif","given":"Radja"},{"family":"Gable","given":"Annika L"},{"family":"Fang","given":"Tao"},{"family":"Doncheva","given":"Nadezhda T"},{"family":"Pyysalo","given":"Sampo"},{"family":"Bork","given":"Peer"},{"family":"Jensen","given":"Lars J"},{"family":"von Mering","given":"Christian"}],"issued":{"date-parts":[["2023",1,6]]}}}],"schema":"https://github.com/citation-style-language/schema/raw/master/csl-citation.json"} </w:instrText>
            </w:r>
            <w:r>
              <w:rPr>
                <w:rFonts w:ascii="Arial" w:hAnsi="Arial" w:cs="Arial"/>
                <w:color w:val="000000"/>
                <w:sz w:val="20"/>
                <w:szCs w:val="20"/>
              </w:rPr>
              <w:fldChar w:fldCharType="separate"/>
            </w:r>
            <w:r w:rsidRPr="001E1DBD">
              <w:rPr>
                <w:rFonts w:ascii="Arial" w:hAnsi="Arial" w:cs="Arial"/>
                <w:sz w:val="20"/>
                <w:vertAlign w:val="superscript"/>
              </w:rPr>
              <w:t>31–33</w:t>
            </w:r>
            <w:r>
              <w:rPr>
                <w:rFonts w:ascii="Arial" w:hAnsi="Arial" w:cs="Arial"/>
                <w:color w:val="000000"/>
                <w:sz w:val="20"/>
                <w:szCs w:val="20"/>
              </w:rPr>
              <w:fldChar w:fldCharType="end"/>
            </w:r>
          </w:p>
        </w:tc>
        <w:tc>
          <w:tcPr>
            <w:tcW w:w="1418" w:type="dxa"/>
          </w:tcPr>
          <w:p w14:paraId="25B991F9" w14:textId="53576541" w:rsidR="00683705" w:rsidRPr="002E73F2" w:rsidRDefault="00261BC6"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By Request</w:t>
            </w:r>
          </w:p>
        </w:tc>
        <w:tc>
          <w:tcPr>
            <w:tcW w:w="1276" w:type="dxa"/>
          </w:tcPr>
          <w:p w14:paraId="5B21CDB4" w14:textId="7DB58FE8" w:rsidR="00683705" w:rsidRPr="002E73F2" w:rsidRDefault="00476A30"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305DD2">
              <w:rPr>
                <w:rFonts w:ascii="Arial" w:hAnsi="Arial" w:cs="Arial"/>
                <w:sz w:val="20"/>
                <w:szCs w:val="20"/>
              </w:rPr>
              <w:instrText xml:space="preserve"> ADDIN ZOTERO_ITEM CSL_CITATION {"citationID":"BFJ1QgUT","properties":{"formattedCitation":"\\super 40\\nosupersub{}","plainCitation":"40","noteIndex":0},"citationItems":[{"id":16176,"uris":["http://zotero.org/users/1547967/items/CBV7DP5U"],"itemData":{"id":16176,"type":"article-journal","container-title":"Nature Metabolism","title":"Submitted. NATMETAB-A23069187.: Secretome profiling captures acute changes in oxidative stress, brain homeostasis and coagulation from spaceflight","author":[{"family":"Hourebi","given":""},{"family":"Mason","given":"Christopher E."}],"issued":{"date-parts":[["2023"]]}}}],"schema":"https://github.com/citation-style-language/schema/raw/master/csl-citation.json"} </w:instrText>
            </w:r>
            <w:r>
              <w:rPr>
                <w:rFonts w:ascii="Arial" w:hAnsi="Arial" w:cs="Arial"/>
                <w:sz w:val="20"/>
                <w:szCs w:val="20"/>
              </w:rPr>
              <w:fldChar w:fldCharType="separate"/>
            </w:r>
            <w:r w:rsidR="00305DD2" w:rsidRPr="00305DD2">
              <w:rPr>
                <w:rFonts w:ascii="Arial" w:hAnsi="Arial" w:cs="Arial"/>
                <w:sz w:val="20"/>
                <w:vertAlign w:val="superscript"/>
              </w:rPr>
              <w:t>40</w:t>
            </w:r>
            <w:r>
              <w:rPr>
                <w:rFonts w:ascii="Arial" w:hAnsi="Arial" w:cs="Arial"/>
                <w:sz w:val="20"/>
                <w:szCs w:val="20"/>
              </w:rPr>
              <w:fldChar w:fldCharType="end"/>
            </w:r>
          </w:p>
        </w:tc>
        <w:tc>
          <w:tcPr>
            <w:tcW w:w="1791" w:type="dxa"/>
          </w:tcPr>
          <w:p w14:paraId="3ADD60D6" w14:textId="042DCF26" w:rsidR="00683705" w:rsidRPr="002E73F2" w:rsidRDefault="00476A30"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305DD2">
              <w:rPr>
                <w:rFonts w:ascii="Arial" w:hAnsi="Arial" w:cs="Arial"/>
                <w:color w:val="000000"/>
                <w:sz w:val="20"/>
                <w:szCs w:val="20"/>
              </w:rPr>
              <w:instrText xml:space="preserve"> ADDIN ZOTERO_ITEM CSL_CITATION {"citationID":"0zkfNQ8I","properties":{"formattedCitation":"\\super 40\\nosupersub{}","plainCitation":"40","noteIndex":0},"citationItems":[{"id":16176,"uris":["http://zotero.org/users/1547967/items/CBV7DP5U"],"itemData":{"id":16176,"type":"article-journal","container-title":"Nature Metabolism","title":"Submitted. NATMETAB-A23069187.: Secretome profiling captures acute changes in oxidative stress, brain homeostasis and coagulation from spaceflight","author":[{"family":"Hourebi","given":""},{"family":"Mason","given":"Christopher E."}],"issued":{"date-parts":[["2023"]]}}}],"schema":"https://github.com/citation-style-language/schema/raw/master/csl-citation.json"} </w:instrText>
            </w:r>
            <w:r>
              <w:rPr>
                <w:rFonts w:ascii="Arial" w:hAnsi="Arial" w:cs="Arial"/>
                <w:color w:val="000000"/>
                <w:sz w:val="20"/>
                <w:szCs w:val="20"/>
              </w:rPr>
              <w:fldChar w:fldCharType="separate"/>
            </w:r>
            <w:r w:rsidR="00305DD2" w:rsidRPr="00305DD2">
              <w:rPr>
                <w:rFonts w:ascii="Arial" w:hAnsi="Arial" w:cs="Arial"/>
                <w:sz w:val="20"/>
                <w:vertAlign w:val="superscript"/>
              </w:rPr>
              <w:t>40</w:t>
            </w:r>
            <w:r>
              <w:rPr>
                <w:rFonts w:ascii="Arial" w:hAnsi="Arial" w:cs="Arial"/>
                <w:color w:val="000000"/>
                <w:sz w:val="20"/>
                <w:szCs w:val="20"/>
              </w:rPr>
              <w:fldChar w:fldCharType="end"/>
            </w:r>
            <w:r w:rsidR="00631BF8">
              <w:rPr>
                <w:rFonts w:ascii="Arial" w:hAnsi="Arial" w:cs="Arial"/>
                <w:color w:val="000000"/>
                <w:sz w:val="20"/>
                <w:szCs w:val="20"/>
              </w:rPr>
              <w:t xml:space="preserve">, </w:t>
            </w:r>
            <w:r w:rsidR="00F2747F">
              <w:rPr>
                <w:rFonts w:ascii="Arial" w:hAnsi="Arial" w:cs="Arial"/>
                <w:color w:val="000000"/>
                <w:sz w:val="20"/>
                <w:szCs w:val="20"/>
              </w:rPr>
              <w:t>See below</w:t>
            </w:r>
          </w:p>
        </w:tc>
      </w:tr>
      <w:tr w:rsidR="00683705" w:rsidRPr="002E73F2" w14:paraId="4C7E09E5" w14:textId="77777777" w:rsidTr="00261BC6">
        <w:trPr>
          <w:trHeight w:val="103"/>
        </w:trPr>
        <w:tc>
          <w:tcPr>
            <w:tcW w:w="1551" w:type="dxa"/>
          </w:tcPr>
          <w:p w14:paraId="33AEE267" w14:textId="0CB43A35" w:rsidR="00683705" w:rsidRPr="002E73F2" w:rsidRDefault="00261BC6" w:rsidP="004821F9">
            <w:pPr>
              <w:pStyle w:val="NormalWeb"/>
              <w:spacing w:before="0" w:beforeAutospacing="0" w:after="0" w:afterAutospacing="0"/>
              <w:rPr>
                <w:rFonts w:ascii="Arial" w:hAnsi="Arial" w:cs="Arial"/>
                <w:sz w:val="20"/>
                <w:szCs w:val="20"/>
              </w:rPr>
            </w:pPr>
            <w:r>
              <w:rPr>
                <w:rFonts w:ascii="Arial" w:hAnsi="Arial" w:cs="Arial"/>
                <w:sz w:val="20"/>
                <w:szCs w:val="20"/>
              </w:rPr>
              <w:t>MHU-3</w:t>
            </w:r>
          </w:p>
        </w:tc>
        <w:tc>
          <w:tcPr>
            <w:tcW w:w="1415" w:type="dxa"/>
          </w:tcPr>
          <w:p w14:paraId="5730559E" w14:textId="3320DA7A" w:rsidR="00683705" w:rsidRPr="002E73F2" w:rsidRDefault="00261BC6" w:rsidP="004821F9">
            <w:pPr>
              <w:pStyle w:val="NormalWeb"/>
              <w:spacing w:before="0" w:beforeAutospacing="0" w:after="0" w:afterAutospacing="0"/>
              <w:rPr>
                <w:rFonts w:ascii="Arial" w:hAnsi="Arial" w:cs="Arial"/>
                <w:sz w:val="20"/>
                <w:szCs w:val="20"/>
              </w:rPr>
            </w:pPr>
            <w:r>
              <w:rPr>
                <w:rFonts w:ascii="Arial" w:hAnsi="Arial" w:cs="Arial"/>
                <w:sz w:val="20"/>
                <w:szCs w:val="20"/>
              </w:rPr>
              <w:t>Plasma</w:t>
            </w:r>
          </w:p>
        </w:tc>
        <w:tc>
          <w:tcPr>
            <w:tcW w:w="1845" w:type="dxa"/>
          </w:tcPr>
          <w:p w14:paraId="7451842F" w14:textId="6C61DB4E" w:rsidR="00683705" w:rsidRPr="002E73F2" w:rsidRDefault="00243103"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305DD2">
              <w:rPr>
                <w:rFonts w:ascii="Arial" w:hAnsi="Arial" w:cs="Arial"/>
                <w:sz w:val="20"/>
                <w:szCs w:val="20"/>
              </w:rPr>
              <w:instrText xml:space="preserve"> ADDIN ZOTERO_ITEM CSL_CITATION {"citationID":"RyGBaYXb","properties":{"formattedCitation":"\\super 7,9,41\\nosupersub{}","plainCitation":"7,9,41","noteIndex":0},"citationItems":[{"id":15954,"uris":["http://zotero.org/users/1547967/items/V73GUWW8"],"itemData":{"id":15954,"type":"article-journal","abstract":"Space flight produces an extreme environment with unique stressors, but little is known about how our body responds to these stresses. While there are many intractable limitations for in-flight space research, some can be overcome by utilizing gene knockout-disease model mice. Here, we report how deletion of Nrf2, a master regulator of stress defense pathways, affects the health of mice transported for a stay in the International Space Station (ISS). After 31 days in the ISS, all flight mice returned safely to Earth. Transcriptome and metabolome analyses revealed that the stresses of space travel evoked ageing-like changes of plasma metabolites and activated the Nrf2 signaling pathway. Especially, Nrf2 was found to be important for maintaining homeostasis of white adipose tissues. This study opens approaches for future space research utilizing murine gene knockout-disease models, and provides insights into mitigating space-induced stresses that limit the further exploration of space by humans.","container-title":"Communications Biology","DOI":"10.1038/s42003-020-01227-2","ISSN":"2399-3642","issue":"1","journalAbbreviation":"Commun Biol","language":"en","license":"2020 The Author(s)","note":"number: 1\npublisher: Nature Publishing Group","page":"1-14","source":"www.nature.com","title":"Nrf2 contributes to the weight gain of mice during space travel","volume":"3","author":[{"family":"Suzuki","given":"Takafumi"},{"family":"Uruno","given":"Akira"},{"family":"Yumoto","given":"Akane"},{"family":"Taguchi","given":"Keiko"},{"family":"Suzuki","given":"Mikiko"},{"family":"Harada","given":"Nobuhiko"},{"family":"Ryoke","given":"Rie"},{"family":"Naganuma","given":"Eriko"},{"family":"Osanai","given":"Nanae"},{"family":"Goto","given":"Aya"},{"family":"Suda","given":"Hiromi"},{"family":"Browne","given":"Ryan"},{"family":"Otsuki","given":"Akihito"},{"family":"Katsuoka","given":"Fumiki"},{"family":"Zorzi","given":"Michael"},{"family":"Yamazaki","given":"Takahiro"},{"family":"Saigusa","given":"Daisuke"},{"family":"Koshiba","given":"Seizo"},{"family":"Nakamura","given":"Takashi"},{"family":"Fukumoto","given":"Satoshi"},{"family":"Ikehata","given":"Hironobu"},{"family":"Nishikawa","given":"Keizo"},{"family":"Suzuki","given":"Norio"},{"family":"Hirano","given":"Ikuo"},{"family":"Shimizu","given":"Ritsuko"},{"family":"Oishi","given":"Tetsuya"},{"family":"Motohashi","given":"Hozumi"},{"family":"Tsubouchi","given":"Hirona"},{"family":"Okada","given":"Risa"},{"family":"Kudo","given":"Takashi"},{"family":"Shimomura","given":"Michihiko"},{"family":"Kensler","given":"Thomas W."},{"family":"Mizuno","given":"Hiroyasu"},{"family":"Shirakawa","given":"Masaki"},{"family":"Takahashi","given":"Satoru"},{"family":"Shiba","given":"Dai"},{"family":"Yamamoto","given":"Masayuki"}],"issued":{"date-parts":[["2020",9,8]]}}},{"id":15937,"uris":["http://zotero.org/users/1547967/items/J78SM5UZ"],"itemData":{"id":15937,"type":"article-journal","abstract":"Space travel induces stresses that contribute to health problems, as well as inducing the expression of Nrf2 (NF-E2-related factor-2) target genes that mediate adaptive responses to oxidative and other stress responses. The volume of epididymal white adipose tissue (eWAT) in mice increases during spaceflight, a change that is attenuated by Nrf2 knockout. We conducted metabolome analyses of plasma from wild-type and Nrf2 knockout mice collected at pre-flight, in-flight and post-flight time points, as well as tissues collected post-flight to clarify the metabolic responses during and after spaceflight and the contribution of Nrf2 to these responses. Plasma glycerophospholipid and sphingolipid levels were elevated during spaceflight, whereas triacylglycerol levels were lower after spaceflight. In wild-type mouse eWAT, triacylglycerol levels were increased, but phosphatidylcholine levels were decreased, and these changes were attenuated in Nrf2 knockout mice. Transcriptome analyses revealed marked changes in the expression of lipid-related genes in the liver and eWAT after spaceflight and the effects of Nrf2 knockout on these changes. Based on these results, we concluded that space stress provokes significant responses in lipid metabolism during and after spaceflight; Nrf2 plays critical roles in these responses.","container-title":"Communications Biology","DOI":"10.1038/s42003-021-02904-6","ISSN":"2399-3642","issue":"1","journalAbbreviation":"Commun Biol","language":"en","license":"2021 The Author(s)","note":"number: 1\npublisher: Nature Publishing Group","page":"1-18","source":"www.nature.com","title":"Nrf2 plays a critical role in the metabolic response during and after spaceflight","volume":"4","author":[{"family":"Uruno","given":"Akira"},{"family":"Saigusa","given":"Daisuke"},{"family":"Suzuki","given":"Takafumi"},{"family":"Yumoto","given":"Akane"},{"family":"Nakamura","given":"Tomohiro"},{"family":"Matsukawa","given":"Naomi"},{"family":"Yamazaki","given":"Takahiro"},{"family":"Saito","given":"Ristumi"},{"family":"Taguchi","given":"Keiko"},{"family":"Suzuki","given":"Mikiko"},{"family":"Suzuki","given":"Norio"},{"family":"Otsuki","given":"Akihito"},{"family":"Katsuoka","given":"Fumiki"},{"family":"Hishinuma","given":"Eiji"},{"family":"Okada","given":"Risa"},{"family":"Koshiba","given":"Seizo"},{"family":"Tomioka","given":"Yoshihisa"},{"family":"Shimizu","given":"Ritsuko"},{"family":"Shirakawa","given":"Masaki"},{"family":"Kensler","given":"Thomas W."},{"family":"Shiba","given":"Dai"},{"family":"Yamamoto","given":"Masayuki"}],"issued":{"date-parts":[["2021",12,9]]}}},{"id":16177,"uris":["http://zotero.org/users/1547967/items/2XZZ6V36"],"itemData":{"id":16177,"type":"article-journal","abstract":"Space travel burdens health by imposing considerable environmental stress associated with radioactivity and microgravity. In particular, gravity change predominantly impacts blood pressure and bone homeostasis, both of which are controlled mainly by the kidneys. Nuclear factor erythroid-2-related transcription factor 2 (Nrf2) plays essential roles in protecting the kidneys from various environmental stresses and injuries. To elucidate the effects of space travel on mammals in preparation for the upcoming space era, our study investigated the contribution of Nrf2 to kidney function in mice two days after their return from a 31-day stay in the International Space Station using Nrf2 knockout mice. Meaningfully, expression levels of genes regulating bone mineralization, blood pressure and lipid metabolism were found to be significantly altered in the kidneys after space travel in an Nrf2-independent manner. In particular, uridine diphosphate-glucuronosyltransferase 1A (Ugt1a) isoform genes were found to be expressed in an Nrf2-dependent manner and induced exclusively in the kidneys after return to Earth. Since spaceflight elevated the concentrations of fatty acids in the mouse plasma, we suggest that Ugt1a isoform expression in the kidneys was induced to promote glucuronidation of excessively accumulated lipids and excrete them into urine after the return from space. Thus, the kidneys were proven to play central roles in adaptation to gravity changes caused by going to and returning from space by controlling blood pressure and bone mineralization. Additionally, kidney Ugt1a isoform induction after space travel implies a significant role of the kidneys for space travelers in the excretion of excessive lipids.","container-title":"Kidney International","DOI":"10.1016/j.kint.2021.09.031","ISSN":"1523-1755","issue":"1","journalAbbreviation":"Kidney Int","language":"eng","note":"PMID: 34767829","page":"92-105","source":"PubMed","title":"Gene expression changes related to bone mineralization, blood pressure and lipid metabolism in mouse kidneys after space travel","volume":"101","author":[{"family":"Suzuki","given":"Norio"},{"family":"Iwamura","given":"Yuma"},{"family":"Nakai","given":"Taku"},{"family":"Kato","given":"Koichiro"},{"family":"Otsuki","given":"Akihito"},{"family":"Uruno","given":"Akira"},{"family":"Saigusa","given":"Daisuke"},{"family":"Taguchi","given":"Keiko"},{"family":"Suzuki","given":"Mikiko"},{"family":"Shimizu","given":"Ritsuko"},{"family":"Yumoto","given":"Akane"},{"family":"Okada","given":"Risa"},{"family":"Shirakawa","given":"Masaki"},{"family":"Shiba","given":"Dai"},{"family":"Takahashi","given":"Satoru"},{"family":"Suzuki","given":"Takafumi"},{"family":"Yamamoto","given":"Masayuki"}],"issued":{"date-parts":[["2022",1]]}}}],"schema":"https://github.com/citation-style-language/schema/raw/master/csl-citation.json"} </w:instrText>
            </w:r>
            <w:r>
              <w:rPr>
                <w:rFonts w:ascii="Arial" w:hAnsi="Arial" w:cs="Arial"/>
                <w:sz w:val="20"/>
                <w:szCs w:val="20"/>
              </w:rPr>
              <w:fldChar w:fldCharType="separate"/>
            </w:r>
            <w:r w:rsidR="00305DD2" w:rsidRPr="00305DD2">
              <w:rPr>
                <w:rFonts w:ascii="Arial" w:hAnsi="Arial" w:cs="Arial"/>
                <w:sz w:val="20"/>
                <w:vertAlign w:val="superscript"/>
              </w:rPr>
              <w:t>7,9,41</w:t>
            </w:r>
            <w:r>
              <w:rPr>
                <w:rFonts w:ascii="Arial" w:hAnsi="Arial" w:cs="Arial"/>
                <w:sz w:val="20"/>
                <w:szCs w:val="20"/>
              </w:rPr>
              <w:fldChar w:fldCharType="end"/>
            </w:r>
          </w:p>
        </w:tc>
        <w:tc>
          <w:tcPr>
            <w:tcW w:w="1418" w:type="dxa"/>
          </w:tcPr>
          <w:p w14:paraId="7648ED97" w14:textId="2A634513" w:rsidR="00683705" w:rsidRDefault="00261BC6"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By Request</w:t>
            </w:r>
          </w:p>
        </w:tc>
        <w:tc>
          <w:tcPr>
            <w:tcW w:w="1276" w:type="dxa"/>
          </w:tcPr>
          <w:p w14:paraId="66CFB70F" w14:textId="15CFDDA9" w:rsidR="00683705" w:rsidRDefault="00243103"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305DD2">
              <w:rPr>
                <w:rFonts w:ascii="Arial" w:hAnsi="Arial" w:cs="Arial"/>
                <w:sz w:val="20"/>
                <w:szCs w:val="20"/>
              </w:rPr>
              <w:instrText xml:space="preserve"> ADDIN ZOTERO_ITEM CSL_CITATION {"citationID":"4SCPokyI","properties":{"formattedCitation":"\\super 9,42\\nosupersub{}","plainCitation":"9,42","noteIndex":0},"citationItems":[{"id":16177,"uris":["http://zotero.org/users/1547967/items/2XZZ6V36"],"itemData":{"id":16177,"type":"article-journal","abstract":"Space travel burdens health by imposing considerable environmental stress associated with radioactivity and microgravity. In particular, gravity change predominantly impacts blood pressure and bone homeostasis, both of which are controlled mainly by the kidneys. Nuclear factor erythroid-2-related transcription factor 2 (Nrf2) plays essential roles in protecting the kidneys from various environmental stresses and injuries. To elucidate the effects of space travel on mammals in preparation for the upcoming space era, our study investigated the contribution of Nrf2 to kidney function in mice two days after their return from a 31-day stay in the International Space Station using Nrf2 knockout mice. Meaningfully, expression levels of genes regulating bone mineralization, blood pressure and lipid metabolism were found to be significantly altered in the kidneys after space travel in an Nrf2-independent manner. In particular, uridine diphosphate-glucuronosyltransferase 1A (Ugt1a) isoform genes were found to be expressed in an Nrf2-dependent manner and induced exclusively in the kidneys after return to Earth. Since spaceflight elevated the concentrations of fatty acids in the mouse plasma, we suggest that Ugt1a isoform expression in the kidneys was induced to promote glucuronidation of excessively accumulated lipids and excrete them into urine after the return from space. Thus, the kidneys were proven to play central roles in adaptation to gravity changes caused by going to and returning from space by controlling blood pressure and bone mineralization. Additionally, kidney Ugt1a isoform induction after space travel implies a significant role of the kidneys for space travelers in the excretion of excessive lipids.","container-title":"Kidney International","DOI":"10.1016/j.kint.2021.09.031","ISSN":"1523-1755","issue":"1","journalAbbreviation":"Kidney Int","language":"eng","note":"PMID: 34767829","page":"92-105","source":"PubMed","title":"Gene expression changes related to bone mineralization, blood pressure and lipid metabolism in mouse kidneys after space travel","volume":"101","author":[{"family":"Suzuki","given":"Norio"},{"family":"Iwamura","given":"Yuma"},{"family":"Nakai","given":"Taku"},{"family":"Kato","given":"Koichiro"},{"family":"Otsuki","given":"Akihito"},{"family":"Uruno","given":"Akira"},{"family":"Saigusa","given":"Daisuke"},{"family":"Taguchi","given":"Keiko"},{"family":"Suzuki","given":"Mikiko"},{"family":"Shimizu","given":"Ritsuko"},{"family":"Yumoto","given":"Akane"},{"family":"Okada","given":"Risa"},{"family":"Shirakawa","given":"Masaki"},{"family":"Shiba","given":"Dai"},{"family":"Takahashi","given":"Satoru"},{"family":"Suzuki","given":"Takafumi"},{"family":"Yamamoto","given":"Masayuki"}],"issued":{"date-parts":[["2022",1]]}}},{"id":15936,"uris":["http://zotero.org/users/1547967/items/ACRKMGJP"],"itemData":{"id":15936,"type":"webpage","title":"ibSLS - Metabolite List -","URL":"https://ibsls.megabank.tohoku.ac.jp/metabolite-list","accessed":{"date-parts":[["2023",5,25]]}}}],"schema":"https://github.com/citation-style-language/schema/raw/master/csl-citation.json"} </w:instrText>
            </w:r>
            <w:r>
              <w:rPr>
                <w:rFonts w:ascii="Arial" w:hAnsi="Arial" w:cs="Arial"/>
                <w:sz w:val="20"/>
                <w:szCs w:val="20"/>
              </w:rPr>
              <w:fldChar w:fldCharType="separate"/>
            </w:r>
            <w:r w:rsidR="00305DD2" w:rsidRPr="00305DD2">
              <w:rPr>
                <w:rFonts w:ascii="Arial" w:hAnsi="Arial" w:cs="Arial"/>
                <w:sz w:val="20"/>
                <w:vertAlign w:val="superscript"/>
              </w:rPr>
              <w:t>9,42</w:t>
            </w:r>
            <w:r>
              <w:rPr>
                <w:rFonts w:ascii="Arial" w:hAnsi="Arial" w:cs="Arial"/>
                <w:sz w:val="20"/>
                <w:szCs w:val="20"/>
              </w:rPr>
              <w:fldChar w:fldCharType="end"/>
            </w:r>
          </w:p>
        </w:tc>
        <w:tc>
          <w:tcPr>
            <w:tcW w:w="1791" w:type="dxa"/>
          </w:tcPr>
          <w:p w14:paraId="49AEA85E" w14:textId="095EF118" w:rsidR="00683705" w:rsidRDefault="00F2747F"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See below</w:t>
            </w:r>
          </w:p>
        </w:tc>
      </w:tr>
      <w:tr w:rsidR="00683705" w:rsidRPr="002E73F2" w14:paraId="34672F9C" w14:textId="77777777" w:rsidTr="00261BC6">
        <w:trPr>
          <w:trHeight w:val="103"/>
        </w:trPr>
        <w:tc>
          <w:tcPr>
            <w:tcW w:w="1551" w:type="dxa"/>
          </w:tcPr>
          <w:p w14:paraId="518D2D85" w14:textId="45DB4A6E" w:rsidR="00683705" w:rsidRPr="002E73F2" w:rsidRDefault="00261BC6" w:rsidP="004821F9">
            <w:pPr>
              <w:pStyle w:val="NormalWeb"/>
              <w:spacing w:before="0" w:beforeAutospacing="0" w:after="0" w:afterAutospacing="0"/>
              <w:rPr>
                <w:rFonts w:ascii="Arial" w:hAnsi="Arial" w:cs="Arial"/>
                <w:sz w:val="20"/>
                <w:szCs w:val="20"/>
              </w:rPr>
            </w:pPr>
            <w:r>
              <w:rPr>
                <w:rFonts w:ascii="Arial" w:hAnsi="Arial" w:cs="Arial"/>
                <w:sz w:val="20"/>
                <w:szCs w:val="20"/>
              </w:rPr>
              <w:t>CNSA</w:t>
            </w:r>
          </w:p>
        </w:tc>
        <w:tc>
          <w:tcPr>
            <w:tcW w:w="1415" w:type="dxa"/>
          </w:tcPr>
          <w:p w14:paraId="30182581" w14:textId="03F0DA89" w:rsidR="00683705" w:rsidRPr="002E73F2" w:rsidRDefault="00683705" w:rsidP="004821F9">
            <w:pPr>
              <w:pStyle w:val="NormalWeb"/>
              <w:spacing w:before="0" w:beforeAutospacing="0" w:after="0" w:afterAutospacing="0"/>
              <w:rPr>
                <w:rFonts w:ascii="Arial" w:hAnsi="Arial" w:cs="Arial"/>
                <w:sz w:val="20"/>
                <w:szCs w:val="20"/>
              </w:rPr>
            </w:pPr>
            <w:r>
              <w:rPr>
                <w:rFonts w:ascii="Arial" w:hAnsi="Arial" w:cs="Arial"/>
                <w:sz w:val="20"/>
                <w:szCs w:val="20"/>
              </w:rPr>
              <w:t>Serum</w:t>
            </w:r>
          </w:p>
        </w:tc>
        <w:tc>
          <w:tcPr>
            <w:tcW w:w="1845" w:type="dxa"/>
          </w:tcPr>
          <w:p w14:paraId="296385B4" w14:textId="0336C478" w:rsidR="00683705" w:rsidRPr="002E73F2" w:rsidRDefault="00E671D7"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{"citationID":"kQk3xZl7","properties":{"formattedCitation":"\\super 43\\nosupersub{}","plainCitation":"43","noteIndex":0},"citationItems":[{"id":15935,"uris":["http://zotero.org/users/1547967/items/46HKZXBZ"],"itemData":{"id":15935,"type":"article-journal","abstract":"Microgravity impacts various aspects of human health. Yet the mechanisms of spaceflight-induced health problems are not elucidated. Here, we mapped the fusion systemic analysis of the serum metabolome and the circulating microRNAome in a hindlimb unloading rat model to simulate microgravity. The response of serum metabolites and microRNAs to simulated microgravity was striking. Integrated pathway analysis of altered serum metabolites and target genes of the significantly altered circulating miRNAs with Integrated Molecular Pathway-Level Analysis (IMPaLA) software was mainly suggestive of modulation of neurofunctional signaling pathways. Particularly, we revealed significantly increased miR-383-5p and decreased aquaporin 4 (AQP4) in the hippocampus. Using rabies virus glycoprotein–modified exosomes, delivery of miR-383-5p inhibited the expression of AQP4 not only in rat C6 glioma cells in vitro but also in the hippocampus in vivo. Using bioinformatics to map the crosstalk between the circulating metabolome and miRNAome could offer opportunities to understand complex biological systems under microgravity. Our present results suggested that the change of miR-383-5p level and its regulation of target gene AQP4 was one of the potential molecular mechanisms of microgravity-induced cognitive impairment in the hippocampus.","container-title":"Frontiers in Physiology","ISSN":"1664-042X","source":"Frontiers","title":"Serum Metabolomics Associating With Circulating MicroRNA Profiles Reveal the Role of miR-383-5p in Rat Hippocampus Under Simulated Microgravity","URL":"https://www.frontiersin.org/articles/10.3389/fphys.2020.00939","volume":"11","author":[{"family":"Zhang","given":"Hongyu"},{"family":"Chen","given":"Jian"},{"family":"Wang","given":"Hailong"},{"family":"Lu","given":"Xin"},{"family":"Li","given":"Kai"},{"family":"Yang","given":"Chao"},{"family":"Wu","given":"Feng"},{"family":"Xu","given":"Zihan"},{"family":"Nie","given":"Huan"},{"family":"Ding","given":"Bai"},{"family":"Guo","given":"Zhifeng"},{"family":"Li","given":"Yu"},{"family":"Wang","given":"Jinfu"},{"family":"Li","given":"Yinghui"},{"family":"Dai","given":"Zhongquan"}],"accessed":{"date-parts":[["2023",5,25]]},"issued":{"date-parts":[["2020"]]}}}],"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43</w:t>
            </w:r>
            <w:r>
              <w:rPr>
                <w:rFonts w:ascii="Arial" w:hAnsi="Arial" w:cs="Arial"/>
                <w:sz w:val="20"/>
                <w:szCs w:val="20"/>
              </w:rPr>
              <w:fldChar w:fldCharType="end"/>
            </w:r>
          </w:p>
        </w:tc>
        <w:tc>
          <w:tcPr>
            <w:tcW w:w="1418" w:type="dxa"/>
          </w:tcPr>
          <w:p w14:paraId="6A0D1AF0" w14:textId="5067681F" w:rsidR="00683705" w:rsidRDefault="00261BC6"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By Request</w:t>
            </w:r>
          </w:p>
        </w:tc>
        <w:tc>
          <w:tcPr>
            <w:tcW w:w="1276" w:type="dxa"/>
          </w:tcPr>
          <w:p w14:paraId="13CF4D25" w14:textId="352D1CD9" w:rsidR="00683705" w:rsidRDefault="00E671D7"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{"citationID":"f8QneOKb","properties":{"formattedCitation":"\\super 43\\nosupersub{}","plainCitation":"43","noteIndex":0},"citationItems":[{"id":15935,"uris":["http://zotero.org/users/1547967/items/46HKZXBZ"],"itemData":{"id":15935,"type":"article-journal","abstract":"Microgravity impacts various aspects of human health. Yet the mechanisms of spaceflight-induced health problems are not elucidated. Here, we mapped the fusion systemic analysis of the serum metabolome and the circulating microRNAome in a hindlimb unloading rat model to simulate microgravity. The response of serum metabolites and microRNAs to simulated microgravity was striking. Integrated pathway analysis of altered serum metabolites and target genes of the significantly altered circulating miRNAs with Integrated Molecular Pathway-Level Analysis (IMPaLA) software was mainly suggestive of modulation of neurofunctional signaling pathways. Particularly, we revealed significantly increased miR-383-5p and decreased aquaporin 4 (AQP4) in the hippocampus. Using rabies virus glycoprotein–modified exosomes, delivery of miR-383-5p inhibited the expression of AQP4 not only in rat C6 glioma cells in vitro but also in the hippocampus in vivo. Using bioinformatics to map the crosstalk between the circulating metabolome and miRNAome could offer opportunities to understand complex biological systems under microgravity. Our present results suggested that the change of miR-383-5p level and its regulation of target gene AQP4 was one of the potential molecular mechanisms of microgravity-induced cognitive impairment in the hippocampus.","container-title":"Frontiers in Physiology","ISSN":"1664-042X","source":"Frontiers","title":"Serum Metabolomics Associating With Circulating MicroRNA Profiles Reveal the Role of miR-383-5p in Rat Hippocampus Under Simulated Microgravity","URL":"https://www.frontiersin.org/articles/10.3389/fphys.2020.00939","volume":"11","author":[{"family":"Zhang","given":"Hongyu"},{"family":"Chen","given":"Jian"},{"family":"Wang","given":"Hailong"},{"family":"Lu","given":"Xin"},{"family":"Li","given":"Kai"},{"family":"Yang","given":"Chao"},{"family":"Wu","given":"Feng"},{"family":"Xu","given":"Zihan"},{"family":"Nie","given":"Huan"},{"family":"Ding","given":"Bai"},{"family":"Guo","given":"Zhifeng"},{"family":"Li","given":"Yu"},{"family":"Wang","given":"Jinfu"},{"family":"Li","given":"Yinghui"},{"family":"Dai","given":"Zhongquan"}],"accessed":{"date-parts":[["2023",5,25]]},"issued":{"date-parts":[["2020"]]}}}],"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43</w:t>
            </w:r>
            <w:r>
              <w:rPr>
                <w:rFonts w:ascii="Arial" w:hAnsi="Arial" w:cs="Arial"/>
                <w:sz w:val="20"/>
                <w:szCs w:val="20"/>
              </w:rPr>
              <w:fldChar w:fldCharType="end"/>
            </w:r>
          </w:p>
        </w:tc>
        <w:tc>
          <w:tcPr>
            <w:tcW w:w="1791" w:type="dxa"/>
          </w:tcPr>
          <w:p w14:paraId="12CF43C2" w14:textId="571E0A4C" w:rsidR="00683705" w:rsidRDefault="00E671D7" w:rsidP="004821F9">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{"citationID":"Io53ZQV1","properties":{"formattedCitation":"\\super 43\\nosupersub{}","plainCitation":"43","noteIndex":0},"citationItems":[{"id":15935,"uris":["http://zotero.org/users/1547967/items/46HKZXBZ"],"itemData":{"id":15935,"type":"article-journal","abstract":"Microgravity impacts various aspects of human health. Yet the mechanisms of spaceflight-induced health problems are not elucidated. Here, we mapped the fusion systemic analysis of the serum metabolome and the circulating microRNAome in a hindlimb unloading rat model to simulate microgravity. The response of serum metabolites and microRNAs to simulated microgravity was striking. Integrated pathway analysis of altered serum metabolites and target genes of the significantly altered circulating miRNAs with Integrated Molecular Pathway-Level Analysis (IMPaLA) software was mainly suggestive of modulation of neurofunctional signaling pathways. Particularly, we revealed significantly increased miR-383-5p and decreased aquaporin 4 (AQP4) in the hippocampus. Using rabies virus glycoprotein–modified exosomes, delivery of miR-383-5p inhibited the expression of AQP4 not only in rat C6 glioma cells in vitro but also in the hippocampus in vivo. Using bioinformatics to map the crosstalk between the circulating metabolome and miRNAome could offer opportunities to understand complex biological systems under microgravity. Our present results suggested that the change of miR-383-5p level and its regulation of target gene AQP4 was one of the potential molecular mechanisms of microgravity-induced cognitive impairment in the hippocampus.","container-title":"Frontiers in Physiology","ISSN":"1664-042X","source":"Frontiers","title":"Serum Metabolomics Associating With Circulating MicroRNA Profiles Reveal the Role of miR-383-5p in Rat Hippocampus Under Simulated Microgravity","URL":"https://www.frontiersin.org/articles/10.3389/fphys.2020.00939","volume":"11","author":[{"family":"Zhang","given":"Hongyu"},{"family":"Chen","given":"Jian"},{"family":"Wang","given":"Hailong"},{"family":"Lu","given":"Xin"},{"family":"Li","given":"Kai"},{"family":"Yang","given":"Chao"},{"family":"Wu","given":"Feng"},{"family":"Xu","given":"Zihan"},{"family":"Nie","given":"Huan"},{"family":"Ding","given":"Bai"},{"family":"Guo","given":"Zhifeng"},{"family":"Li","given":"Yu"},{"family":"Wang","given":"Jinfu"},{"family":"Li","given":"Yinghui"},{"family":"Dai","given":"Zhongquan"}],"accessed":{"date-parts":[["2023",5,25]]},"issued":{"date-parts":[["2020"]]}}}],"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43</w:t>
            </w:r>
            <w:r>
              <w:rPr>
                <w:rFonts w:ascii="Arial" w:hAnsi="Arial" w:cs="Arial"/>
                <w:sz w:val="20"/>
                <w:szCs w:val="20"/>
              </w:rPr>
              <w:fldChar w:fldCharType="end"/>
            </w:r>
            <w:r w:rsidR="00DF559F">
              <w:rPr>
                <w:rFonts w:ascii="Arial" w:hAnsi="Arial" w:cs="Arial"/>
                <w:color w:val="000000"/>
                <w:sz w:val="20"/>
                <w:szCs w:val="20"/>
              </w:rPr>
              <w:t xml:space="preserve">, </w:t>
            </w:r>
            <w:r w:rsidR="00F2747F">
              <w:rPr>
                <w:rFonts w:ascii="Arial" w:hAnsi="Arial" w:cs="Arial"/>
                <w:color w:val="000000"/>
                <w:sz w:val="20"/>
                <w:szCs w:val="20"/>
              </w:rPr>
              <w:t>See below</w:t>
            </w:r>
          </w:p>
        </w:tc>
      </w:tr>
    </w:tbl>
    <w:p w14:paraId="264008F1" w14:textId="77777777" w:rsidR="00C81A94" w:rsidRDefault="00C81A94" w:rsidP="00C81A94">
      <w:pPr>
        <w:pStyle w:val="NormalWeb"/>
        <w:spacing w:before="240" w:after="240" w:line="480" w:lineRule="auto"/>
        <w:ind w:left="-280"/>
        <w:jc w:val="both"/>
        <w:rPr>
          <w:rFonts w:ascii="Arial" w:hAnsi="Arial" w:cs="Arial"/>
          <w:b/>
          <w:bCs/>
          <w:color w:val="000000"/>
          <w:sz w:val="22"/>
          <w:szCs w:val="22"/>
        </w:rPr>
      </w:pPr>
    </w:p>
    <w:p w14:paraId="6CCBB77A" w14:textId="70EBEF16" w:rsidR="00C81A94" w:rsidRPr="00C81A94" w:rsidRDefault="00C81A94" w:rsidP="00C81A94">
      <w:pPr>
        <w:pStyle w:val="NormalWeb"/>
        <w:spacing w:before="240" w:after="240" w:line="480" w:lineRule="auto"/>
        <w:ind w:left="-280"/>
        <w:jc w:val="both"/>
        <w:rPr>
          <w:rFonts w:ascii="Arial" w:hAnsi="Arial" w:cs="Arial"/>
          <w:b/>
          <w:bCs/>
          <w:color w:val="000000"/>
          <w:sz w:val="22"/>
          <w:szCs w:val="22"/>
        </w:rPr>
      </w:pPr>
      <w:r w:rsidRPr="00C81A94">
        <w:rPr>
          <w:rFonts w:ascii="Arial" w:hAnsi="Arial" w:cs="Arial"/>
          <w:b/>
          <w:bCs/>
          <w:color w:val="000000"/>
          <w:sz w:val="22"/>
          <w:szCs w:val="22"/>
        </w:rPr>
        <w:t>Differential abundance analysis</w:t>
      </w:r>
    </w:p>
    <w:p w14:paraId="6B85B621" w14:textId="5E4AA6C0" w:rsidR="00683705" w:rsidRPr="00C81A94" w:rsidRDefault="00C81A94" w:rsidP="00C81A94">
      <w:pPr>
        <w:pStyle w:val="NormalWeb"/>
        <w:spacing w:before="240" w:after="240" w:line="480" w:lineRule="auto"/>
        <w:ind w:left="-280"/>
        <w:jc w:val="both"/>
        <w:rPr>
          <w:rFonts w:ascii="Arial" w:hAnsi="Arial" w:cs="Arial"/>
          <w:i/>
          <w:iCs/>
          <w:color w:val="000000"/>
          <w:sz w:val="22"/>
          <w:szCs w:val="22"/>
        </w:rPr>
      </w:pPr>
      <w:r w:rsidRPr="00C81A94">
        <w:rPr>
          <w:rFonts w:ascii="Arial" w:hAnsi="Arial" w:cs="Arial"/>
          <w:i/>
          <w:iCs/>
          <w:color w:val="000000"/>
          <w:sz w:val="22"/>
          <w:szCs w:val="22"/>
        </w:rPr>
        <w:lastRenderedPageBreak/>
        <w:t>Inspiration4</w:t>
      </w:r>
    </w:p>
    <w:p w14:paraId="5BDA6205" w14:textId="5CC8C0A0" w:rsidR="00261BC6" w:rsidRDefault="00261BC6" w:rsidP="00261BC6">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For the analysis, samples from timepoints L-92d, L-44d and L-3d were pooled</w:t>
      </w:r>
      <w:r w:rsidR="00B03701">
        <w:rPr>
          <w:rFonts w:ascii="Arial" w:hAnsi="Arial" w:cs="Arial"/>
          <w:color w:val="000000"/>
          <w:sz w:val="22"/>
          <w:szCs w:val="22"/>
        </w:rPr>
        <w:t xml:space="preserve"> and averaged</w:t>
      </w:r>
      <w:r>
        <w:rPr>
          <w:rFonts w:ascii="Arial" w:hAnsi="Arial" w:cs="Arial"/>
          <w:color w:val="000000"/>
          <w:sz w:val="22"/>
          <w:szCs w:val="22"/>
        </w:rPr>
        <w:t xml:space="preserve"> into </w:t>
      </w:r>
      <w:r w:rsidR="00B03701">
        <w:rPr>
          <w:rFonts w:ascii="Arial" w:hAnsi="Arial" w:cs="Arial"/>
          <w:color w:val="000000"/>
          <w:sz w:val="22"/>
          <w:szCs w:val="22"/>
        </w:rPr>
        <w:t>“</w:t>
      </w:r>
      <w:r>
        <w:rPr>
          <w:rFonts w:ascii="Arial" w:hAnsi="Arial" w:cs="Arial"/>
          <w:color w:val="000000"/>
          <w:sz w:val="22"/>
          <w:szCs w:val="22"/>
        </w:rPr>
        <w:t>pre-flight</w:t>
      </w:r>
      <w:r w:rsidR="00B03701">
        <w:rPr>
          <w:rFonts w:ascii="Arial" w:hAnsi="Arial" w:cs="Arial"/>
          <w:color w:val="000000"/>
          <w:sz w:val="22"/>
          <w:szCs w:val="22"/>
        </w:rPr>
        <w:t>”</w:t>
      </w:r>
      <w:r>
        <w:rPr>
          <w:rFonts w:ascii="Arial" w:hAnsi="Arial" w:cs="Arial"/>
          <w:color w:val="000000"/>
          <w:sz w:val="22"/>
          <w:szCs w:val="22"/>
        </w:rPr>
        <w:t xml:space="preserve"> for comparison to immediate post-flight R+1d.</w:t>
      </w:r>
    </w:p>
    <w:p w14:paraId="5A617960" w14:textId="7D28EC58" w:rsidR="00631BF8" w:rsidRPr="00631BF8" w:rsidRDefault="00631BF8" w:rsidP="0009583A">
      <w:pPr>
        <w:pStyle w:val="NormalWeb"/>
        <w:spacing w:before="240" w:after="240" w:line="480" w:lineRule="auto"/>
        <w:ind w:left="-280"/>
        <w:jc w:val="both"/>
        <w:rPr>
          <w:rFonts w:ascii="Arial" w:hAnsi="Arial" w:cs="Arial"/>
          <w:i/>
          <w:iCs/>
          <w:color w:val="000000"/>
          <w:sz w:val="22"/>
          <w:szCs w:val="22"/>
        </w:rPr>
      </w:pPr>
      <w:r>
        <w:rPr>
          <w:rFonts w:ascii="Arial" w:hAnsi="Arial" w:cs="Arial"/>
          <w:i/>
          <w:iCs/>
          <w:color w:val="000000"/>
          <w:sz w:val="22"/>
          <w:szCs w:val="22"/>
        </w:rPr>
        <w:t>MHU-3</w:t>
      </w:r>
    </w:p>
    <w:p w14:paraId="72029460" w14:textId="0B52073B" w:rsidR="00884F4B" w:rsidRPr="004B1E21" w:rsidRDefault="00884F4B" w:rsidP="00884F4B">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For the analysis, samples from ground control and spaceflight animals were directly compared for timepoints L+18d and R+2d.</w:t>
      </w:r>
      <w:r w:rsidR="004B1E21">
        <w:rPr>
          <w:rFonts w:ascii="Arial" w:hAnsi="Arial" w:cs="Arial"/>
          <w:color w:val="000000"/>
          <w:sz w:val="22"/>
          <w:szCs w:val="22"/>
        </w:rPr>
        <w:t xml:space="preserve"> Data were Log</w:t>
      </w:r>
      <w:r w:rsidR="004B1E21">
        <w:rPr>
          <w:rFonts w:ascii="Arial" w:hAnsi="Arial" w:cs="Arial"/>
          <w:color w:val="000000"/>
          <w:sz w:val="22"/>
          <w:szCs w:val="22"/>
          <w:vertAlign w:val="subscript"/>
        </w:rPr>
        <w:t>2</w:t>
      </w:r>
      <w:r w:rsidR="004B1E21">
        <w:rPr>
          <w:rFonts w:ascii="Arial" w:hAnsi="Arial" w:cs="Arial"/>
          <w:color w:val="000000"/>
          <w:sz w:val="22"/>
          <w:szCs w:val="22"/>
        </w:rPr>
        <w:t xml:space="preserve"> transformed, fold changes were calculated, and nominal p-values and adjusted p-values were determined in GraphPad Prism 8 using the multiple tests option.</w:t>
      </w:r>
    </w:p>
    <w:p w14:paraId="6D9B6B98" w14:textId="77777777" w:rsidR="00BF4385" w:rsidRDefault="00BF4385" w:rsidP="0009583A">
      <w:pPr>
        <w:pStyle w:val="NormalWeb"/>
        <w:spacing w:before="240" w:after="240" w:line="480" w:lineRule="auto"/>
        <w:ind w:left="-280"/>
        <w:jc w:val="both"/>
        <w:rPr>
          <w:rFonts w:ascii="Arial" w:hAnsi="Arial" w:cs="Arial"/>
          <w:color w:val="000000"/>
          <w:sz w:val="22"/>
          <w:szCs w:val="22"/>
        </w:rPr>
      </w:pPr>
    </w:p>
    <w:p w14:paraId="41EDB1B0" w14:textId="28E95128" w:rsidR="009F518D" w:rsidRPr="009F518D" w:rsidRDefault="009F518D" w:rsidP="0009583A">
      <w:pPr>
        <w:pStyle w:val="NormalWeb"/>
        <w:spacing w:before="240" w:after="240" w:line="480" w:lineRule="auto"/>
        <w:ind w:left="-280"/>
        <w:jc w:val="both"/>
        <w:rPr>
          <w:rFonts w:ascii="Arial" w:hAnsi="Arial" w:cs="Arial"/>
          <w:color w:val="000000"/>
          <w:sz w:val="22"/>
          <w:szCs w:val="22"/>
          <w:u w:val="single"/>
        </w:rPr>
      </w:pPr>
      <w:r>
        <w:rPr>
          <w:rFonts w:ascii="Arial" w:hAnsi="Arial" w:cs="Arial"/>
          <w:color w:val="000000"/>
          <w:sz w:val="22"/>
          <w:szCs w:val="22"/>
          <w:u w:val="single"/>
        </w:rPr>
        <w:t>Over-</w:t>
      </w:r>
      <w:r w:rsidR="00A22A7B">
        <w:rPr>
          <w:rFonts w:ascii="Arial" w:hAnsi="Arial" w:cs="Arial"/>
          <w:color w:val="000000"/>
          <w:sz w:val="22"/>
          <w:szCs w:val="22"/>
          <w:u w:val="single"/>
        </w:rPr>
        <w:t>r</w:t>
      </w:r>
      <w:r>
        <w:rPr>
          <w:rFonts w:ascii="Arial" w:hAnsi="Arial" w:cs="Arial"/>
          <w:color w:val="000000"/>
          <w:sz w:val="22"/>
          <w:szCs w:val="22"/>
          <w:u w:val="single"/>
        </w:rPr>
        <w:t xml:space="preserve">epresentation </w:t>
      </w:r>
      <w:r w:rsidR="00A22A7B">
        <w:rPr>
          <w:rFonts w:ascii="Arial" w:hAnsi="Arial" w:cs="Arial"/>
          <w:color w:val="000000"/>
          <w:sz w:val="22"/>
          <w:szCs w:val="22"/>
          <w:u w:val="single"/>
        </w:rPr>
        <w:t>a</w:t>
      </w:r>
      <w:r>
        <w:rPr>
          <w:rFonts w:ascii="Arial" w:hAnsi="Arial" w:cs="Arial"/>
          <w:color w:val="000000"/>
          <w:sz w:val="22"/>
          <w:szCs w:val="22"/>
          <w:u w:val="single"/>
        </w:rPr>
        <w:t>nalysis</w:t>
      </w:r>
    </w:p>
    <w:p w14:paraId="6761BDC7" w14:textId="446A1AAA" w:rsidR="00BF4385" w:rsidRDefault="00A22A7B" w:rsidP="0009583A">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Metabolites with a nominal P-value of &lt;0.05</w:t>
      </w:r>
      <w:r w:rsidR="00C17FB2">
        <w:rPr>
          <w:rFonts w:ascii="Arial" w:hAnsi="Arial" w:cs="Arial"/>
          <w:color w:val="000000"/>
          <w:sz w:val="22"/>
          <w:szCs w:val="22"/>
        </w:rPr>
        <w:t xml:space="preserve"> and which had a successful name check</w:t>
      </w:r>
      <w:r>
        <w:rPr>
          <w:rFonts w:ascii="Arial" w:hAnsi="Arial" w:cs="Arial"/>
          <w:color w:val="000000"/>
          <w:sz w:val="22"/>
          <w:szCs w:val="22"/>
        </w:rPr>
        <w:t xml:space="preserve"> were taken forward for</w:t>
      </w:r>
      <w:r w:rsidR="00C17FB2">
        <w:rPr>
          <w:rFonts w:ascii="Arial" w:hAnsi="Arial" w:cs="Arial"/>
          <w:color w:val="000000"/>
          <w:sz w:val="22"/>
          <w:szCs w:val="22"/>
        </w:rPr>
        <w:t xml:space="preserve"> KEGG module</w:t>
      </w:r>
      <w:r>
        <w:rPr>
          <w:rFonts w:ascii="Arial" w:hAnsi="Arial" w:cs="Arial"/>
          <w:color w:val="000000"/>
          <w:sz w:val="22"/>
          <w:szCs w:val="22"/>
        </w:rPr>
        <w:t xml:space="preserve"> pathway analysis (targeted) using MetaboAnalyst 5.0</w:t>
      </w:r>
      <w:r w:rsidR="00EF2BB1">
        <w:rPr>
          <w:rFonts w:ascii="Arial" w:hAnsi="Arial" w:cs="Arial"/>
          <w:color w:val="000000"/>
          <w:sz w:val="22"/>
          <w:szCs w:val="22"/>
        </w:rPr>
        <w:fldChar w:fldCharType="begin"/>
      </w:r>
      <w:r w:rsidR="00DE0227">
        <w:rPr>
          <w:rFonts w:ascii="Arial" w:hAnsi="Arial" w:cs="Arial"/>
          <w:color w:val="000000"/>
          <w:sz w:val="22"/>
          <w:szCs w:val="22"/>
        </w:rPr>
        <w:instrText xml:space="preserve"> ADDIN ZOTERO_ITEM CSL_CITATION {"citationID":"G1gT1HHh","properties":{"formattedCitation":"\\super 44\\nosupersub{}","plainCitation":"44","noteIndex":0},"citationItems":[{"id":15969,"uris":["http://zotero.org/users/1547967/items/6638G22C"],"itemData":{"id":15969,"type":"article-journal","abstract":"Since its first release over a decade ago, the MetaboAnalyst web-based platform has become widely used for comprehensive metabolomics data analysis and interpretation. Here we introduce MetaboAnalyst version 5.0, aiming to narrow the gap from raw data to functional insights for global metabolomics based on high-resolution mass spectrometry (HRMS). Three modules have been developed to help achieve this goal, including: (i) a LC–MS Spectra Processing module which offers an easy-to-use pipeline that can perform automated parameter optimization and resumable analysis to significantly lower the barriers to LC-MS1 spectra processing; (ii) a Functional Analysis module which expands the previous MS Peaks to Pathways module to allow users to intuitively select any peak groups of interest and evaluate their enrichment of potential functions as defined by metabolic pathways and metabolite sets; (iii) a Functional Meta-Analysis module to combine multiple global metabolomics datasets obtained under complementary conditions or from similar studies to arrive at comprehensive functional insights. There are many other new functions including weighted joint-pathway analysis, data-driven network analysis, batch effect correction, merging technical replicates, improved compound name matching, etc. The web interface, graphics and underlying codebase have also been refactored to improve performance and user experience. At the end of an analysis session, users can now easily switch to other compatible modules for a more streamlined data analysis. MetaboAnalyst 5.0 is freely available at https://www.metaboanalyst.ca.","container-title":"Nucleic Acids Research","DOI":"10.1093/nar/gkab382","ISSN":"0305-1048","issue":"W1","journalAbbreviation":"Nucleic Acids Research","page":"W388-W396","source":"Silverchair","title":"MetaboAnalyst 5.0: narrowing the gap between raw spectra and functional insights","title-short":"MetaboAnalyst 5.0","volume":"49","author":[{"family":"Pang","given":"Zhiqiang"},{"family":"Chong","given":"Jasmine"},{"family":"Zhou","given":"Guangyan"},{"family":"de Lima Morais","given":"David Anderson"},{"family":"Chang","given":"Le"},{"family":"Barrette","given":"Michel"},{"family":"Gauthier","given":"Carol"},{"family":"Jacques","given":"Pierre-Étienne"},{"family":"Li","given":"Shuzhao"},{"family":"Xia","given":"Jianguo"}],"issued":{"date-parts":[["2021",7,2]]}}}],"schema":"https://github.com/citation-style-language/schema/raw/master/csl-citation.json"} </w:instrText>
      </w:r>
      <w:r w:rsidR="00EF2BB1">
        <w:rPr>
          <w:rFonts w:ascii="Arial" w:hAnsi="Arial" w:cs="Arial"/>
          <w:color w:val="000000"/>
          <w:sz w:val="22"/>
          <w:szCs w:val="22"/>
        </w:rPr>
        <w:fldChar w:fldCharType="separate"/>
      </w:r>
      <w:r w:rsidR="00DE0227" w:rsidRPr="00DE0227">
        <w:rPr>
          <w:rFonts w:ascii="Arial" w:hAnsi="Arial" w:cs="Arial"/>
          <w:sz w:val="22"/>
          <w:vertAlign w:val="superscript"/>
        </w:rPr>
        <w:t>44</w:t>
      </w:r>
      <w:r w:rsidR="00EF2BB1">
        <w:rPr>
          <w:rFonts w:ascii="Arial" w:hAnsi="Arial" w:cs="Arial"/>
          <w:color w:val="000000"/>
          <w:sz w:val="22"/>
          <w:szCs w:val="22"/>
        </w:rPr>
        <w:fldChar w:fldCharType="end"/>
      </w:r>
      <w:r w:rsidR="00C17FB2">
        <w:rPr>
          <w:rFonts w:ascii="Arial" w:hAnsi="Arial" w:cs="Arial"/>
          <w:color w:val="000000"/>
          <w:sz w:val="22"/>
          <w:szCs w:val="22"/>
        </w:rPr>
        <w:t xml:space="preserve"> with the default settings</w:t>
      </w:r>
      <w:r>
        <w:rPr>
          <w:rFonts w:ascii="Arial" w:hAnsi="Arial" w:cs="Arial"/>
          <w:color w:val="000000"/>
          <w:sz w:val="22"/>
          <w:szCs w:val="22"/>
        </w:rPr>
        <w:t xml:space="preserve">. </w:t>
      </w:r>
    </w:p>
    <w:p w14:paraId="2C341686" w14:textId="77777777" w:rsidR="00054BB9" w:rsidRDefault="00054BB9" w:rsidP="0009583A">
      <w:pPr>
        <w:pStyle w:val="NormalWeb"/>
        <w:spacing w:before="240" w:after="240" w:line="480" w:lineRule="auto"/>
        <w:ind w:left="-280"/>
        <w:jc w:val="both"/>
        <w:rPr>
          <w:rFonts w:ascii="Arial" w:hAnsi="Arial" w:cs="Arial"/>
          <w:color w:val="000000"/>
          <w:sz w:val="22"/>
          <w:szCs w:val="22"/>
        </w:rPr>
      </w:pPr>
    </w:p>
    <w:p w14:paraId="0B055783" w14:textId="51D5C51D" w:rsidR="00054BB9" w:rsidRPr="009C25E3" w:rsidRDefault="00054BB9" w:rsidP="00054BB9">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Microbiome</w:t>
      </w:r>
    </w:p>
    <w:p w14:paraId="66FAF981" w14:textId="18FC9296" w:rsidR="00054BB9" w:rsidRPr="009C25E3" w:rsidRDefault="008158F7" w:rsidP="00054BB9">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Whole metagenome shotgun sequencing</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054BB9" w:rsidRPr="002E73F2" w14:paraId="6FD23A1C" w14:textId="77777777" w:rsidTr="00223746">
        <w:trPr>
          <w:trHeight w:val="103"/>
        </w:trPr>
        <w:tc>
          <w:tcPr>
            <w:tcW w:w="1551" w:type="dxa"/>
          </w:tcPr>
          <w:p w14:paraId="4542BD8D" w14:textId="77777777" w:rsidR="00054BB9" w:rsidRPr="002E73F2" w:rsidRDefault="00054BB9"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Cohort</w:t>
            </w:r>
          </w:p>
        </w:tc>
        <w:tc>
          <w:tcPr>
            <w:tcW w:w="1415" w:type="dxa"/>
          </w:tcPr>
          <w:p w14:paraId="2C6EB572" w14:textId="77777777" w:rsidR="00054BB9" w:rsidRPr="002E73F2" w:rsidRDefault="00054BB9"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2E33AD7B" w14:textId="77777777" w:rsidR="00054BB9" w:rsidRPr="002E73F2" w:rsidRDefault="00054BB9"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0F932413" w14:textId="77777777" w:rsidR="00054BB9" w:rsidRPr="002E73F2" w:rsidRDefault="00054BB9"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1ADB9EF5" w14:textId="77777777" w:rsidR="00054BB9" w:rsidRPr="002E73F2" w:rsidRDefault="00054BB9"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766DDD5D" w14:textId="77777777" w:rsidR="00054BB9" w:rsidRPr="002E73F2" w:rsidRDefault="00054BB9"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223746" w:rsidRPr="002E73F2" w14:paraId="1460A998" w14:textId="77777777" w:rsidTr="00223746">
        <w:trPr>
          <w:trHeight w:val="103"/>
        </w:trPr>
        <w:tc>
          <w:tcPr>
            <w:tcW w:w="1551" w:type="dxa"/>
          </w:tcPr>
          <w:p w14:paraId="6F0C31CA" w14:textId="647762F1" w:rsidR="00223746" w:rsidRPr="002E73F2" w:rsidRDefault="00223746" w:rsidP="0022374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RR-6</w:t>
            </w:r>
          </w:p>
        </w:tc>
        <w:tc>
          <w:tcPr>
            <w:tcW w:w="1415" w:type="dxa"/>
          </w:tcPr>
          <w:p w14:paraId="41DF08B2" w14:textId="6942DFDC" w:rsidR="00223746" w:rsidRPr="002E73F2" w:rsidRDefault="00223746" w:rsidP="0022374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Faeces</w:t>
            </w:r>
          </w:p>
        </w:tc>
        <w:tc>
          <w:tcPr>
            <w:tcW w:w="1845" w:type="dxa"/>
          </w:tcPr>
          <w:p w14:paraId="245D6750" w14:textId="273C5BB5" w:rsidR="00223746" w:rsidRPr="002E73F2" w:rsidRDefault="00E671D7" w:rsidP="0022374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DE0227">
              <w:rPr>
                <w:rFonts w:ascii="Arial" w:hAnsi="Arial" w:cs="Arial"/>
                <w:color w:val="000000"/>
                <w:sz w:val="20"/>
                <w:szCs w:val="20"/>
              </w:rPr>
              <w:instrText xml:space="preserve"> ADDIN ZOTERO_ITEM CSL_CITATION {"citationID":"B9Rk12aT","properties":{"formattedCitation":"\\super 45\\nosupersub{}","plainCitation":"45","noteIndex":0},"citationItems":[{"id":15933,"uris":["http://zotero.org/users/1547967/items/MTGS65PL"],"itemData":{"id":15933,"type":"webpage","title":"NASA OSDR: Open Science for Life in Space","URL":"https://osdr.nasa.gov/bio/repo/data/studies/OSD-249","accessed":{"date-parts":[["2023",5,25]]}}}],"schema":"https://github.com/citation-style-language/schema/raw/master/csl-citation.json"} </w:instrText>
            </w:r>
            <w:r>
              <w:rPr>
                <w:rFonts w:ascii="Arial" w:hAnsi="Arial" w:cs="Arial"/>
                <w:color w:val="000000"/>
                <w:sz w:val="20"/>
                <w:szCs w:val="20"/>
              </w:rPr>
              <w:fldChar w:fldCharType="separate"/>
            </w:r>
            <w:r w:rsidR="00DE0227" w:rsidRPr="00DE0227">
              <w:rPr>
                <w:rFonts w:ascii="Arial" w:hAnsi="Arial" w:cs="Arial"/>
                <w:sz w:val="20"/>
                <w:vertAlign w:val="superscript"/>
              </w:rPr>
              <w:t>45</w:t>
            </w:r>
            <w:r>
              <w:rPr>
                <w:rFonts w:ascii="Arial" w:hAnsi="Arial" w:cs="Arial"/>
                <w:color w:val="000000"/>
                <w:sz w:val="20"/>
                <w:szCs w:val="20"/>
              </w:rPr>
              <w:fldChar w:fldCharType="end"/>
            </w:r>
          </w:p>
        </w:tc>
        <w:tc>
          <w:tcPr>
            <w:tcW w:w="1418" w:type="dxa"/>
          </w:tcPr>
          <w:p w14:paraId="2E5128F4" w14:textId="5A77A84B" w:rsidR="00223746" w:rsidRPr="002E73F2" w:rsidRDefault="00E671D7" w:rsidP="00223746">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DE0227">
              <w:rPr>
                <w:rFonts w:ascii="Arial" w:hAnsi="Arial" w:cs="Arial"/>
                <w:color w:val="000000"/>
                <w:sz w:val="20"/>
                <w:szCs w:val="20"/>
              </w:rPr>
              <w:instrText xml:space="preserve"> ADDIN ZOTERO_ITEM CSL_CITATION {"citationID":"ch5vyJWV","properties":{"formattedCitation":"\\super 45\\nosupersub{}","plainCitation":"45","noteIndex":0},"citationItems":[{"id":15933,"uris":["http://zotero.org/users/1547967/items/MTGS65PL"],"itemData":{"id":15933,"type":"webpage","title":"NASA OSDR: Open Science for Life in Space","URL":"https://osdr.nasa.gov/bio/repo/data/studies/OSD-249","accessed":{"date-parts":[["2023",5,25]]}}}],"schema":"https://github.com/citation-style-language/schema/raw/master/csl-citation.json"} </w:instrText>
            </w:r>
            <w:r>
              <w:rPr>
                <w:rFonts w:ascii="Arial" w:hAnsi="Arial" w:cs="Arial"/>
                <w:color w:val="000000"/>
                <w:sz w:val="20"/>
                <w:szCs w:val="20"/>
              </w:rPr>
              <w:fldChar w:fldCharType="separate"/>
            </w:r>
            <w:r w:rsidR="00DE0227" w:rsidRPr="00DE0227">
              <w:rPr>
                <w:rFonts w:ascii="Arial" w:hAnsi="Arial" w:cs="Arial"/>
                <w:sz w:val="20"/>
                <w:vertAlign w:val="superscript"/>
              </w:rPr>
              <w:t>45</w:t>
            </w:r>
            <w:r>
              <w:rPr>
                <w:rFonts w:ascii="Arial" w:hAnsi="Arial" w:cs="Arial"/>
                <w:color w:val="000000"/>
                <w:sz w:val="20"/>
                <w:szCs w:val="20"/>
              </w:rPr>
              <w:fldChar w:fldCharType="end"/>
            </w:r>
          </w:p>
        </w:tc>
        <w:tc>
          <w:tcPr>
            <w:tcW w:w="1276" w:type="dxa"/>
          </w:tcPr>
          <w:p w14:paraId="7A9CD7A7" w14:textId="58921092" w:rsidR="00223746" w:rsidRPr="002E73F2" w:rsidRDefault="00223746" w:rsidP="00223746">
            <w:pPr>
              <w:pStyle w:val="NormalWeb"/>
              <w:spacing w:before="0" w:beforeAutospacing="0" w:after="0" w:afterAutospacing="0"/>
              <w:rPr>
                <w:rFonts w:ascii="Arial" w:hAnsi="Arial" w:cs="Arial"/>
                <w:sz w:val="20"/>
                <w:szCs w:val="20"/>
              </w:rPr>
            </w:pPr>
            <w:r w:rsidRPr="000D7CC3">
              <w:rPr>
                <w:rFonts w:ascii="Arial" w:hAnsi="Arial" w:cs="Arial"/>
                <w:sz w:val="20"/>
                <w:szCs w:val="20"/>
              </w:rPr>
              <w:t>See “D</w:t>
            </w:r>
            <w:r>
              <w:rPr>
                <w:rFonts w:ascii="Arial" w:hAnsi="Arial" w:cs="Arial"/>
                <w:sz w:val="20"/>
                <w:szCs w:val="20"/>
              </w:rPr>
              <w:t>P</w:t>
            </w:r>
            <w:r w:rsidRPr="000D7CC3">
              <w:rPr>
                <w:rFonts w:ascii="Arial" w:hAnsi="Arial" w:cs="Arial"/>
                <w:sz w:val="20"/>
                <w:szCs w:val="20"/>
              </w:rPr>
              <w:t>”</w:t>
            </w:r>
          </w:p>
        </w:tc>
        <w:tc>
          <w:tcPr>
            <w:tcW w:w="1791" w:type="dxa"/>
          </w:tcPr>
          <w:p w14:paraId="6E0A18A7" w14:textId="3998679F" w:rsidR="00223746" w:rsidRPr="002E73F2" w:rsidRDefault="00223746" w:rsidP="00223746">
            <w:pPr>
              <w:pStyle w:val="NormalWeb"/>
              <w:spacing w:before="0" w:beforeAutospacing="0" w:after="0" w:afterAutospacing="0"/>
              <w:rPr>
                <w:rFonts w:ascii="Arial" w:hAnsi="Arial" w:cs="Arial"/>
                <w:color w:val="000000"/>
                <w:sz w:val="20"/>
                <w:szCs w:val="20"/>
              </w:rPr>
            </w:pPr>
            <w:r w:rsidRPr="000D7CC3">
              <w:rPr>
                <w:rFonts w:ascii="Arial" w:hAnsi="Arial" w:cs="Arial"/>
                <w:sz w:val="20"/>
                <w:szCs w:val="20"/>
              </w:rPr>
              <w:t>See “DAA”</w:t>
            </w:r>
          </w:p>
        </w:tc>
      </w:tr>
      <w:tr w:rsidR="00223746" w:rsidRPr="002E73F2" w14:paraId="3CF790B1" w14:textId="77777777" w:rsidTr="00223746">
        <w:trPr>
          <w:trHeight w:val="103"/>
        </w:trPr>
        <w:tc>
          <w:tcPr>
            <w:tcW w:w="1551" w:type="dxa"/>
          </w:tcPr>
          <w:p w14:paraId="5B56E77C" w14:textId="615BBECF" w:rsidR="00223746" w:rsidRPr="002E73F2" w:rsidRDefault="00223746" w:rsidP="00223746">
            <w:pPr>
              <w:pStyle w:val="NormalWeb"/>
              <w:spacing w:before="0" w:beforeAutospacing="0" w:after="0" w:afterAutospacing="0"/>
              <w:rPr>
                <w:rFonts w:ascii="Arial" w:hAnsi="Arial" w:cs="Arial"/>
                <w:sz w:val="20"/>
                <w:szCs w:val="20"/>
              </w:rPr>
            </w:pPr>
            <w:r>
              <w:rPr>
                <w:rFonts w:ascii="Arial" w:hAnsi="Arial" w:cs="Arial"/>
                <w:sz w:val="20"/>
                <w:szCs w:val="20"/>
              </w:rPr>
              <w:t>RR-9</w:t>
            </w:r>
          </w:p>
        </w:tc>
        <w:tc>
          <w:tcPr>
            <w:tcW w:w="1415" w:type="dxa"/>
          </w:tcPr>
          <w:p w14:paraId="2FFB73E3" w14:textId="05BE484D" w:rsidR="00223746" w:rsidRPr="002E73F2" w:rsidRDefault="00223746" w:rsidP="00223746">
            <w:pPr>
              <w:pStyle w:val="NormalWeb"/>
              <w:spacing w:before="0" w:beforeAutospacing="0" w:after="0" w:afterAutospacing="0"/>
              <w:rPr>
                <w:rFonts w:ascii="Arial" w:hAnsi="Arial" w:cs="Arial"/>
                <w:sz w:val="20"/>
                <w:szCs w:val="20"/>
              </w:rPr>
            </w:pPr>
            <w:r>
              <w:rPr>
                <w:rFonts w:ascii="Arial" w:hAnsi="Arial" w:cs="Arial"/>
                <w:color w:val="000000"/>
                <w:sz w:val="20"/>
                <w:szCs w:val="20"/>
              </w:rPr>
              <w:t>Faeces</w:t>
            </w:r>
          </w:p>
        </w:tc>
        <w:tc>
          <w:tcPr>
            <w:tcW w:w="1845" w:type="dxa"/>
          </w:tcPr>
          <w:p w14:paraId="5C999E42" w14:textId="1AEC8AB3" w:rsidR="00223746" w:rsidRPr="002E73F2" w:rsidRDefault="00E671D7" w:rsidP="00223746">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{"citationID":"DwFVf5J8","properties":{"formattedCitation":"\\super 46\\nosupersub{}","plainCitation":"46","noteIndex":0},"citationItems":[{"id":15932,"uris":["http://zotero.org/users/1547967/items/YALYAWPE"],"itemData":{"id":15932,"type":"webpage","title":"NASA OSDR: Open Science for Life in Space","URL":"https://osdr.nasa.gov/bio/repo/data/studies/OSD-250","accessed":{"date-parts":[["2023",5,25]]}}}],"schema":"https://github.com/citation-style-language/schema/raw/master/csl-citation.json"}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46</w:t>
            </w:r>
            <w:r>
              <w:rPr>
                <w:rFonts w:ascii="Arial" w:hAnsi="Arial" w:cs="Arial"/>
                <w:sz w:val="20"/>
                <w:szCs w:val="20"/>
              </w:rPr>
              <w:fldChar w:fldCharType="end"/>
            </w:r>
          </w:p>
        </w:tc>
        <w:tc>
          <w:tcPr>
            <w:tcW w:w="1418" w:type="dxa"/>
          </w:tcPr>
          <w:p w14:paraId="0C593F2B" w14:textId="5B02AA10" w:rsidR="00223746" w:rsidRDefault="00E671D7" w:rsidP="00223746">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{"citationID":"zv7YdYGR","properties":{"formattedCitation":"\\super 46\\nosupersub{}","plainCitation":"46","noteIndex":0},"citationItems":[{"id":15932,"uris":["http://zotero.org/users/1547967/items/YALYAWPE"],"itemData":{"id":15932,"type":"webpage","title":"NASA OSDR: Open Science for Life in Space","URL":"https://osdr.nasa.gov/bio/repo/data/studies/OSD-250","accessed":{"date-parts":[["2023",5,25]]}}}],"schema":"https://github.com/citation-style-language/schema/raw/master/csl-citation.json"}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46</w:t>
            </w:r>
            <w:r>
              <w:rPr>
                <w:rFonts w:ascii="Arial" w:hAnsi="Arial" w:cs="Arial"/>
                <w:sz w:val="20"/>
                <w:szCs w:val="20"/>
              </w:rPr>
              <w:fldChar w:fldCharType="end"/>
            </w:r>
          </w:p>
        </w:tc>
        <w:tc>
          <w:tcPr>
            <w:tcW w:w="1276" w:type="dxa"/>
          </w:tcPr>
          <w:p w14:paraId="56D90B65" w14:textId="4509F57B" w:rsidR="00223746" w:rsidRDefault="00223746" w:rsidP="00223746">
            <w:pPr>
              <w:pStyle w:val="NormalWeb"/>
              <w:spacing w:before="0" w:beforeAutospacing="0" w:after="0" w:afterAutospacing="0"/>
              <w:rPr>
                <w:rFonts w:ascii="Arial" w:hAnsi="Arial" w:cs="Arial"/>
                <w:sz w:val="20"/>
                <w:szCs w:val="20"/>
              </w:rPr>
            </w:pPr>
            <w:r w:rsidRPr="00344562">
              <w:rPr>
                <w:rFonts w:ascii="Arial" w:hAnsi="Arial" w:cs="Arial"/>
                <w:sz w:val="20"/>
                <w:szCs w:val="20"/>
              </w:rPr>
              <w:t>See “DP”</w:t>
            </w:r>
          </w:p>
        </w:tc>
        <w:tc>
          <w:tcPr>
            <w:tcW w:w="1791" w:type="dxa"/>
          </w:tcPr>
          <w:p w14:paraId="5F96F310" w14:textId="7F629768" w:rsidR="00223746" w:rsidRDefault="00223746" w:rsidP="00223746">
            <w:pPr>
              <w:pStyle w:val="NormalWeb"/>
              <w:spacing w:before="0" w:beforeAutospacing="0" w:after="0" w:afterAutospacing="0"/>
              <w:rPr>
                <w:rFonts w:ascii="Arial" w:hAnsi="Arial" w:cs="Arial"/>
                <w:color w:val="000000"/>
                <w:sz w:val="20"/>
                <w:szCs w:val="20"/>
              </w:rPr>
            </w:pPr>
            <w:r w:rsidRPr="000D7CC3">
              <w:rPr>
                <w:rFonts w:ascii="Arial" w:hAnsi="Arial" w:cs="Arial"/>
                <w:sz w:val="20"/>
                <w:szCs w:val="20"/>
              </w:rPr>
              <w:t>See “DAA”</w:t>
            </w:r>
          </w:p>
        </w:tc>
      </w:tr>
      <w:tr w:rsidR="00223746" w:rsidRPr="002E73F2" w14:paraId="0A760BB7" w14:textId="77777777" w:rsidTr="00223746">
        <w:trPr>
          <w:trHeight w:val="103"/>
        </w:trPr>
        <w:tc>
          <w:tcPr>
            <w:tcW w:w="1551" w:type="dxa"/>
          </w:tcPr>
          <w:p w14:paraId="7B111875" w14:textId="69EE0253" w:rsidR="00223746" w:rsidRPr="002E73F2" w:rsidRDefault="00223746" w:rsidP="00223746">
            <w:pPr>
              <w:pStyle w:val="NormalWeb"/>
              <w:spacing w:before="0" w:beforeAutospacing="0" w:after="0" w:afterAutospacing="0"/>
              <w:rPr>
                <w:rFonts w:ascii="Arial" w:hAnsi="Arial" w:cs="Arial"/>
                <w:sz w:val="20"/>
                <w:szCs w:val="20"/>
              </w:rPr>
            </w:pPr>
            <w:r>
              <w:rPr>
                <w:rFonts w:ascii="Arial" w:hAnsi="Arial" w:cs="Arial"/>
                <w:sz w:val="20"/>
                <w:szCs w:val="20"/>
              </w:rPr>
              <w:t>RR-10</w:t>
            </w:r>
          </w:p>
        </w:tc>
        <w:tc>
          <w:tcPr>
            <w:tcW w:w="1415" w:type="dxa"/>
          </w:tcPr>
          <w:p w14:paraId="59E43A30" w14:textId="01369C9F" w:rsidR="00223746" w:rsidRPr="002E73F2" w:rsidRDefault="00223746" w:rsidP="00223746">
            <w:pPr>
              <w:pStyle w:val="NormalWeb"/>
              <w:spacing w:before="0" w:beforeAutospacing="0" w:after="0" w:afterAutospacing="0"/>
              <w:rPr>
                <w:rFonts w:ascii="Arial" w:hAnsi="Arial" w:cs="Arial"/>
                <w:sz w:val="20"/>
                <w:szCs w:val="20"/>
              </w:rPr>
            </w:pPr>
            <w:r>
              <w:rPr>
                <w:rFonts w:ascii="Arial" w:hAnsi="Arial" w:cs="Arial"/>
                <w:color w:val="000000"/>
                <w:sz w:val="20"/>
                <w:szCs w:val="20"/>
              </w:rPr>
              <w:t>Faeces</w:t>
            </w:r>
          </w:p>
        </w:tc>
        <w:tc>
          <w:tcPr>
            <w:tcW w:w="1845" w:type="dxa"/>
          </w:tcPr>
          <w:p w14:paraId="23991CAE" w14:textId="0E9A01C7" w:rsidR="00223746" w:rsidRPr="002E73F2" w:rsidRDefault="00E671D7" w:rsidP="00223746">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{"citationID":"bUv1wnLv","properties":{"formattedCitation":"\\super 47\\nosupersub{}","plainCitation":"47","noteIndex":0},"citationItems":[{"id":15931,"uris":["http://zotero.org/users/1547967/items/9IBM5X4A"],"itemData":{"id":15931,"type":"webpage","title":"NASA OSDR: Open Science for Life in Space","URL":"https://osdr.nasa.gov/bio/repo/data/studies/OSD-466","accessed":{"date-parts":[["2023",5,25]]}}}],"schema":"https://github.com/citation-style-language/schema/raw/master/csl-citation.json"}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47</w:t>
            </w:r>
            <w:r>
              <w:rPr>
                <w:rFonts w:ascii="Arial" w:hAnsi="Arial" w:cs="Arial"/>
                <w:sz w:val="20"/>
                <w:szCs w:val="20"/>
              </w:rPr>
              <w:fldChar w:fldCharType="end"/>
            </w:r>
          </w:p>
        </w:tc>
        <w:tc>
          <w:tcPr>
            <w:tcW w:w="1418" w:type="dxa"/>
          </w:tcPr>
          <w:p w14:paraId="43EDFF80" w14:textId="510E99AC" w:rsidR="00223746" w:rsidRDefault="00E671D7" w:rsidP="00223746">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{"citationID":"32EKq0xm","properties":{"formattedCitation":"\\super 47\\nosupersub{}","plainCitation":"47","noteIndex":0},"citationItems":[{"id":15931,"uris":["http://zotero.org/users/1547967/items/9IBM5X4A"],"itemData":{"id":15931,"type":"webpage","title":"NASA OSDR: Open Science for Life in Space","URL":"https://osdr.nasa.gov/bio/repo/data/studies/OSD-466","accessed":{"date-parts":[["2023",5,25]]}}}],"schema":"https://github.com/citation-style-language/schema/raw/master/csl-citation.json"}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47</w:t>
            </w:r>
            <w:r>
              <w:rPr>
                <w:rFonts w:ascii="Arial" w:hAnsi="Arial" w:cs="Arial"/>
                <w:sz w:val="20"/>
                <w:szCs w:val="20"/>
              </w:rPr>
              <w:fldChar w:fldCharType="end"/>
            </w:r>
          </w:p>
        </w:tc>
        <w:tc>
          <w:tcPr>
            <w:tcW w:w="1276" w:type="dxa"/>
          </w:tcPr>
          <w:p w14:paraId="1C6FA57F" w14:textId="75A0D72C" w:rsidR="00223746" w:rsidRDefault="00223746" w:rsidP="00223746">
            <w:pPr>
              <w:pStyle w:val="NormalWeb"/>
              <w:spacing w:before="0" w:beforeAutospacing="0" w:after="0" w:afterAutospacing="0"/>
              <w:rPr>
                <w:rFonts w:ascii="Arial" w:hAnsi="Arial" w:cs="Arial"/>
                <w:sz w:val="20"/>
                <w:szCs w:val="20"/>
              </w:rPr>
            </w:pPr>
            <w:r w:rsidRPr="00344562">
              <w:rPr>
                <w:rFonts w:ascii="Arial" w:hAnsi="Arial" w:cs="Arial"/>
                <w:sz w:val="20"/>
                <w:szCs w:val="20"/>
              </w:rPr>
              <w:t>See “DP”</w:t>
            </w:r>
          </w:p>
        </w:tc>
        <w:tc>
          <w:tcPr>
            <w:tcW w:w="1791" w:type="dxa"/>
          </w:tcPr>
          <w:p w14:paraId="022CC45E" w14:textId="289F106B" w:rsidR="00223746" w:rsidRDefault="00223746" w:rsidP="00223746">
            <w:pPr>
              <w:pStyle w:val="NormalWeb"/>
              <w:spacing w:before="0" w:beforeAutospacing="0" w:after="0" w:afterAutospacing="0"/>
              <w:rPr>
                <w:rFonts w:ascii="Arial" w:hAnsi="Arial" w:cs="Arial"/>
                <w:color w:val="000000"/>
                <w:sz w:val="20"/>
                <w:szCs w:val="20"/>
              </w:rPr>
            </w:pPr>
            <w:r w:rsidRPr="000D7CC3">
              <w:rPr>
                <w:rFonts w:ascii="Arial" w:hAnsi="Arial" w:cs="Arial"/>
                <w:sz w:val="20"/>
                <w:szCs w:val="20"/>
              </w:rPr>
              <w:t>See “DAA”</w:t>
            </w:r>
          </w:p>
        </w:tc>
      </w:tr>
      <w:tr w:rsidR="00223746" w:rsidRPr="002E73F2" w14:paraId="6EA9089A" w14:textId="77777777" w:rsidTr="00223746">
        <w:trPr>
          <w:trHeight w:val="103"/>
        </w:trPr>
        <w:tc>
          <w:tcPr>
            <w:tcW w:w="1551" w:type="dxa"/>
          </w:tcPr>
          <w:p w14:paraId="0076B504" w14:textId="78888358" w:rsidR="00223746" w:rsidRPr="002E73F2" w:rsidRDefault="00223746" w:rsidP="00223746">
            <w:pPr>
              <w:pStyle w:val="NormalWeb"/>
              <w:spacing w:before="0" w:beforeAutospacing="0" w:after="0" w:afterAutospacing="0"/>
              <w:rPr>
                <w:rFonts w:ascii="Arial" w:hAnsi="Arial" w:cs="Arial"/>
                <w:sz w:val="20"/>
                <w:szCs w:val="20"/>
              </w:rPr>
            </w:pPr>
            <w:r>
              <w:rPr>
                <w:rFonts w:ascii="Arial" w:hAnsi="Arial" w:cs="Arial"/>
                <w:sz w:val="20"/>
                <w:szCs w:val="20"/>
              </w:rPr>
              <w:t>RR-23</w:t>
            </w:r>
          </w:p>
        </w:tc>
        <w:tc>
          <w:tcPr>
            <w:tcW w:w="1415" w:type="dxa"/>
          </w:tcPr>
          <w:p w14:paraId="650AFE58" w14:textId="5F5F9A65" w:rsidR="00223746" w:rsidRPr="002E73F2" w:rsidRDefault="00223746" w:rsidP="00223746">
            <w:pPr>
              <w:pStyle w:val="NormalWeb"/>
              <w:spacing w:before="0" w:beforeAutospacing="0" w:after="0" w:afterAutospacing="0"/>
              <w:rPr>
                <w:rFonts w:ascii="Arial" w:hAnsi="Arial" w:cs="Arial"/>
                <w:sz w:val="20"/>
                <w:szCs w:val="20"/>
              </w:rPr>
            </w:pPr>
            <w:r>
              <w:rPr>
                <w:rFonts w:ascii="Arial" w:hAnsi="Arial" w:cs="Arial"/>
                <w:color w:val="000000"/>
                <w:sz w:val="20"/>
                <w:szCs w:val="20"/>
              </w:rPr>
              <w:t>Faeces</w:t>
            </w:r>
          </w:p>
        </w:tc>
        <w:tc>
          <w:tcPr>
            <w:tcW w:w="1845" w:type="dxa"/>
          </w:tcPr>
          <w:p w14:paraId="71CC5008" w14:textId="5FF719E0" w:rsidR="00223746" w:rsidRPr="002E73F2" w:rsidRDefault="00E671D7" w:rsidP="00223746">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{"citationID":"1jAg3y7F","properties":{"formattedCitation":"\\super 48\\nosupersub{}","plainCitation":"48","noteIndex":0},"citationItems":[{"id":15930,"uris":["http://zotero.org/users/1547967/items/F8KGZZIC"],"itemData":{"id":15930,"type":"webpage","title":"NASA OSDR: Open Science for Life in Space","URL":"https://osdr.nasa.gov/bio/repo/data/studies/OSD-465","accessed":{"date-parts":[["2023",5,25]]}}}],"schema":"https://github.com/citation-style-language/schema/raw/master/csl-citation.json"}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48</w:t>
            </w:r>
            <w:r>
              <w:rPr>
                <w:rFonts w:ascii="Arial" w:hAnsi="Arial" w:cs="Arial"/>
                <w:sz w:val="20"/>
                <w:szCs w:val="20"/>
              </w:rPr>
              <w:fldChar w:fldCharType="end"/>
            </w:r>
          </w:p>
        </w:tc>
        <w:tc>
          <w:tcPr>
            <w:tcW w:w="1418" w:type="dxa"/>
          </w:tcPr>
          <w:p w14:paraId="462734F2" w14:textId="1BC1A8C5" w:rsidR="00223746" w:rsidRDefault="00E671D7" w:rsidP="00223746">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{"citationID":"KZHBg6aM","properties":{"formattedCitation":"\\super 48\\nosupersub{}","plainCitation":"48","noteIndex":0},"citationItems":[{"id":15930,"uris":["http://zotero.org/users/1547967/items/F8KGZZIC"],"itemData":{"id":15930,"type":"webpage","title":"NASA OSDR: Open Science for Life in Space","URL":"https://osdr.nasa.gov/bio/repo/data/studies/OSD-465","accessed":{"date-parts":[["2023",5,25]]}}}],"schema":"https://github.com/citation-style-language/schema/raw/master/csl-citation.json"}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48</w:t>
            </w:r>
            <w:r>
              <w:rPr>
                <w:rFonts w:ascii="Arial" w:hAnsi="Arial" w:cs="Arial"/>
                <w:sz w:val="20"/>
                <w:szCs w:val="20"/>
              </w:rPr>
              <w:fldChar w:fldCharType="end"/>
            </w:r>
          </w:p>
        </w:tc>
        <w:tc>
          <w:tcPr>
            <w:tcW w:w="1276" w:type="dxa"/>
          </w:tcPr>
          <w:p w14:paraId="6927136F" w14:textId="5E193AEC" w:rsidR="00223746" w:rsidRDefault="00223746" w:rsidP="00223746">
            <w:pPr>
              <w:pStyle w:val="NormalWeb"/>
              <w:spacing w:before="0" w:beforeAutospacing="0" w:after="0" w:afterAutospacing="0"/>
              <w:rPr>
                <w:rFonts w:ascii="Arial" w:hAnsi="Arial" w:cs="Arial"/>
                <w:sz w:val="20"/>
                <w:szCs w:val="20"/>
              </w:rPr>
            </w:pPr>
            <w:r w:rsidRPr="00344562">
              <w:rPr>
                <w:rFonts w:ascii="Arial" w:hAnsi="Arial" w:cs="Arial"/>
                <w:sz w:val="20"/>
                <w:szCs w:val="20"/>
              </w:rPr>
              <w:t>See “DP”</w:t>
            </w:r>
          </w:p>
        </w:tc>
        <w:tc>
          <w:tcPr>
            <w:tcW w:w="1791" w:type="dxa"/>
          </w:tcPr>
          <w:p w14:paraId="1B217C44" w14:textId="7E7EC8F9" w:rsidR="00223746" w:rsidRDefault="00223746" w:rsidP="00223746">
            <w:pPr>
              <w:pStyle w:val="NormalWeb"/>
              <w:spacing w:before="0" w:beforeAutospacing="0" w:after="0" w:afterAutospacing="0"/>
              <w:rPr>
                <w:rFonts w:ascii="Arial" w:hAnsi="Arial" w:cs="Arial"/>
                <w:color w:val="000000"/>
                <w:sz w:val="20"/>
                <w:szCs w:val="20"/>
              </w:rPr>
            </w:pPr>
            <w:r w:rsidRPr="000D7CC3">
              <w:rPr>
                <w:rFonts w:ascii="Arial" w:hAnsi="Arial" w:cs="Arial"/>
                <w:sz w:val="20"/>
                <w:szCs w:val="20"/>
              </w:rPr>
              <w:t>See “DAA”</w:t>
            </w:r>
          </w:p>
        </w:tc>
      </w:tr>
    </w:tbl>
    <w:p w14:paraId="65BBFC38" w14:textId="77777777" w:rsidR="00054BB9" w:rsidRDefault="00054BB9" w:rsidP="00054BB9">
      <w:pPr>
        <w:pStyle w:val="NormalWeb"/>
        <w:spacing w:before="240" w:after="240" w:line="480" w:lineRule="auto"/>
        <w:ind w:left="-280"/>
        <w:jc w:val="both"/>
        <w:rPr>
          <w:rFonts w:ascii="Arial" w:hAnsi="Arial" w:cs="Arial"/>
          <w:color w:val="000000"/>
          <w:sz w:val="22"/>
          <w:szCs w:val="22"/>
        </w:rPr>
      </w:pPr>
    </w:p>
    <w:p w14:paraId="09EE6EF7" w14:textId="77777777" w:rsidR="00E2589A" w:rsidRPr="009C25E3" w:rsidRDefault="00E2589A" w:rsidP="00E2589A">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16S rRNA gene amplicon sequencing</w:t>
      </w:r>
    </w:p>
    <w:tbl>
      <w:tblPr>
        <w:tblStyle w:val="TableGrid"/>
        <w:tblW w:w="9296" w:type="dxa"/>
        <w:tblInd w:w="-280" w:type="dxa"/>
        <w:tblLook w:val="04A0" w:firstRow="1" w:lastRow="0" w:firstColumn="1" w:lastColumn="0" w:noHBand="0" w:noVBand="1"/>
      </w:tblPr>
      <w:tblGrid>
        <w:gridCol w:w="1551"/>
        <w:gridCol w:w="1415"/>
        <w:gridCol w:w="1845"/>
        <w:gridCol w:w="1418"/>
        <w:gridCol w:w="1276"/>
        <w:gridCol w:w="1791"/>
      </w:tblGrid>
      <w:tr w:rsidR="00E2589A" w:rsidRPr="002E73F2" w14:paraId="48DEBF86" w14:textId="77777777" w:rsidTr="004821F9">
        <w:trPr>
          <w:trHeight w:val="103"/>
        </w:trPr>
        <w:tc>
          <w:tcPr>
            <w:tcW w:w="1551" w:type="dxa"/>
          </w:tcPr>
          <w:p w14:paraId="1E97C648" w14:textId="77777777" w:rsidR="00E2589A" w:rsidRPr="002E73F2" w:rsidRDefault="00E2589A"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lastRenderedPageBreak/>
              <w:t>Cohort</w:t>
            </w:r>
          </w:p>
        </w:tc>
        <w:tc>
          <w:tcPr>
            <w:tcW w:w="1415" w:type="dxa"/>
          </w:tcPr>
          <w:p w14:paraId="3F9E7415" w14:textId="77777777" w:rsidR="00E2589A" w:rsidRPr="002E73F2" w:rsidRDefault="00E2589A"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Specimen</w:t>
            </w:r>
          </w:p>
        </w:tc>
        <w:tc>
          <w:tcPr>
            <w:tcW w:w="1845" w:type="dxa"/>
          </w:tcPr>
          <w:p w14:paraId="3CD810F6" w14:textId="77777777" w:rsidR="00E2589A" w:rsidRPr="002E73F2" w:rsidRDefault="00E2589A"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Experiment</w:t>
            </w:r>
          </w:p>
        </w:tc>
        <w:tc>
          <w:tcPr>
            <w:tcW w:w="1418" w:type="dxa"/>
          </w:tcPr>
          <w:p w14:paraId="480F8435" w14:textId="77777777" w:rsidR="00E2589A" w:rsidRPr="002E73F2" w:rsidRDefault="00E2589A"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Raw Data</w:t>
            </w:r>
          </w:p>
        </w:tc>
        <w:tc>
          <w:tcPr>
            <w:tcW w:w="1276" w:type="dxa"/>
          </w:tcPr>
          <w:p w14:paraId="164FD31A" w14:textId="77777777" w:rsidR="00E2589A" w:rsidRPr="002E73F2" w:rsidRDefault="00E2589A" w:rsidP="004821F9">
            <w:pPr>
              <w:pStyle w:val="NormalWeb"/>
              <w:spacing w:before="0" w:beforeAutospacing="0" w:after="0" w:afterAutospacing="0"/>
              <w:rPr>
                <w:rFonts w:ascii="Arial" w:hAnsi="Arial" w:cs="Arial"/>
                <w:b/>
                <w:bCs/>
                <w:sz w:val="20"/>
                <w:szCs w:val="20"/>
              </w:rPr>
            </w:pPr>
            <w:r>
              <w:rPr>
                <w:rFonts w:ascii="Arial" w:hAnsi="Arial" w:cs="Arial"/>
                <w:b/>
                <w:bCs/>
                <w:sz w:val="20"/>
                <w:szCs w:val="20"/>
              </w:rPr>
              <w:t>Processed</w:t>
            </w:r>
          </w:p>
        </w:tc>
        <w:tc>
          <w:tcPr>
            <w:tcW w:w="1791" w:type="dxa"/>
          </w:tcPr>
          <w:p w14:paraId="0F624ADD" w14:textId="77777777" w:rsidR="00E2589A" w:rsidRPr="002E73F2" w:rsidRDefault="00E2589A" w:rsidP="004821F9">
            <w:pPr>
              <w:pStyle w:val="NormalWeb"/>
              <w:spacing w:before="0" w:beforeAutospacing="0" w:after="0" w:afterAutospacing="0"/>
              <w:rPr>
                <w:rFonts w:ascii="Arial" w:hAnsi="Arial" w:cs="Arial"/>
                <w:b/>
                <w:bCs/>
                <w:color w:val="000000"/>
                <w:sz w:val="20"/>
                <w:szCs w:val="20"/>
              </w:rPr>
            </w:pPr>
            <w:r w:rsidRPr="002E73F2">
              <w:rPr>
                <w:rFonts w:ascii="Arial" w:hAnsi="Arial" w:cs="Arial"/>
                <w:b/>
                <w:bCs/>
                <w:sz w:val="20"/>
                <w:szCs w:val="20"/>
              </w:rPr>
              <w:t>Analysis</w:t>
            </w:r>
          </w:p>
        </w:tc>
      </w:tr>
      <w:tr w:rsidR="00E2589A" w:rsidRPr="002E73F2" w14:paraId="32CE0647" w14:textId="77777777" w:rsidTr="004821F9">
        <w:trPr>
          <w:trHeight w:val="103"/>
        </w:trPr>
        <w:tc>
          <w:tcPr>
            <w:tcW w:w="1551" w:type="dxa"/>
          </w:tcPr>
          <w:p w14:paraId="24665D36" w14:textId="6F81E539" w:rsidR="00E2589A" w:rsidRPr="002E73F2" w:rsidRDefault="00E2589A"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RR-1</w:t>
            </w:r>
          </w:p>
        </w:tc>
        <w:tc>
          <w:tcPr>
            <w:tcW w:w="1415" w:type="dxa"/>
          </w:tcPr>
          <w:p w14:paraId="061298D1" w14:textId="77777777" w:rsidR="00E2589A" w:rsidRPr="002E73F2" w:rsidRDefault="00E2589A"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t>Faeces</w:t>
            </w:r>
          </w:p>
        </w:tc>
        <w:tc>
          <w:tcPr>
            <w:tcW w:w="1845" w:type="dxa"/>
          </w:tcPr>
          <w:p w14:paraId="127D463F" w14:textId="7058F637" w:rsidR="00E2589A" w:rsidRPr="002E73F2" w:rsidRDefault="00E671D7"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DE0227">
              <w:rPr>
                <w:rFonts w:ascii="Arial" w:hAnsi="Arial" w:cs="Arial"/>
                <w:color w:val="000000"/>
                <w:sz w:val="20"/>
                <w:szCs w:val="20"/>
              </w:rPr>
              <w:instrText xml:space="preserve"> ADDIN ZOTERO_ITEM CSL_CITATION {"citationID":"XaFdfH4h","properties":{"formattedCitation":"\\super 49\\nosupersub{}","plainCitation":"49","noteIndex":0},"citationItems":[{"id":15929,"uris":["http://zotero.org/users/1547967/items/HN92S6ZX"],"itemData":{"id":15929,"type":"article-journal","abstract":"Space environment imposes a range of challenges to mammalian physiology and the gut microbiota, and interactions between the two are thought to be important in mammalian health in space. While previous findings have demonstrated a change in the gut microbial community structure during spaceflight, specific environmental factors that alter the gut microbiome and the functional relevance of the microbiome changes during spaceflight remain elusive.","container-title":"Microbiome","DOI":"10.1186/s40168-019-0724-4","ISSN":"2049-2618","issue":"1","journalAbbreviation":"Microbiome","page":"113","source":"BioMed Central","title":"Reproducible changes in the gut microbiome suggest a shift in microbial and host metabolism during spaceflight","volume":"7","author":[{"family":"Jiang","given":"Peng"},{"family":"Green","given":"Stefan J."},{"family":"Chlipala","given":"George E."},{"family":"Turek","given":"Fred W."},{"family":"Vitaterna","given":"Martha Hotz"}],"issued":{"date-parts":[["2019",8,9]]}}}],"schema":"https://github.com/citation-style-language/schema/raw/master/csl-citation.json"} </w:instrText>
            </w:r>
            <w:r>
              <w:rPr>
                <w:rFonts w:ascii="Arial" w:hAnsi="Arial" w:cs="Arial"/>
                <w:color w:val="000000"/>
                <w:sz w:val="20"/>
                <w:szCs w:val="20"/>
              </w:rPr>
              <w:fldChar w:fldCharType="separate"/>
            </w:r>
            <w:r w:rsidR="00DE0227" w:rsidRPr="00DE0227">
              <w:rPr>
                <w:rFonts w:ascii="Arial" w:hAnsi="Arial" w:cs="Arial"/>
                <w:sz w:val="20"/>
                <w:vertAlign w:val="superscript"/>
              </w:rPr>
              <w:t>49</w:t>
            </w:r>
            <w:r>
              <w:rPr>
                <w:rFonts w:ascii="Arial" w:hAnsi="Arial" w:cs="Arial"/>
                <w:color w:val="000000"/>
                <w:sz w:val="20"/>
                <w:szCs w:val="20"/>
              </w:rPr>
              <w:fldChar w:fldCharType="end"/>
            </w:r>
          </w:p>
        </w:tc>
        <w:tc>
          <w:tcPr>
            <w:tcW w:w="1418" w:type="dxa"/>
          </w:tcPr>
          <w:p w14:paraId="6AFC9AD4" w14:textId="27A1AD9B" w:rsidR="00E2589A" w:rsidRPr="002E73F2" w:rsidRDefault="00E671D7"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DE0227">
              <w:rPr>
                <w:rFonts w:ascii="Arial" w:hAnsi="Arial" w:cs="Arial"/>
                <w:color w:val="000000"/>
                <w:sz w:val="20"/>
                <w:szCs w:val="20"/>
              </w:rPr>
              <w:instrText xml:space="preserve"> ADDIN ZOTERO_ITEM CSL_CITATION {"citationID":"0KuN5ogH","properties":{"formattedCitation":"\\super 50\\nosupersub{}","plainCitation":"50","noteIndex":0},"citationItems":[{"id":15928,"uris":["http://zotero.org/users/1547967/items/5T8KWD2R"],"itemData":{"id":15928,"type":"webpage","title":"NASA OSDR: Open Science for Life in Space","URL":"https://osdr.nasa.gov/bio/repo/data/studies/OSD-212","accessed":{"date-parts":[["2023",5,25]]}}}],"schema":"https://github.com/citation-style-language/schema/raw/master/csl-citation.json"} </w:instrText>
            </w:r>
            <w:r>
              <w:rPr>
                <w:rFonts w:ascii="Arial" w:hAnsi="Arial" w:cs="Arial"/>
                <w:color w:val="000000"/>
                <w:sz w:val="20"/>
                <w:szCs w:val="20"/>
              </w:rPr>
              <w:fldChar w:fldCharType="separate"/>
            </w:r>
            <w:r w:rsidR="00DE0227" w:rsidRPr="00DE0227">
              <w:rPr>
                <w:rFonts w:ascii="Arial" w:hAnsi="Arial" w:cs="Arial"/>
                <w:sz w:val="20"/>
                <w:vertAlign w:val="superscript"/>
              </w:rPr>
              <w:t>50</w:t>
            </w:r>
            <w:r>
              <w:rPr>
                <w:rFonts w:ascii="Arial" w:hAnsi="Arial" w:cs="Arial"/>
                <w:color w:val="000000"/>
                <w:sz w:val="20"/>
                <w:szCs w:val="20"/>
              </w:rPr>
              <w:fldChar w:fldCharType="end"/>
            </w:r>
          </w:p>
        </w:tc>
        <w:tc>
          <w:tcPr>
            <w:tcW w:w="1276" w:type="dxa"/>
          </w:tcPr>
          <w:p w14:paraId="77CC9CD7" w14:textId="379A071C" w:rsidR="00E2589A" w:rsidRPr="002E73F2" w:rsidRDefault="00E671D7" w:rsidP="004821F9">
            <w:pPr>
              <w:pStyle w:val="NormalWeb"/>
              <w:spacing w:before="0" w:beforeAutospacing="0" w:after="0" w:afterAutospacing="0"/>
              <w:rPr>
                <w:rFonts w:ascii="Arial" w:hAnsi="Arial" w:cs="Arial"/>
                <w:sz w:val="20"/>
                <w:szCs w:val="20"/>
              </w:rPr>
            </w:pPr>
            <w:r>
              <w:rPr>
                <w:rFonts w:ascii="Arial" w:hAnsi="Arial" w:cs="Arial"/>
                <w:color w:val="000000"/>
                <w:sz w:val="20"/>
                <w:szCs w:val="20"/>
              </w:rPr>
              <w:fldChar w:fldCharType="begin"/>
            </w:r>
            <w:r w:rsidR="00DE0227">
              <w:rPr>
                <w:rFonts w:ascii="Arial" w:hAnsi="Arial" w:cs="Arial"/>
                <w:color w:val="000000"/>
                <w:sz w:val="20"/>
                <w:szCs w:val="20"/>
              </w:rPr>
              <w:instrText xml:space="preserve"> ADDIN ZOTERO_ITEM CSL_CITATION {"citationID":"1e5zgKVf","properties":{"formattedCitation":"\\super 49\\nosupersub{}","plainCitation":"49","noteIndex":0},"citationItems":[{"id":15929,"uris":["http://zotero.org/users/1547967/items/HN92S6ZX"],"itemData":{"id":15929,"type":"article-journal","abstract":"Space environment imposes a range of challenges to mammalian physiology and the gut microbiota, and interactions between the two are thought to be important in mammalian health in space. While previous findings have demonstrated a change in the gut microbial community structure during spaceflight, specific environmental factors that alter the gut microbiome and the functional relevance of the microbiome changes during spaceflight remain elusive.","container-title":"Microbiome","DOI":"10.1186/s40168-019-0724-4","ISSN":"2049-2618","issue":"1","journalAbbreviation":"Microbiome","page":"113","source":"BioMed Central","title":"Reproducible changes in the gut microbiome suggest a shift in microbial and host metabolism during spaceflight","volume":"7","author":[{"family":"Jiang","given":"Peng"},{"family":"Green","given":"Stefan J."},{"family":"Chlipala","given":"George E."},{"family":"Turek","given":"Fred W."},{"family":"Vitaterna","given":"Martha Hotz"}],"issued":{"date-parts":[["2019",8,9]]}}}],"schema":"https://github.com/citation-style-language/schema/raw/master/csl-citation.json"} </w:instrText>
            </w:r>
            <w:r>
              <w:rPr>
                <w:rFonts w:ascii="Arial" w:hAnsi="Arial" w:cs="Arial"/>
                <w:color w:val="000000"/>
                <w:sz w:val="20"/>
                <w:szCs w:val="20"/>
              </w:rPr>
              <w:fldChar w:fldCharType="separate"/>
            </w:r>
            <w:r w:rsidR="00DE0227" w:rsidRPr="00DE0227">
              <w:rPr>
                <w:rFonts w:ascii="Arial" w:hAnsi="Arial" w:cs="Arial"/>
                <w:sz w:val="20"/>
                <w:vertAlign w:val="superscript"/>
              </w:rPr>
              <w:t>49</w:t>
            </w:r>
            <w:r>
              <w:rPr>
                <w:rFonts w:ascii="Arial" w:hAnsi="Arial" w:cs="Arial"/>
                <w:color w:val="000000"/>
                <w:sz w:val="20"/>
                <w:szCs w:val="20"/>
              </w:rPr>
              <w:fldChar w:fldCharType="end"/>
            </w:r>
          </w:p>
        </w:tc>
        <w:tc>
          <w:tcPr>
            <w:tcW w:w="1791" w:type="dxa"/>
          </w:tcPr>
          <w:p w14:paraId="7FA9DE9C" w14:textId="08372096" w:rsidR="00E2589A" w:rsidRPr="002E73F2" w:rsidRDefault="00E671D7"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DE0227">
              <w:rPr>
                <w:rFonts w:ascii="Arial" w:hAnsi="Arial" w:cs="Arial"/>
                <w:color w:val="000000"/>
                <w:sz w:val="20"/>
                <w:szCs w:val="20"/>
              </w:rPr>
              <w:instrText xml:space="preserve"> ADDIN ZOTERO_ITEM CSL_CITATION {"citationID":"MM24Jcjt","properties":{"formattedCitation":"\\super 49\\nosupersub{}","plainCitation":"49","noteIndex":0},"citationItems":[{"id":15929,"uris":["http://zotero.org/users/1547967/items/HN92S6ZX"],"itemData":{"id":15929,"type":"article-journal","abstract":"Space environment imposes a range of challenges to mammalian physiology and the gut microbiota, and interactions between the two are thought to be important in mammalian health in space. While previous findings have demonstrated a change in the gut microbial community structure during spaceflight, specific environmental factors that alter the gut microbiome and the functional relevance of the microbiome changes during spaceflight remain elusive.","container-title":"Microbiome","DOI":"10.1186/s40168-019-0724-4","ISSN":"2049-2618","issue":"1","journalAbbreviation":"Microbiome","page":"113","source":"BioMed Central","title":"Reproducible changes in the gut microbiome suggest a shift in microbial and host metabolism during spaceflight","volume":"7","author":[{"family":"Jiang","given":"Peng"},{"family":"Green","given":"Stefan J."},{"family":"Chlipala","given":"George E."},{"family":"Turek","given":"Fred W."},{"family":"Vitaterna","given":"Martha Hotz"}],"issued":{"date-parts":[["2019",8,9]]}}}],"schema":"https://github.com/citation-style-language/schema/raw/master/csl-citation.json"} </w:instrText>
            </w:r>
            <w:r>
              <w:rPr>
                <w:rFonts w:ascii="Arial" w:hAnsi="Arial" w:cs="Arial"/>
                <w:color w:val="000000"/>
                <w:sz w:val="20"/>
                <w:szCs w:val="20"/>
              </w:rPr>
              <w:fldChar w:fldCharType="separate"/>
            </w:r>
            <w:r w:rsidR="00DE0227" w:rsidRPr="00DE0227">
              <w:rPr>
                <w:rFonts w:ascii="Arial" w:hAnsi="Arial" w:cs="Arial"/>
                <w:sz w:val="20"/>
                <w:vertAlign w:val="superscript"/>
              </w:rPr>
              <w:t>49</w:t>
            </w:r>
            <w:r>
              <w:rPr>
                <w:rFonts w:ascii="Arial" w:hAnsi="Arial" w:cs="Arial"/>
                <w:color w:val="000000"/>
                <w:sz w:val="20"/>
                <w:szCs w:val="20"/>
              </w:rPr>
              <w:fldChar w:fldCharType="end"/>
            </w:r>
          </w:p>
        </w:tc>
      </w:tr>
      <w:tr w:rsidR="00E2589A" w:rsidRPr="002E73F2" w14:paraId="0B8D368E" w14:textId="77777777" w:rsidTr="004821F9">
        <w:trPr>
          <w:trHeight w:val="103"/>
        </w:trPr>
        <w:tc>
          <w:tcPr>
            <w:tcW w:w="1551" w:type="dxa"/>
          </w:tcPr>
          <w:p w14:paraId="24D39229" w14:textId="36F2B56A" w:rsidR="00E2589A" w:rsidRPr="002E73F2" w:rsidRDefault="00E2589A" w:rsidP="004821F9">
            <w:pPr>
              <w:pStyle w:val="NormalWeb"/>
              <w:spacing w:before="0" w:beforeAutospacing="0" w:after="0" w:afterAutospacing="0"/>
              <w:rPr>
                <w:rFonts w:ascii="Arial" w:hAnsi="Arial" w:cs="Arial"/>
                <w:sz w:val="20"/>
                <w:szCs w:val="20"/>
              </w:rPr>
            </w:pPr>
            <w:r>
              <w:rPr>
                <w:rFonts w:ascii="Arial" w:hAnsi="Arial" w:cs="Arial"/>
                <w:sz w:val="20"/>
                <w:szCs w:val="20"/>
              </w:rPr>
              <w:t>STS-1</w:t>
            </w:r>
            <w:r w:rsidR="00697564">
              <w:rPr>
                <w:rFonts w:ascii="Arial" w:hAnsi="Arial" w:cs="Arial"/>
                <w:sz w:val="20"/>
                <w:szCs w:val="20"/>
              </w:rPr>
              <w:t>3</w:t>
            </w:r>
            <w:r>
              <w:rPr>
                <w:rFonts w:ascii="Arial" w:hAnsi="Arial" w:cs="Arial"/>
                <w:sz w:val="20"/>
                <w:szCs w:val="20"/>
              </w:rPr>
              <w:t>5</w:t>
            </w:r>
          </w:p>
        </w:tc>
        <w:tc>
          <w:tcPr>
            <w:tcW w:w="1415" w:type="dxa"/>
          </w:tcPr>
          <w:p w14:paraId="639AE37E" w14:textId="77777777" w:rsidR="00E2589A" w:rsidRPr="002E73F2" w:rsidRDefault="00E2589A" w:rsidP="004821F9">
            <w:pPr>
              <w:pStyle w:val="NormalWeb"/>
              <w:spacing w:before="0" w:beforeAutospacing="0" w:after="0" w:afterAutospacing="0"/>
              <w:rPr>
                <w:rFonts w:ascii="Arial" w:hAnsi="Arial" w:cs="Arial"/>
                <w:sz w:val="20"/>
                <w:szCs w:val="20"/>
              </w:rPr>
            </w:pPr>
            <w:r>
              <w:rPr>
                <w:rFonts w:ascii="Arial" w:hAnsi="Arial" w:cs="Arial"/>
                <w:color w:val="000000"/>
                <w:sz w:val="20"/>
                <w:szCs w:val="20"/>
              </w:rPr>
              <w:t>Faeces</w:t>
            </w:r>
          </w:p>
        </w:tc>
        <w:tc>
          <w:tcPr>
            <w:tcW w:w="1845" w:type="dxa"/>
          </w:tcPr>
          <w:p w14:paraId="4816463E" w14:textId="4A618F09" w:rsidR="00E2589A" w:rsidRPr="002E73F2" w:rsidRDefault="00E671D7" w:rsidP="00E671D7">
            <w:pPr>
              <w:pStyle w:val="NormalWeb"/>
              <w:tabs>
                <w:tab w:val="center" w:pos="814"/>
              </w:tabs>
              <w:spacing w:before="0" w:beforeAutospacing="0" w:after="0" w:afterAutospacing="0"/>
              <w:rPr>
                <w:rFonts w:ascii="Arial" w:hAnsi="Arial" w:cs="Arial"/>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{"citationID":"F0DLS6Ir","properties":{"formattedCitation":"\\super 51\\nosupersub{}","plainCitation":"51","noteIndex":0},"citationItems":[{"id":15927,"uris":["http://zotero.org/users/1547967/items/6FH4Z2XP"],"itemData":{"id":15927,"type":"article-journal","abstract":"Astronaut intestinal health may be impacted by microgravity, radiation, and diet. The aim of this study was to characterize how high and low linear energy transfer (LET) radiation, microgravity, and elevated dietary iron affect colon microbiota (determined by 16S rDNA pyrosequencing) and colon function. Three independent experiments were conducted to achieve these goals: 1) fractionated low LET γ radiation (137Cs, 3 Gy, RAD), high Fe diet (IRON) (650 mg/kg diet), and a combination of low LET γ radiation and high Fe diet (IRON+RAD) in male Sprague-Dawley rats; 2) high LET 38Si particle exposure (0.050 Gy), 1/6 G partial weight bearing (PWB), and a combination of high LET38Si particle exposure and PWB in female BalbC/ByJ mice; and 3) 13 d spaceflight in female C57BL/6 mice. Low LET radiation, IRON and spaceflight increased Bacteroidetes and decreased Firmicutes. RAD and IRON+RAD increased Lactobacillales and lowered Clostridiales compared to the control (CON) and IRON treatments. Low LET radiation, IRON, and spaceflight did not significantly affect diversity or richness, or elevate pathogenic genera. Spaceflight increased Clostridiales and decreased Lactobacillales, and similar trends were observed in the experiment using a ground-based model of microgravity, suggesting altered gravity may affect colonic microbiota. Although we noted no differences in colon epithelial injury or inflammation, spaceflight elevated TGFβ gene expression. Microbiota and mucosal characterization in these models is a first step in understanding the impact of the space environment on intestinal health.","container-title":"PLOS ONE","DOI":"10.1371/journal.pone.0125792","ISSN":"1932-6203","issue":"6","journalAbbreviation":"PLOS ONE","language":"en","note":"publisher: Public Library of Science","page":"e0125792","source":"PLoS Journals","title":"Space Environmental Factor Impacts upon Murine Colon Microbiota and Mucosal Homeostasis","volume":"10","author":[{"family":"Ritchie","given":"Lauren E."},{"family":"Taddeo","given":"Stella S."},{"family":"Weeks","given":"Brad R."},{"family":"Lima","given":"Florence"},{"family":"Bloomfield","given":"Susan A."},{"family":"Azcarate-Peril","given":"M. Andrea"},{"family":"Zwart","given":"Sara R."},{"family":"Smith","given":"Scott M."},{"family":"Turner","given":"Nancy D."}],"issued":{"date-parts":[["2015",6,17]]}}}],"schema":"https://github.com/citation-style-language/schema/raw/master/csl-citation.json"}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51</w:t>
            </w:r>
            <w:r>
              <w:rPr>
                <w:rFonts w:ascii="Arial" w:hAnsi="Arial" w:cs="Arial"/>
                <w:sz w:val="20"/>
                <w:szCs w:val="20"/>
              </w:rPr>
              <w:fldChar w:fldCharType="end"/>
            </w:r>
            <w:r>
              <w:rPr>
                <w:rFonts w:ascii="Arial" w:hAnsi="Arial" w:cs="Arial"/>
                <w:sz w:val="20"/>
                <w:szCs w:val="20"/>
              </w:rPr>
              <w:tab/>
            </w:r>
          </w:p>
        </w:tc>
        <w:tc>
          <w:tcPr>
            <w:tcW w:w="1418" w:type="dxa"/>
          </w:tcPr>
          <w:p w14:paraId="1991A0D4" w14:textId="24F29679" w:rsidR="00E2589A" w:rsidRDefault="00322FAB" w:rsidP="004821F9">
            <w:pPr>
              <w:pStyle w:val="NormalWeb"/>
              <w:spacing w:before="0" w:beforeAutospacing="0" w:after="0" w:afterAutospacing="0"/>
              <w:rPr>
                <w:rFonts w:ascii="Arial" w:hAnsi="Arial" w:cs="Arial"/>
                <w:color w:val="000000"/>
                <w:sz w:val="20"/>
                <w:szCs w:val="20"/>
              </w:rPr>
            </w:pPr>
            <w:r>
              <w:rPr>
                <w:rFonts w:ascii="Arial" w:hAnsi="Arial" w:cs="Arial"/>
                <w:color w:val="000000"/>
                <w:sz w:val="20"/>
                <w:szCs w:val="20"/>
              </w:rPr>
              <w:fldChar w:fldCharType="begin"/>
            </w:r>
            <w:r w:rsidR="00DE0227">
              <w:rPr>
                <w:rFonts w:ascii="Arial" w:hAnsi="Arial" w:cs="Arial"/>
                <w:color w:val="000000"/>
                <w:sz w:val="20"/>
                <w:szCs w:val="20"/>
              </w:rPr>
              <w:instrText xml:space="preserve"> ADDIN ZOTERO_ITEM CSL_CITATION {"citationID":"HwFW56Vc","properties":{"formattedCitation":"\\super 52\\nosupersub{}","plainCitation":"52","noteIndex":0},"citationItems":[{"id":15926,"uris":["http://zotero.org/users/1547967/items/SLTL5Y2E"],"itemData":{"id":15926,"type":"webpage","title":"NASA OSDR: Open Science for Life in Space","URL":"https://osdr.nasa.gov/bio/repo/data/studies/OSD-72","accessed":{"date-parts":[["2023",5,25]]}}}],"schema":"https://github.com/citation-style-language/schema/raw/master/csl-citation.json"} </w:instrText>
            </w:r>
            <w:r>
              <w:rPr>
                <w:rFonts w:ascii="Arial" w:hAnsi="Arial" w:cs="Arial"/>
                <w:color w:val="000000"/>
                <w:sz w:val="20"/>
                <w:szCs w:val="20"/>
              </w:rPr>
              <w:fldChar w:fldCharType="separate"/>
            </w:r>
            <w:r w:rsidR="00DE0227" w:rsidRPr="00DE0227">
              <w:rPr>
                <w:rFonts w:ascii="Arial" w:hAnsi="Arial" w:cs="Arial"/>
                <w:sz w:val="20"/>
                <w:vertAlign w:val="superscript"/>
              </w:rPr>
              <w:t>52</w:t>
            </w:r>
            <w:r>
              <w:rPr>
                <w:rFonts w:ascii="Arial" w:hAnsi="Arial" w:cs="Arial"/>
                <w:color w:val="000000"/>
                <w:sz w:val="20"/>
                <w:szCs w:val="20"/>
              </w:rPr>
              <w:fldChar w:fldCharType="end"/>
            </w:r>
          </w:p>
        </w:tc>
        <w:tc>
          <w:tcPr>
            <w:tcW w:w="1276" w:type="dxa"/>
          </w:tcPr>
          <w:p w14:paraId="02D39280" w14:textId="75A67867" w:rsidR="00E2589A" w:rsidRDefault="00E671D7" w:rsidP="004821F9">
            <w:pPr>
              <w:pStyle w:val="NormalWeb"/>
              <w:spacing w:before="0" w:beforeAutospacing="0" w:after="0" w:afterAutospacing="0"/>
              <w:rPr>
                <w:rFonts w:ascii="Arial" w:hAnsi="Arial" w:cs="Arial"/>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{"citationID":"KVJhHRfN","properties":{"formattedCitation":"\\super 51\\nosupersub{}","plainCitation":"51","noteIndex":0},"citationItems":[{"id":15927,"uris":["http://zotero.org/users/1547967/items/6FH4Z2XP"],"itemData":{"id":15927,"type":"article-journal","abstract":"Astronaut intestinal health may be impacted by microgravity, radiation, and diet. The aim of this study was to characterize how high and low linear energy transfer (LET) radiation, microgravity, and elevated dietary iron affect colon microbiota (determined by 16S rDNA pyrosequencing) and colon function. Three independent experiments were conducted to achieve these goals: 1) fractionated low LET γ radiation (137Cs, 3 Gy, RAD), high Fe diet (IRON) (650 mg/kg diet), and a combination of low LET γ radiation and high Fe diet (IRON+RAD) in male Sprague-Dawley rats; 2) high LET 38Si particle exposure (0.050 Gy), 1/6 G partial weight bearing (PWB), and a combination of high LET38Si particle exposure and PWB in female BalbC/ByJ mice; and 3) 13 d spaceflight in female C57BL/6 mice. Low LET radiation, IRON and spaceflight increased Bacteroidetes and decreased Firmicutes. RAD and IRON+RAD increased Lactobacillales and lowered Clostridiales compared to the control (CON) and IRON treatments. Low LET radiation, IRON, and spaceflight did not significantly affect diversity or richness, or elevate pathogenic genera. Spaceflight increased Clostridiales and decreased Lactobacillales, and similar trends were observed in the experiment using a ground-based model of microgravity, suggesting altered gravity may affect colonic microbiota. Although we noted no differences in colon epithelial injury or inflammation, spaceflight elevated TGFβ gene expression. Microbiota and mucosal characterization in these models is a first step in understanding the impact of the space environment on intestinal health.","container-title":"PLOS ONE","DOI":"10.1371/journal.pone.0125792","ISSN":"1932-6203","issue":"6","journalAbbreviation":"PLOS ONE","language":"en","note":"publisher: Public Library of Science","page":"e0125792","source":"PLoS Journals","title":"Space Environmental Factor Impacts upon Murine Colon Microbiota and Mucosal Homeostasis","volume":"10","author":[{"family":"Ritchie","given":"Lauren E."},{"family":"Taddeo","given":"Stella S."},{"family":"Weeks","given":"Brad R."},{"family":"Lima","given":"Florence"},{"family":"Bloomfield","given":"Susan A."},{"family":"Azcarate-Peril","given":"M. Andrea"},{"family":"Zwart","given":"Sara R."},{"family":"Smith","given":"Scott M."},{"family":"Turner","given":"Nancy D."}],"issued":{"date-parts":[["2015",6,17]]}}}],"schema":"https://github.com/citation-style-language/schema/raw/master/csl-citation.json"}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51</w:t>
            </w:r>
            <w:r>
              <w:rPr>
                <w:rFonts w:ascii="Arial" w:hAnsi="Arial" w:cs="Arial"/>
                <w:sz w:val="20"/>
                <w:szCs w:val="20"/>
              </w:rPr>
              <w:fldChar w:fldCharType="end"/>
            </w:r>
          </w:p>
        </w:tc>
        <w:tc>
          <w:tcPr>
            <w:tcW w:w="1791" w:type="dxa"/>
          </w:tcPr>
          <w:p w14:paraId="09A7F5CC" w14:textId="389C54A5" w:rsidR="00E2589A" w:rsidRDefault="00E671D7" w:rsidP="004821F9">
            <w:pPr>
              <w:pStyle w:val="NormalWeb"/>
              <w:spacing w:before="0" w:beforeAutospacing="0" w:after="0" w:afterAutospacing="0"/>
              <w:rPr>
                <w:rFonts w:ascii="Arial" w:hAnsi="Arial" w:cs="Arial"/>
                <w:color w:val="000000"/>
                <w:sz w:val="20"/>
                <w:szCs w:val="20"/>
              </w:rPr>
            </w:pPr>
            <w:r>
              <w:rPr>
                <w:rFonts w:ascii="Arial" w:hAnsi="Arial" w:cs="Arial"/>
                <w:sz w:val="20"/>
                <w:szCs w:val="20"/>
              </w:rPr>
              <w:fldChar w:fldCharType="begin"/>
            </w:r>
            <w:r w:rsidR="00DE0227">
              <w:rPr>
                <w:rFonts w:ascii="Arial" w:hAnsi="Arial" w:cs="Arial"/>
                <w:sz w:val="20"/>
                <w:szCs w:val="20"/>
              </w:rPr>
              <w:instrText xml:space="preserve"> ADDIN ZOTERO_ITEM CSL_CITATION {"citationID":"KGtXODKL","properties":{"formattedCitation":"\\super 51\\nosupersub{}","plainCitation":"51","noteIndex":0},"citationItems":[{"id":15927,"uris":["http://zotero.org/users/1547967/items/6FH4Z2XP"],"itemData":{"id":15927,"type":"article-journal","abstract":"Astronaut intestinal health may be impacted by microgravity, radiation, and diet. The aim of this study was to characterize how high and low linear energy transfer (LET) radiation, microgravity, and elevated dietary iron affect colon microbiota (determined by 16S rDNA pyrosequencing) and colon function. Three independent experiments were conducted to achieve these goals: 1) fractionated low LET γ radiation (137Cs, 3 Gy, RAD), high Fe diet (IRON) (650 mg/kg diet), and a combination of low LET γ radiation and high Fe diet (IRON+RAD) in male Sprague-Dawley rats; 2) high LET 38Si particle exposure (0.050 Gy), 1/6 G partial weight bearing (PWB), and a combination of high LET38Si particle exposure and PWB in female BalbC/ByJ mice; and 3) 13 d spaceflight in female C57BL/6 mice. Low LET radiation, IRON and spaceflight increased Bacteroidetes and decreased Firmicutes. RAD and IRON+RAD increased Lactobacillales and lowered Clostridiales compared to the control (CON) and IRON treatments. Low LET radiation, IRON, and spaceflight did not significantly affect diversity or richness, or elevate pathogenic genera. Spaceflight increased Clostridiales and decreased Lactobacillales, and similar trends were observed in the experiment using a ground-based model of microgravity, suggesting altered gravity may affect colonic microbiota. Although we noted no differences in colon epithelial injury or inflammation, spaceflight elevated TGFβ gene expression. Microbiota and mucosal characterization in these models is a first step in understanding the impact of the space environment on intestinal health.","container-title":"PLOS ONE","DOI":"10.1371/journal.pone.0125792","ISSN":"1932-6203","issue":"6","journalAbbreviation":"PLOS ONE","language":"en","note":"publisher: Public Library of Science","page":"e0125792","source":"PLoS Journals","title":"Space Environmental Factor Impacts upon Murine Colon Microbiota and Mucosal Homeostasis","volume":"10","author":[{"family":"Ritchie","given":"Lauren E."},{"family":"Taddeo","given":"Stella S."},{"family":"Weeks","given":"Brad R."},{"family":"Lima","given":"Florence"},{"family":"Bloomfield","given":"Susan A."},{"family":"Azcarate-Peril","given":"M. Andrea"},{"family":"Zwart","given":"Sara R."},{"family":"Smith","given":"Scott M."},{"family":"Turner","given":"Nancy D."}],"issued":{"date-parts":[["2015",6,17]]}}}],"schema":"https://github.com/citation-style-language/schema/raw/master/csl-citation.json"} </w:instrText>
            </w:r>
            <w:r>
              <w:rPr>
                <w:rFonts w:ascii="Arial" w:hAnsi="Arial" w:cs="Arial"/>
                <w:sz w:val="20"/>
                <w:szCs w:val="20"/>
              </w:rPr>
              <w:fldChar w:fldCharType="separate"/>
            </w:r>
            <w:r w:rsidR="00DE0227" w:rsidRPr="00DE0227">
              <w:rPr>
                <w:rFonts w:ascii="Arial" w:hAnsi="Arial" w:cs="Arial"/>
                <w:sz w:val="20"/>
                <w:vertAlign w:val="superscript"/>
              </w:rPr>
              <w:t>51</w:t>
            </w:r>
            <w:r>
              <w:rPr>
                <w:rFonts w:ascii="Arial" w:hAnsi="Arial" w:cs="Arial"/>
                <w:sz w:val="20"/>
                <w:szCs w:val="20"/>
              </w:rPr>
              <w:fldChar w:fldCharType="end"/>
            </w:r>
          </w:p>
        </w:tc>
      </w:tr>
    </w:tbl>
    <w:p w14:paraId="556A0F5C" w14:textId="77777777" w:rsidR="00E2589A" w:rsidRDefault="00E2589A" w:rsidP="00054BB9">
      <w:pPr>
        <w:pStyle w:val="NormalWeb"/>
        <w:spacing w:before="240" w:after="240" w:line="480" w:lineRule="auto"/>
        <w:ind w:left="-280"/>
        <w:jc w:val="both"/>
        <w:rPr>
          <w:rFonts w:ascii="Arial" w:hAnsi="Arial" w:cs="Arial"/>
          <w:color w:val="000000"/>
          <w:sz w:val="22"/>
          <w:szCs w:val="22"/>
        </w:rPr>
      </w:pPr>
    </w:p>
    <w:p w14:paraId="37FA1868" w14:textId="61C114CA" w:rsidR="003C7022" w:rsidRPr="003C7022" w:rsidRDefault="003C7022" w:rsidP="00054BB9">
      <w:pPr>
        <w:pStyle w:val="NormalWeb"/>
        <w:spacing w:before="240" w:after="240" w:line="480" w:lineRule="auto"/>
        <w:ind w:left="-280"/>
        <w:jc w:val="both"/>
        <w:rPr>
          <w:rFonts w:ascii="Arial" w:hAnsi="Arial" w:cs="Arial"/>
          <w:b/>
          <w:bCs/>
          <w:i/>
          <w:iCs/>
          <w:color w:val="000000"/>
          <w:sz w:val="22"/>
          <w:szCs w:val="22"/>
        </w:rPr>
      </w:pPr>
      <w:r w:rsidRPr="003C7022">
        <w:rPr>
          <w:rFonts w:ascii="Arial" w:hAnsi="Arial" w:cs="Arial"/>
          <w:b/>
          <w:bCs/>
          <w:i/>
          <w:iCs/>
          <w:color w:val="000000"/>
          <w:sz w:val="22"/>
          <w:szCs w:val="22"/>
        </w:rPr>
        <w:t>Data processing</w:t>
      </w:r>
      <w:r w:rsidR="00223746">
        <w:rPr>
          <w:rFonts w:ascii="Arial" w:hAnsi="Arial" w:cs="Arial"/>
          <w:b/>
          <w:bCs/>
          <w:i/>
          <w:iCs/>
          <w:color w:val="000000"/>
          <w:sz w:val="22"/>
          <w:szCs w:val="22"/>
        </w:rPr>
        <w:t xml:space="preserve"> (DP)</w:t>
      </w:r>
      <w:r w:rsidRPr="003C7022">
        <w:rPr>
          <w:rFonts w:ascii="Arial" w:hAnsi="Arial" w:cs="Arial"/>
          <w:b/>
          <w:bCs/>
          <w:i/>
          <w:iCs/>
          <w:color w:val="000000"/>
          <w:sz w:val="22"/>
          <w:szCs w:val="22"/>
        </w:rPr>
        <w:t xml:space="preserve"> and differential abundance analysis</w:t>
      </w:r>
      <w:r w:rsidR="00223746">
        <w:rPr>
          <w:rFonts w:ascii="Arial" w:hAnsi="Arial" w:cs="Arial"/>
          <w:b/>
          <w:bCs/>
          <w:i/>
          <w:iCs/>
          <w:color w:val="000000"/>
          <w:sz w:val="22"/>
          <w:szCs w:val="22"/>
        </w:rPr>
        <w:t xml:space="preserve"> (DAA)</w:t>
      </w:r>
    </w:p>
    <w:p w14:paraId="1C5E646F" w14:textId="0E7C5F9B" w:rsidR="00104115" w:rsidRPr="00900DF3" w:rsidRDefault="003C7022" w:rsidP="00104115">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S</w:t>
      </w:r>
      <w:r w:rsidR="00104115" w:rsidRPr="00900DF3">
        <w:rPr>
          <w:rFonts w:ascii="Arial" w:hAnsi="Arial" w:cs="Arial"/>
          <w:color w:val="000000"/>
          <w:sz w:val="22"/>
          <w:szCs w:val="22"/>
        </w:rPr>
        <w:t>equenc</w:t>
      </w:r>
      <w:r>
        <w:rPr>
          <w:rFonts w:ascii="Arial" w:hAnsi="Arial" w:cs="Arial"/>
          <w:color w:val="000000"/>
          <w:sz w:val="22"/>
          <w:szCs w:val="22"/>
        </w:rPr>
        <w:t>e</w:t>
      </w:r>
      <w:r w:rsidR="00104115" w:rsidRPr="00900DF3">
        <w:rPr>
          <w:rFonts w:ascii="Arial" w:hAnsi="Arial" w:cs="Arial"/>
          <w:color w:val="000000"/>
          <w:sz w:val="22"/>
          <w:szCs w:val="22"/>
        </w:rPr>
        <w:t xml:space="preserve"> data were processed using the Nephele platform</w:t>
      </w:r>
      <w:r w:rsidR="00EF2BB1">
        <w:rPr>
          <w:rFonts w:ascii="Arial" w:hAnsi="Arial" w:cs="Arial"/>
          <w:color w:val="000000"/>
          <w:sz w:val="22"/>
          <w:szCs w:val="22"/>
        </w:rPr>
        <w:fldChar w:fldCharType="begin"/>
      </w:r>
      <w:r w:rsidR="00DE0227">
        <w:rPr>
          <w:rFonts w:ascii="Arial" w:hAnsi="Arial" w:cs="Arial"/>
          <w:color w:val="000000"/>
          <w:sz w:val="22"/>
          <w:szCs w:val="22"/>
        </w:rPr>
        <w:instrText xml:space="preserve"> ADDIN ZOTERO_ITEM CSL_CITATION {"citationID":"REQClDjb","properties":{"formattedCitation":"\\super 53\\nosupersub{}","plainCitation":"53","noteIndex":0},"citationItems":[{"id":15968,"uris":["http://zotero.org/users/1547967/items/QC6BJ44L"],"itemData":{"id":15968,"type":"article-journal","abstract":"Widespread interest in the study of the microbiome has resulted in data proliferation and the development of powerful computational tools. However, many scientific researchers lack the time, training, or infrastructure to work with large datasets or to install and use command line tools.The National Institute of Allergy and Infectious Diseases (NIAID) has created Nephele, a cloud-based microbiome data analysis platform with standardized pipelines and a simple web interface for transforming raw data into biological insights. Nephele integrates common microbiome analysis tools as well as valuable reference datasets like the healthy human subjects cohort of the Human Microbiome Project (HMP). Nephele is built on the Amazon Web Services cloud, which provides centralized and automated storage and compute capacity, thereby reducing the burden on researchers and their institutions.https://nephele.niaid.nih.gov and https://github.com/niaid/Nephele","container-title":"Bioinformatics","DOI":"10.1093/bioinformatics/btx617","ISSN":"1367-4803","issue":"8","journalAbbreviation":"Bioinformatics","page":"1411-1413","source":"Silverchair","title":"Nephele: a cloud platform for simplified, standardized and reproducible microbiome data analysis","title-short":"Nephele","volume":"34","author":[{"family":"Weber","given":"Nick"},{"family":"Liou","given":"David"},{"family":"Dommer","given":"Jennifer"},{"family":"MacMenamin","given":"Philip"},{"family":"Quiñones","given":"Mariam"},{"family":"Misner","given":"Ian"},{"family":"Oler","given":"Andrew J"},{"family":"Wan","given":"Joe"},{"family":"Kim","given":"Lewis"},{"family":"Coakley McCarthy","given":"Meghan"},{"family":"Ezeji","given":"Samuel"},{"family":"Noble","given":"Karlynn"},{"family":"Hurt","given":"Darrell E"}],"issued":{"date-parts":[["2018",4,15]]}}}],"schema":"https://github.com/citation-style-language/schema/raw/master/csl-citation.json"} </w:instrText>
      </w:r>
      <w:r w:rsidR="00EF2BB1">
        <w:rPr>
          <w:rFonts w:ascii="Arial" w:hAnsi="Arial" w:cs="Arial"/>
          <w:color w:val="000000"/>
          <w:sz w:val="22"/>
          <w:szCs w:val="22"/>
        </w:rPr>
        <w:fldChar w:fldCharType="separate"/>
      </w:r>
      <w:r w:rsidR="00DE0227" w:rsidRPr="00DE0227">
        <w:rPr>
          <w:rFonts w:ascii="Arial" w:hAnsi="Arial" w:cs="Arial"/>
          <w:sz w:val="22"/>
          <w:vertAlign w:val="superscript"/>
        </w:rPr>
        <w:t>53</w:t>
      </w:r>
      <w:r w:rsidR="00EF2BB1">
        <w:rPr>
          <w:rFonts w:ascii="Arial" w:hAnsi="Arial" w:cs="Arial"/>
          <w:color w:val="000000"/>
          <w:sz w:val="22"/>
          <w:szCs w:val="22"/>
        </w:rPr>
        <w:fldChar w:fldCharType="end"/>
      </w:r>
      <w:r w:rsidR="00104115" w:rsidRPr="00900DF3">
        <w:rPr>
          <w:rFonts w:ascii="Arial" w:hAnsi="Arial" w:cs="Arial"/>
          <w:color w:val="000000"/>
          <w:sz w:val="22"/>
          <w:szCs w:val="22"/>
        </w:rPr>
        <w:t>, provided by the National Institute of Allergy and Infectious Diseases (NIAID) Office of Cyber Infrastructure and Computational Biology (OCICB) in Bethesda, MD (1). The Whole metaGenome Sequence Assembly pipeline, version 2 (WGSA2), was employed to assess whole-genome shotgun sequencing data. Additionally, pre-processed amplicon sequencing taxa abundance data from RR</w:t>
      </w:r>
      <w:r>
        <w:rPr>
          <w:rFonts w:ascii="Arial" w:hAnsi="Arial" w:cs="Arial"/>
          <w:color w:val="000000"/>
          <w:sz w:val="22"/>
          <w:szCs w:val="22"/>
        </w:rPr>
        <w:t>-</w:t>
      </w:r>
      <w:r w:rsidR="00104115" w:rsidRPr="00900DF3">
        <w:rPr>
          <w:rFonts w:ascii="Arial" w:hAnsi="Arial" w:cs="Arial"/>
          <w:color w:val="000000"/>
          <w:sz w:val="22"/>
          <w:szCs w:val="22"/>
        </w:rPr>
        <w:t>1 and STS-135 were obtained from previous publications.</w:t>
      </w:r>
    </w:p>
    <w:p w14:paraId="6C3FC30C" w14:textId="52DE632C" w:rsidR="00104115" w:rsidRPr="00900DF3" w:rsidRDefault="00104115" w:rsidP="00104115">
      <w:pPr>
        <w:pStyle w:val="NormalWeb"/>
        <w:keepLines/>
        <w:spacing w:line="480" w:lineRule="auto"/>
        <w:ind w:left="-278"/>
        <w:rPr>
          <w:rFonts w:ascii="Arial" w:hAnsi="Arial" w:cs="Arial"/>
          <w:color w:val="000000"/>
          <w:sz w:val="22"/>
          <w:szCs w:val="22"/>
        </w:rPr>
      </w:pPr>
      <w:r w:rsidRPr="00900DF3">
        <w:rPr>
          <w:rFonts w:ascii="Arial" w:hAnsi="Arial" w:cs="Arial"/>
          <w:color w:val="000000"/>
          <w:sz w:val="22"/>
          <w:szCs w:val="22"/>
        </w:rPr>
        <w:t xml:space="preserve">Data analysis was conducted using R (Version 4.2.1). </w:t>
      </w:r>
      <w:r w:rsidR="004D3627" w:rsidRPr="00900DF3">
        <w:rPr>
          <w:rFonts w:ascii="Arial" w:hAnsi="Arial" w:cs="Arial"/>
          <w:color w:val="000000"/>
          <w:sz w:val="22"/>
          <w:szCs w:val="22"/>
        </w:rPr>
        <w:t>Centred</w:t>
      </w:r>
      <w:r w:rsidRPr="00900DF3">
        <w:rPr>
          <w:rFonts w:ascii="Arial" w:hAnsi="Arial" w:cs="Arial"/>
          <w:color w:val="000000"/>
          <w:sz w:val="22"/>
          <w:szCs w:val="22"/>
        </w:rPr>
        <w:t xml:space="preserve"> log-ratio transformed abundance values of the observed taxa detected in over 10% of the samples were calculated. Differential abundance between mission-matched Flight and Ground Control groups was evaluated using a linear model, followed by a Benjamini-Hochberg False Discovery Rate correction. Relevant R libraries utili</w:t>
      </w:r>
      <w:r w:rsidR="00032399">
        <w:rPr>
          <w:rFonts w:ascii="Arial" w:hAnsi="Arial" w:cs="Arial"/>
          <w:color w:val="000000"/>
          <w:sz w:val="22"/>
          <w:szCs w:val="22"/>
        </w:rPr>
        <w:t>s</w:t>
      </w:r>
      <w:r w:rsidRPr="00900DF3">
        <w:rPr>
          <w:rFonts w:ascii="Arial" w:hAnsi="Arial" w:cs="Arial"/>
          <w:color w:val="000000"/>
          <w:sz w:val="22"/>
          <w:szCs w:val="22"/>
        </w:rPr>
        <w:t>ed in this analysis can be found online</w:t>
      </w:r>
      <w:r w:rsidR="00EF2BB1">
        <w:rPr>
          <w:rFonts w:ascii="Arial" w:hAnsi="Arial" w:cs="Arial"/>
          <w:color w:val="000000"/>
          <w:sz w:val="22"/>
          <w:szCs w:val="22"/>
        </w:rPr>
        <w:fldChar w:fldCharType="begin"/>
      </w:r>
      <w:r w:rsidR="00DE0227">
        <w:rPr>
          <w:rFonts w:ascii="Arial" w:hAnsi="Arial" w:cs="Arial"/>
          <w:color w:val="000000"/>
          <w:sz w:val="22"/>
          <w:szCs w:val="22"/>
        </w:rPr>
        <w:instrText xml:space="preserve"> ADDIN ZOTERO_ITEM CSL_CITATION {"citationID":"3AycJXR9","properties":{"formattedCitation":"\\super 54\\nosupersub{}","plainCitation":"54","noteIndex":0},"citationItems":[{"id":15966,"uris":["http://zotero.org/users/1547967/items/DBTPT93K"],"itemData":{"id":15966,"type":"article-journal","abstract":"There has been a growing acknowledgement of the involvement of the gut microbiome - the collection of microbes that reside in our gut - in regulating our mood and behaviour. This phenomenon is referred to as the microbiome-gut-brain axis. While our techniques to measure the presence and abundance of these microbes have been steadily improving, the analysis of microbiome data is non-trivial. Here, we present a perspective on the concepts and foundations of data analysis and interpretation of microbiome experiments with a focus on the microbiome-gut-brain axis domain. We give an overview of foundational considerations prior to commencing analysis alongside the core microbiome analysis approaches of alpha diversity, beta diversity, differential feature abundance and functional inference. We emphasize the compositional data analysis (CoDA) paradigm. Further, this perspective features an extensive and heavily annotated microbiome analysis in R in the supplementary materials, as a resource for new and experienced bioinformaticians alike.","DOI":"10.48550/arXiv.2207.12475","note":"arXiv:2207.12475 [q-bio, stat]","source":"arXiv.org","title":"Bugs as Features (Part I): Concepts and Foundations for the Compositional Data Analysis of the Microbiome-Gut-Brain Axis","title-short":"Bugs as Features (Part I)","URL":"http://arxiv.org/abs/2207.12475","author":[{"family":"Bastiaanssen","given":"Thomaz F. S."},{"family":"Quinn","given":"Thomas P."},{"family":"Loughman","given":"Amy"}],"accessed":{"date-parts":[["2023",5,25]]},"issued":{"date-parts":[["2022"]]}}}],"schema":"https://github.com/citation-style-language/schema/raw/master/csl-citation.json"} </w:instrText>
      </w:r>
      <w:r w:rsidR="00EF2BB1">
        <w:rPr>
          <w:rFonts w:ascii="Arial" w:hAnsi="Arial" w:cs="Arial"/>
          <w:color w:val="000000"/>
          <w:sz w:val="22"/>
          <w:szCs w:val="22"/>
        </w:rPr>
        <w:fldChar w:fldCharType="separate"/>
      </w:r>
      <w:r w:rsidR="00DE0227" w:rsidRPr="00DE0227">
        <w:rPr>
          <w:rFonts w:ascii="Arial" w:hAnsi="Arial" w:cs="Arial"/>
          <w:sz w:val="22"/>
          <w:vertAlign w:val="superscript"/>
        </w:rPr>
        <w:t>54</w:t>
      </w:r>
      <w:r w:rsidR="00EF2BB1">
        <w:rPr>
          <w:rFonts w:ascii="Arial" w:hAnsi="Arial" w:cs="Arial"/>
          <w:color w:val="000000"/>
          <w:sz w:val="22"/>
          <w:szCs w:val="22"/>
        </w:rPr>
        <w:fldChar w:fldCharType="end"/>
      </w:r>
      <w:r w:rsidR="00EF2BB1">
        <w:rPr>
          <w:rFonts w:ascii="Arial" w:hAnsi="Arial" w:cs="Arial"/>
          <w:color w:val="000000"/>
          <w:sz w:val="22"/>
          <w:szCs w:val="22"/>
        </w:rPr>
        <w:t>.</w:t>
      </w:r>
    </w:p>
    <w:p w14:paraId="652AA38F" w14:textId="77777777" w:rsidR="00104115" w:rsidRDefault="00104115" w:rsidP="00104115">
      <w:pPr>
        <w:pStyle w:val="NormalWeb"/>
        <w:spacing w:before="240" w:after="240" w:line="480" w:lineRule="auto"/>
        <w:ind w:left="-280"/>
        <w:jc w:val="both"/>
        <w:rPr>
          <w:rFonts w:ascii="Arial" w:hAnsi="Arial" w:cs="Arial"/>
          <w:color w:val="000000"/>
          <w:sz w:val="22"/>
          <w:szCs w:val="22"/>
        </w:rPr>
      </w:pPr>
      <w:r w:rsidRPr="00900DF3">
        <w:rPr>
          <w:rFonts w:ascii="Arial" w:hAnsi="Arial" w:cs="Arial"/>
          <w:color w:val="000000"/>
          <w:sz w:val="22"/>
          <w:szCs w:val="22"/>
        </w:rPr>
        <w:t>For a comprehensive multi-omics analysis, total microbiome differential abundance results were employed. A kidney stone (KS) relevant microbe list was compiled from existing literature, which was then used for targeted differential abundance assessment. Directionality, degree, and significance of difference measures between groups for each mission were compiled for comparative purposes.</w:t>
      </w:r>
    </w:p>
    <w:p w14:paraId="413AF764" w14:textId="77777777" w:rsidR="00571E96" w:rsidRDefault="00571E96" w:rsidP="00104115">
      <w:pPr>
        <w:pStyle w:val="NormalWeb"/>
        <w:spacing w:before="240" w:after="240" w:line="480" w:lineRule="auto"/>
        <w:ind w:left="-280"/>
        <w:jc w:val="both"/>
        <w:rPr>
          <w:rFonts w:ascii="Arial" w:hAnsi="Arial" w:cs="Arial"/>
          <w:color w:val="000000"/>
          <w:sz w:val="22"/>
          <w:szCs w:val="22"/>
        </w:rPr>
      </w:pPr>
    </w:p>
    <w:p w14:paraId="468D2298" w14:textId="0D082BFF" w:rsidR="00571E96" w:rsidRPr="009C25E3" w:rsidRDefault="00571E96" w:rsidP="00571E96">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Physiology</w:t>
      </w:r>
    </w:p>
    <w:p w14:paraId="2F750699" w14:textId="647F0431" w:rsidR="00571E96" w:rsidRDefault="00571E96" w:rsidP="00571E96">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Sample collection and processing</w:t>
      </w:r>
    </w:p>
    <w:p w14:paraId="0C3480B9" w14:textId="27F9D8A2" w:rsidR="00E67A1B" w:rsidRPr="00E67A1B" w:rsidRDefault="00E67A1B" w:rsidP="00571E96">
      <w:pPr>
        <w:pStyle w:val="NormalWeb"/>
        <w:spacing w:before="240" w:beforeAutospacing="0" w:after="240" w:afterAutospacing="0" w:line="480" w:lineRule="auto"/>
        <w:ind w:left="-280"/>
        <w:jc w:val="both"/>
        <w:rPr>
          <w:rFonts w:ascii="Arial" w:hAnsi="Arial" w:cs="Arial"/>
          <w:i/>
          <w:iCs/>
          <w:color w:val="000000"/>
          <w:sz w:val="22"/>
          <w:szCs w:val="22"/>
        </w:rPr>
      </w:pPr>
      <w:r>
        <w:rPr>
          <w:rFonts w:ascii="Arial" w:hAnsi="Arial" w:cs="Arial"/>
          <w:i/>
          <w:iCs/>
          <w:color w:val="000000"/>
          <w:sz w:val="22"/>
          <w:szCs w:val="22"/>
        </w:rPr>
        <w:lastRenderedPageBreak/>
        <w:t>NSRL-22A</w:t>
      </w:r>
    </w:p>
    <w:p w14:paraId="45A53446" w14:textId="0FEF6CFB" w:rsidR="00571E96" w:rsidRDefault="00571E96" w:rsidP="00571E96">
      <w:pPr>
        <w:pStyle w:val="NormalWeb"/>
        <w:spacing w:before="240" w:after="240" w:line="480" w:lineRule="auto"/>
        <w:ind w:left="-280"/>
        <w:jc w:val="both"/>
        <w:rPr>
          <w:rFonts w:ascii="Arial" w:hAnsi="Arial" w:cs="Arial"/>
          <w:color w:val="000000"/>
          <w:sz w:val="22"/>
          <w:szCs w:val="22"/>
        </w:rPr>
      </w:pPr>
      <w:r w:rsidRPr="00900DF3">
        <w:rPr>
          <w:rFonts w:ascii="Arial" w:hAnsi="Arial" w:cs="Arial"/>
          <w:color w:val="000000"/>
          <w:sz w:val="22"/>
          <w:szCs w:val="22"/>
        </w:rPr>
        <w:t>Urine collection was performed in awake mice to obtain spontaneous and uncontaminated samples. Mice were gently handled over a sheet of Saran® wrap or Parafilm® to facilitate micturition. Upon collection, each urine sample was carefully divided into two aliquots. One aliquot was immediately acidified with HNO3 to achieve a final concentration of 1% v/v, preventing precipitation of electrolytes and maintaining sample integrity. Both aliquots were then promptly stored at −80°C to preserve their biochemical constituents until further analysis.</w:t>
      </w:r>
      <w:r w:rsidR="0099724A">
        <w:rPr>
          <w:rFonts w:ascii="Arial" w:hAnsi="Arial" w:cs="Arial"/>
          <w:color w:val="000000"/>
          <w:sz w:val="22"/>
          <w:szCs w:val="22"/>
        </w:rPr>
        <w:t xml:space="preserve"> </w:t>
      </w:r>
      <w:r w:rsidRPr="00900DF3">
        <w:rPr>
          <w:rFonts w:ascii="Arial" w:hAnsi="Arial" w:cs="Arial"/>
          <w:color w:val="000000"/>
          <w:sz w:val="22"/>
          <w:szCs w:val="22"/>
        </w:rPr>
        <w:t>For blood collection, mice were subjected to terminal anaesthesia to minimize distress and ensure compliance with ethical guidelines. Blood samples were drawn from the vena cava using a fine needle and syringe. Plasma was separated by transferring the blood into Microvette® CB 300 LH (Sarstedt) tubes and centrifuging at 2000</w:t>
      </w:r>
      <w:r w:rsidR="00A256C4">
        <w:rPr>
          <w:rFonts w:ascii="Arial" w:hAnsi="Arial" w:cs="Arial"/>
          <w:color w:val="000000"/>
          <w:sz w:val="22"/>
          <w:szCs w:val="22"/>
        </w:rPr>
        <w:t xml:space="preserve"> </w:t>
      </w:r>
      <w:r w:rsidRPr="00900DF3">
        <w:rPr>
          <w:rFonts w:ascii="Arial" w:hAnsi="Arial" w:cs="Arial"/>
          <w:color w:val="000000"/>
          <w:sz w:val="22"/>
          <w:szCs w:val="22"/>
        </w:rPr>
        <w:t>g for 5 min. The resulting plasma supernatant was carefully aspirated and stored at −80°C for future analysis.</w:t>
      </w:r>
      <w:r w:rsidR="0099724A">
        <w:rPr>
          <w:rFonts w:ascii="Arial" w:hAnsi="Arial" w:cs="Arial"/>
          <w:color w:val="000000"/>
          <w:sz w:val="22"/>
          <w:szCs w:val="22"/>
        </w:rPr>
        <w:t xml:space="preserve"> </w:t>
      </w:r>
      <w:r w:rsidRPr="00900DF3">
        <w:rPr>
          <w:rFonts w:ascii="Arial" w:hAnsi="Arial" w:cs="Arial"/>
          <w:color w:val="000000"/>
          <w:sz w:val="22"/>
          <w:szCs w:val="22"/>
        </w:rPr>
        <w:t>Both plasma and non-acidified urine samples were analysed for creatinine levels by employing either the standard Jaffe reaction or the enzymatic method, depending on the investigator's preference and laboratory resources. Electrolyte levels</w:t>
      </w:r>
      <w:r w:rsidR="007710D5">
        <w:rPr>
          <w:rFonts w:ascii="Arial" w:hAnsi="Arial" w:cs="Arial"/>
          <w:color w:val="000000"/>
          <w:sz w:val="22"/>
          <w:szCs w:val="22"/>
        </w:rPr>
        <w:t>,</w:t>
      </w:r>
      <w:r>
        <w:rPr>
          <w:rFonts w:ascii="Arial" w:hAnsi="Arial" w:cs="Arial"/>
          <w:color w:val="000000"/>
          <w:sz w:val="22"/>
          <w:szCs w:val="22"/>
        </w:rPr>
        <w:t xml:space="preserve"> biochemistries</w:t>
      </w:r>
      <w:r w:rsidR="007710D5">
        <w:rPr>
          <w:rFonts w:ascii="Arial" w:hAnsi="Arial" w:cs="Arial"/>
          <w:color w:val="000000"/>
          <w:sz w:val="22"/>
          <w:szCs w:val="22"/>
        </w:rPr>
        <w:t xml:space="preserve"> and biomarkers</w:t>
      </w:r>
      <w:r w:rsidRPr="00900DF3">
        <w:rPr>
          <w:rFonts w:ascii="Arial" w:hAnsi="Arial" w:cs="Arial"/>
          <w:color w:val="000000"/>
          <w:sz w:val="22"/>
          <w:szCs w:val="22"/>
        </w:rPr>
        <w:t xml:space="preserve"> were assessed using the Siemens Dimension RxL Max Integrated Chemistry System,</w:t>
      </w:r>
      <w:r w:rsidR="00E67A1B">
        <w:rPr>
          <w:rFonts w:ascii="Arial" w:hAnsi="Arial" w:cs="Arial"/>
          <w:color w:val="000000"/>
          <w:sz w:val="22"/>
          <w:szCs w:val="22"/>
        </w:rPr>
        <w:t xml:space="preserve"> at</w:t>
      </w:r>
      <w:r w:rsidRPr="00900DF3">
        <w:rPr>
          <w:rFonts w:ascii="Arial" w:hAnsi="Arial" w:cs="Arial"/>
          <w:color w:val="000000"/>
          <w:sz w:val="22"/>
          <w:szCs w:val="22"/>
        </w:rPr>
        <w:t xml:space="preserve"> the Core Biochemical Assay Laboratory at Addenbrooke's Hospital, Cambridge, UK. </w:t>
      </w:r>
    </w:p>
    <w:p w14:paraId="5F38CDC6" w14:textId="0676F90A" w:rsidR="00E67A1B" w:rsidRPr="009B4103" w:rsidRDefault="009B4103" w:rsidP="00571E96">
      <w:pPr>
        <w:pStyle w:val="NormalWeb"/>
        <w:spacing w:before="240" w:after="240" w:line="480" w:lineRule="auto"/>
        <w:ind w:left="-280"/>
        <w:jc w:val="both"/>
        <w:rPr>
          <w:rFonts w:ascii="Arial" w:hAnsi="Arial" w:cs="Arial"/>
          <w:i/>
          <w:iCs/>
          <w:color w:val="000000"/>
          <w:sz w:val="22"/>
          <w:szCs w:val="22"/>
        </w:rPr>
      </w:pPr>
      <w:r>
        <w:rPr>
          <w:rFonts w:ascii="Arial" w:hAnsi="Arial" w:cs="Arial"/>
          <w:i/>
          <w:iCs/>
          <w:color w:val="000000"/>
          <w:sz w:val="22"/>
          <w:szCs w:val="22"/>
        </w:rPr>
        <w:t>Inspiration4</w:t>
      </w:r>
    </w:p>
    <w:p w14:paraId="0C33BFCC" w14:textId="369FABA1" w:rsidR="007710D5" w:rsidRDefault="007710D5" w:rsidP="0009583A">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Plasma samples collected from astronauts at timepoints L-92d, L-44d and L-3d were grouped</w:t>
      </w:r>
      <w:r w:rsidR="00B03701">
        <w:rPr>
          <w:rFonts w:ascii="Arial" w:hAnsi="Arial" w:cs="Arial"/>
          <w:color w:val="000000"/>
          <w:sz w:val="22"/>
          <w:szCs w:val="22"/>
        </w:rPr>
        <w:t xml:space="preserve"> and averaged</w:t>
      </w:r>
      <w:r>
        <w:rPr>
          <w:rFonts w:ascii="Arial" w:hAnsi="Arial" w:cs="Arial"/>
          <w:color w:val="000000"/>
          <w:sz w:val="22"/>
          <w:szCs w:val="22"/>
        </w:rPr>
        <w:t xml:space="preserve"> into </w:t>
      </w:r>
      <w:r w:rsidR="00B03701">
        <w:rPr>
          <w:rFonts w:ascii="Arial" w:hAnsi="Arial" w:cs="Arial"/>
          <w:color w:val="000000"/>
          <w:sz w:val="22"/>
          <w:szCs w:val="22"/>
        </w:rPr>
        <w:t>“</w:t>
      </w:r>
      <w:r>
        <w:rPr>
          <w:rFonts w:ascii="Arial" w:hAnsi="Arial" w:cs="Arial"/>
          <w:color w:val="000000"/>
          <w:sz w:val="22"/>
          <w:szCs w:val="22"/>
        </w:rPr>
        <w:t>pre-flight</w:t>
      </w:r>
      <w:r w:rsidR="00B03701">
        <w:rPr>
          <w:rFonts w:ascii="Arial" w:hAnsi="Arial" w:cs="Arial"/>
          <w:color w:val="000000"/>
          <w:sz w:val="22"/>
          <w:szCs w:val="22"/>
        </w:rPr>
        <w:t>”</w:t>
      </w:r>
      <w:r>
        <w:rPr>
          <w:rFonts w:ascii="Arial" w:hAnsi="Arial" w:cs="Arial"/>
          <w:color w:val="000000"/>
          <w:sz w:val="22"/>
          <w:szCs w:val="22"/>
        </w:rPr>
        <w:t xml:space="preserve"> for comparison against individual post-flight timepoints R+1d, R+45d, R+82d and R+194d. These samples were </w:t>
      </w:r>
      <w:r w:rsidR="00C81CA0">
        <w:rPr>
          <w:rFonts w:ascii="Arial" w:hAnsi="Arial" w:cs="Arial"/>
          <w:color w:val="000000"/>
          <w:sz w:val="22"/>
          <w:szCs w:val="22"/>
        </w:rPr>
        <w:t xml:space="preserve">analysed by Quest Diagnostics using the </w:t>
      </w:r>
      <w:r w:rsidR="00C81CA0" w:rsidRPr="00C81CA0">
        <w:rPr>
          <w:rFonts w:ascii="Arial" w:hAnsi="Arial" w:cs="Arial"/>
          <w:color w:val="000000"/>
          <w:sz w:val="22"/>
          <w:szCs w:val="22"/>
        </w:rPr>
        <w:t xml:space="preserve">Comprehensive metabolic panel </w:t>
      </w:r>
      <w:r w:rsidR="001E1DBD">
        <w:rPr>
          <w:rFonts w:ascii="Arial" w:hAnsi="Arial" w:cs="Arial"/>
          <w:color w:val="000000"/>
          <w:sz w:val="22"/>
          <w:szCs w:val="22"/>
        </w:rPr>
        <w:fldChar w:fldCharType="begin"/>
      </w:r>
      <w:r w:rsidR="001E1DBD">
        <w:rPr>
          <w:rFonts w:ascii="Arial" w:hAnsi="Arial" w:cs="Arial"/>
          <w:color w:val="000000"/>
          <w:sz w:val="22"/>
          <w:szCs w:val="22"/>
        </w:rPr>
        <w:instrText xml:space="preserve"> ADDIN ZOTERO_ITEM CSL_CITATION {"citationID":"wjYFtMV0","properties":{"formattedCitation":"\\super 55\\nosupersub{}","plainCitation":"55","noteIndex":0},"citationItems":[{"id":16175,"uris":["http://zotero.org/users/1547967/items/8UGQAWEU"],"itemData":{"id":16175,"type":"article-journal","container-title":"Nature","title":"In Review. Nature ID: 2023-02-01822: Single-cell multi-ome and immune profiles of the Inspiration4 crew reveal variegated, cell-type, sex-specific differences to spaceflight and recovery","author":[{"family":"Kim","given":""},{"family":"Mason","given":"Christopher E."}],"issued":{"date-parts":[["2023"]]}}}],"schema":"https://github.com/citation-style-language/schema/raw/master/csl-citation.json"} </w:instrText>
      </w:r>
      <w:r w:rsidR="001E1DBD">
        <w:rPr>
          <w:rFonts w:ascii="Arial" w:hAnsi="Arial" w:cs="Arial"/>
          <w:color w:val="000000"/>
          <w:sz w:val="22"/>
          <w:szCs w:val="22"/>
        </w:rPr>
        <w:fldChar w:fldCharType="separate"/>
      </w:r>
      <w:r w:rsidR="001E1DBD" w:rsidRPr="001E1DBD">
        <w:rPr>
          <w:rFonts w:ascii="Arial" w:hAnsi="Arial" w:cs="Arial"/>
          <w:sz w:val="22"/>
          <w:vertAlign w:val="superscript"/>
        </w:rPr>
        <w:t>55</w:t>
      </w:r>
      <w:r w:rsidR="001E1DBD">
        <w:rPr>
          <w:rFonts w:ascii="Arial" w:hAnsi="Arial" w:cs="Arial"/>
          <w:color w:val="000000"/>
          <w:sz w:val="22"/>
          <w:szCs w:val="22"/>
        </w:rPr>
        <w:fldChar w:fldCharType="end"/>
      </w:r>
      <w:r w:rsidR="00C81CA0">
        <w:rPr>
          <w:rFonts w:ascii="Arial" w:hAnsi="Arial" w:cs="Arial"/>
          <w:color w:val="000000"/>
          <w:sz w:val="22"/>
          <w:szCs w:val="22"/>
        </w:rPr>
        <w:t xml:space="preserve">. </w:t>
      </w:r>
    </w:p>
    <w:p w14:paraId="722BAC2F" w14:textId="0A8A960C" w:rsidR="00B03701" w:rsidRDefault="00B03701" w:rsidP="0009583A">
      <w:pPr>
        <w:pStyle w:val="NormalWeb"/>
        <w:spacing w:before="240" w:after="240" w:line="480" w:lineRule="auto"/>
        <w:ind w:left="-280"/>
        <w:jc w:val="both"/>
        <w:rPr>
          <w:rFonts w:ascii="Arial" w:hAnsi="Arial" w:cs="Arial"/>
          <w:color w:val="000000"/>
          <w:sz w:val="22"/>
          <w:szCs w:val="22"/>
        </w:rPr>
      </w:pPr>
      <w:r>
        <w:rPr>
          <w:rFonts w:ascii="Arial" w:hAnsi="Arial" w:cs="Arial"/>
          <w:i/>
          <w:iCs/>
          <w:color w:val="000000"/>
          <w:sz w:val="22"/>
          <w:szCs w:val="22"/>
        </w:rPr>
        <w:t>NASA</w:t>
      </w:r>
    </w:p>
    <w:p w14:paraId="28B6E5EC" w14:textId="02483F4B" w:rsidR="00D72545" w:rsidRDefault="00B03701" w:rsidP="00086686">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A historical collection of archived astronaut frozen plasma and urine aliquots were collected and stored at -80C over many years.</w:t>
      </w:r>
      <w:r w:rsidR="007D11C1">
        <w:rPr>
          <w:rFonts w:ascii="Arial" w:hAnsi="Arial" w:cs="Arial"/>
          <w:color w:val="000000"/>
          <w:sz w:val="22"/>
          <w:szCs w:val="22"/>
        </w:rPr>
        <w:t xml:space="preserve"> Clinical chemistries, endocrine profiles and </w:t>
      </w:r>
      <w:r w:rsidR="003C0353">
        <w:rPr>
          <w:rFonts w:ascii="Arial" w:hAnsi="Arial" w:cs="Arial"/>
          <w:color w:val="000000"/>
          <w:sz w:val="22"/>
          <w:szCs w:val="22"/>
        </w:rPr>
        <w:t xml:space="preserve">biomarkers were </w:t>
      </w:r>
      <w:r w:rsidR="003C0353">
        <w:rPr>
          <w:rFonts w:ascii="Arial" w:hAnsi="Arial" w:cs="Arial"/>
          <w:color w:val="000000"/>
          <w:sz w:val="22"/>
          <w:szCs w:val="22"/>
        </w:rPr>
        <w:lastRenderedPageBreak/>
        <w:t xml:space="preserve">obtained at the </w:t>
      </w:r>
      <w:r w:rsidR="003C0353" w:rsidRPr="003C0353">
        <w:rPr>
          <w:rFonts w:ascii="Arial" w:hAnsi="Arial" w:cs="Arial"/>
          <w:color w:val="000000"/>
          <w:sz w:val="22"/>
          <w:szCs w:val="22"/>
        </w:rPr>
        <w:t>Nutritional Biochemistry Laboratory at NASA Johnson Space Center</w:t>
      </w:r>
      <w:r w:rsidR="00BD758C">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{"citationID":"oEFnVrK6","properties":{"formattedCitation":"\\super 56\\nosupersub{}","plainCitation":"56","noteIndex":0},"citationItems":[{"id":16179,"uris":["http://zotero.org/users/1547967/items/8A53GHES"],"itemData":{"id":16179,"type":"article-journal","abstract":"Long-duration spaceflight impacts human physiology, including well documented immune system dysregulation. The space food system has the potential to serve as a countermeasure to maladaptive physiological changes during spaceflight. However, the relationship between dietary requirements, the food system, and spaceflight adaptation requires further investigation to adequately define countermeasures and prioritize resources on future spaceflight missions. We evaluated the impact of an enhanced spaceflight diet, with increased quantity and variety of fruits, vegetables, fish, and other foods rich in flavonoids and omega-3 fatty acids, compared to a standard spaceflight diet on multiple health and performance outcomes in 16 subjects over four 45-day closed chamber missions in the NASA Human Exploration Research Analog (HERA). Subjects consuming the enhanced spaceflight diet had lower cholesterol levels, lower stress (i.e. cortisol levels), better cognitive speed, accuracy, and attention, and a more stable microbiome and metatranscriptome than subjects consuming the standard diet. Although no substantial changes were observed in the immune response, there were also no immune challenges, such as illness or infection, so the full benefits of the diet may not have been apparent in these analog missions. These results indicate that a spaceflight diet rich in fruits, vegetables, and omega-3 fatty acids produces significant health and performance benefits even over short durations. Further investigation is required to fully develop dietary countermeasures to physiological decrements observed during spaceflight. These results will have implications for food resource prioritization on spaceflight missions.","container-title":"Scientific Reports","DOI":"10.1038/s41598-022-21927-5","ISSN":"2045-2322","issue":"1","journalAbbreviation":"Sci Rep","language":"en","license":"2022 This is a U.S. Government work and not under copyright protection in the US; foreign copyright protection may apply","note":"number: 1\npublisher: Nature Publishing Group","page":"20847","source":"www.nature.com","title":"Impact of diet on human nutrition, immune response, gut microbiome, and cognition in an isolated and confined mission environment","volume":"12","author":[{"family":"Douglas","given":"Grace L."},{"family":"DeKerlegand","given":"Diane"},{"family":"Dlouhy","given":"Holly"},{"family":"Dumont-Leblond","given":"Nathan"},{"family":"Fields","given":"Eden"},{"family":"Heer","given":"Martina"},{"family":"Krieger","given":"Stephanie"},{"family":"Mehta","given":"Satish"},{"family":"Rooney","given":"Bridgette V."},{"family":"Torralba","given":"Manolito G."},{"family":"Whiting","given":"Sara E."},{"family":"Crucian","given":"Brian"},{"family":"Lorenzi","given":"Hernan"},{"family":"Smith","given":"Scott M."},{"family":"Young","given":"Millennia"},{"family":"Zwart","given":"Sara R."}],"issued":{"date-parts":[["2022",12,15]]}}}],"schema":"https://github.com/citation-style-language/schema/raw/master/csl-citation.json"} </w:instrText>
      </w:r>
      <w:r w:rsidR="00BD758C">
        <w:rPr>
          <w:rFonts w:ascii="Arial" w:hAnsi="Arial" w:cs="Arial"/>
          <w:color w:val="000000"/>
          <w:sz w:val="22"/>
          <w:szCs w:val="22"/>
        </w:rPr>
        <w:fldChar w:fldCharType="separate"/>
      </w:r>
      <w:r w:rsidR="00BD758C" w:rsidRPr="00BD758C">
        <w:rPr>
          <w:rFonts w:ascii="Arial" w:hAnsi="Arial" w:cs="Arial"/>
          <w:sz w:val="22"/>
          <w:vertAlign w:val="superscript"/>
        </w:rPr>
        <w:t>56</w:t>
      </w:r>
      <w:r w:rsidR="00BD758C">
        <w:rPr>
          <w:rFonts w:ascii="Arial" w:hAnsi="Arial" w:cs="Arial"/>
          <w:color w:val="000000"/>
          <w:sz w:val="22"/>
          <w:szCs w:val="22"/>
        </w:rPr>
        <w:fldChar w:fldCharType="end"/>
      </w:r>
      <w:r w:rsidR="003C0353">
        <w:rPr>
          <w:rFonts w:ascii="Arial" w:hAnsi="Arial" w:cs="Arial"/>
          <w:color w:val="000000"/>
          <w:sz w:val="22"/>
          <w:szCs w:val="22"/>
        </w:rPr>
        <w:t>.</w:t>
      </w:r>
      <w:r>
        <w:rPr>
          <w:rFonts w:ascii="Arial" w:hAnsi="Arial" w:cs="Arial"/>
          <w:color w:val="000000"/>
          <w:sz w:val="22"/>
          <w:szCs w:val="22"/>
        </w:rPr>
        <w:t xml:space="preserve"> Timepoints L-180d and L-45d were grouped and averaged as “pre-flight” for comparison to individual timepoints L+15d, L+30d, L+60d, L+120d, L+180d, R+0d and R+30d.</w:t>
      </w:r>
    </w:p>
    <w:p w14:paraId="230AC51A" w14:textId="77777777" w:rsidR="00086686" w:rsidRDefault="00086686" w:rsidP="00086686">
      <w:pPr>
        <w:pStyle w:val="NormalWeb"/>
        <w:spacing w:before="240" w:after="240" w:line="480" w:lineRule="auto"/>
        <w:ind w:left="-280"/>
        <w:jc w:val="both"/>
        <w:rPr>
          <w:rFonts w:ascii="Arial" w:hAnsi="Arial" w:cs="Arial"/>
          <w:color w:val="000000"/>
        </w:rPr>
      </w:pPr>
    </w:p>
    <w:p w14:paraId="7C1FE198" w14:textId="7A644E48" w:rsidR="00D72545" w:rsidRDefault="00D72545" w:rsidP="00D72545">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Functional calculations</w:t>
      </w:r>
    </w:p>
    <w:p w14:paraId="5209E90F" w14:textId="2F7A53D8" w:rsidR="00E45111" w:rsidRDefault="00D72545" w:rsidP="00E45111">
      <w:pPr>
        <w:pStyle w:val="NormalWeb"/>
        <w:spacing w:before="240" w:after="240" w:line="480" w:lineRule="auto"/>
        <w:ind w:left="-280"/>
        <w:jc w:val="both"/>
        <w:rPr>
          <w:rFonts w:ascii="Arial" w:hAnsi="Arial" w:cs="Arial"/>
          <w:sz w:val="22"/>
          <w:szCs w:val="22"/>
        </w:rPr>
      </w:pPr>
      <w:r w:rsidRPr="00F85C2B">
        <w:rPr>
          <w:rFonts w:ascii="Arial" w:hAnsi="Arial" w:cs="Arial"/>
          <w:color w:val="000000"/>
          <w:sz w:val="22"/>
          <w:szCs w:val="22"/>
        </w:rPr>
        <w:t xml:space="preserve">eGFR was calculated using the new 2021 CKD-EPI creatinine (2009 CKD-EPI creatinine fit without race) [new </w:t>
      </w:r>
      <w:proofErr w:type="spellStart"/>
      <w:r w:rsidRPr="00F85C2B">
        <w:rPr>
          <w:rFonts w:ascii="Arial" w:hAnsi="Arial" w:cs="Arial"/>
          <w:color w:val="000000"/>
          <w:sz w:val="22"/>
          <w:szCs w:val="22"/>
        </w:rPr>
        <w:t>eGFRcr</w:t>
      </w:r>
      <w:proofErr w:type="spellEnd"/>
      <w:r w:rsidRPr="00F85C2B">
        <w:rPr>
          <w:rFonts w:ascii="Arial" w:hAnsi="Arial" w:cs="Arial"/>
          <w:color w:val="000000"/>
          <w:sz w:val="22"/>
          <w:szCs w:val="22"/>
        </w:rPr>
        <w:t>(AS) equation</w:t>
      </w:r>
      <w:r w:rsidR="00FD63F8">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{"citationID":"SXUGCgBu","properties":{"formattedCitation":"\\super 57\\nosupersub{}","plainCitation":"57","noteIndex":0},"citationItems":[{"id":15965,"uris":["http://zotero.org/users/1547967/items/TW5KRSFT"],"itemData":{"id":15965,"type":"article-journal","container-title":"New England Journal of Medicine","DOI":"10.1056/NEJMoa2102953","ISSN":"0028-4793","issue":"19","note":"publisher: Massachusetts Medical Society\n_eprint: https://doi.org/10.1056/NEJMoa2102953\nPMID: 34554658","page":"1737-1749","source":"Taylor and Francis+NEJM","title":"New Creatinine- and Cystatin C–Based Equations to Estimate GFR without Race","volume":"385","author":[{"family":"Inker","given":"Lesley A."},{"family":"Eneanya","given":"Nwamaka D."},{"family":"Coresh","given":"Josef"},{"family":"Tighiouart","given":"Hocine"},{"family":"Wang","given":"Dan"},{"family":"Sang","given":"Yingying"},{"family":"Crews","given":"Deidra C."},{"family":"Doria","given":"Alessandro"},{"family":"Estrella","given":"Michelle M."},{"family":"Froissart","given":"Marc"},{"family":"Grams","given":"Morgan E."},{"family":"Greene","given":"Tom"},{"family":"Grubb","given":"Anders"},{"family":"Gudnason","given":"Vilmundur"},{"family":"Gutiérrez","given":"Orlando M."},{"family":"Kalil","given":"Roberto"},{"family":"Karger","given":"Amy B."},{"family":"Mauer","given":"Michael"},{"family":"Navis","given":"Gerjan"},{"family":"Nelson","given":"Robert G."},{"family":"Poggio","given":"Emilio D."},{"family":"Rodby","given":"Roger"},{"family":"Rossing","given":"Peter"},{"family":"Rule","given":"Andrew D."},{"family":"Selvin","given":"Elizabeth"},{"family":"Seegmiller","given":"Jesse C."},{"family":"Shlipak","given":"Michael G."},{"family":"Torres","given":"Vicente E."},{"family":"Yang","given":"Wei"},{"family":"Ballew","given":"Shoshana H."},{"family":"Couture","given":"Sara J."},{"family":"Powe","given":"Neil R."},{"family":"Levey","given":"Andrew S."}],"issued":{"date-parts":[["2021",11,4]]}}}],"schema":"https://github.com/citation-style-language/schema/raw/master/csl-citation.json"} </w:instrText>
      </w:r>
      <w:r w:rsidR="00FD63F8">
        <w:rPr>
          <w:rFonts w:ascii="Arial" w:hAnsi="Arial" w:cs="Arial"/>
          <w:color w:val="000000"/>
          <w:sz w:val="22"/>
          <w:szCs w:val="22"/>
        </w:rPr>
        <w:fldChar w:fldCharType="separate"/>
      </w:r>
      <w:r w:rsidR="00BD758C" w:rsidRPr="00BD758C">
        <w:rPr>
          <w:rFonts w:ascii="Arial" w:hAnsi="Arial" w:cs="Arial"/>
          <w:sz w:val="22"/>
          <w:vertAlign w:val="superscript"/>
        </w:rPr>
        <w:t>57</w:t>
      </w:r>
      <w:r w:rsidR="00FD63F8">
        <w:rPr>
          <w:rFonts w:ascii="Arial" w:hAnsi="Arial" w:cs="Arial"/>
          <w:color w:val="000000"/>
          <w:sz w:val="22"/>
          <w:szCs w:val="22"/>
        </w:rPr>
        <w:fldChar w:fldCharType="end"/>
      </w:r>
      <w:r w:rsidRPr="00F85C2B">
        <w:rPr>
          <w:rFonts w:ascii="Arial" w:hAnsi="Arial" w:cs="Arial"/>
          <w:color w:val="000000"/>
          <w:sz w:val="22"/>
          <w:szCs w:val="22"/>
        </w:rPr>
        <w:t xml:space="preserve">]. </w:t>
      </w:r>
      <w:r w:rsidR="005B5328" w:rsidRPr="00F85C2B">
        <w:rPr>
          <w:rFonts w:ascii="Arial" w:hAnsi="Arial" w:cs="Arial"/>
          <w:color w:val="000000"/>
          <w:sz w:val="22"/>
          <w:szCs w:val="22"/>
        </w:rPr>
        <w:t>The fractional excretions of electrolytes w</w:t>
      </w:r>
      <w:r w:rsidR="00A256C4">
        <w:rPr>
          <w:rFonts w:ascii="Arial" w:hAnsi="Arial" w:cs="Arial"/>
          <w:color w:val="000000"/>
          <w:sz w:val="22"/>
          <w:szCs w:val="22"/>
        </w:rPr>
        <w:t>ere</w:t>
      </w:r>
      <w:r w:rsidR="005B5328" w:rsidRPr="00F85C2B">
        <w:rPr>
          <w:rFonts w:ascii="Arial" w:hAnsi="Arial" w:cs="Arial"/>
          <w:color w:val="000000"/>
          <w:sz w:val="22"/>
          <w:szCs w:val="22"/>
        </w:rPr>
        <w:t xml:space="preserve"> determined by (Urine solute x Plasma creatinine) ÷ (Urine creatinine x Plasma solute). A corrected FE</w:t>
      </w:r>
      <w:r w:rsidR="005B5328" w:rsidRPr="00F85C2B">
        <w:rPr>
          <w:rFonts w:ascii="Arial" w:hAnsi="Arial" w:cs="Arial"/>
          <w:color w:val="000000"/>
          <w:sz w:val="22"/>
          <w:szCs w:val="22"/>
          <w:vertAlign w:val="subscript"/>
        </w:rPr>
        <w:t>Mg</w:t>
      </w:r>
      <w:r w:rsidR="005B5328" w:rsidRPr="00F85C2B">
        <w:rPr>
          <w:rFonts w:ascii="Arial" w:hAnsi="Arial" w:cs="Arial"/>
          <w:color w:val="000000"/>
          <w:sz w:val="22"/>
          <w:szCs w:val="22"/>
        </w:rPr>
        <w:t xml:space="preserve"> was determined</w:t>
      </w:r>
      <w:r w:rsidR="00A256C4">
        <w:rPr>
          <w:rFonts w:ascii="Arial" w:hAnsi="Arial" w:cs="Arial"/>
          <w:color w:val="000000"/>
          <w:sz w:val="22"/>
          <w:szCs w:val="22"/>
        </w:rPr>
        <w:t>,</w:t>
      </w:r>
      <w:r w:rsidR="005B5328" w:rsidRPr="00F85C2B">
        <w:rPr>
          <w:rFonts w:ascii="Arial" w:hAnsi="Arial" w:cs="Arial"/>
          <w:color w:val="000000"/>
          <w:sz w:val="22"/>
          <w:szCs w:val="22"/>
        </w:rPr>
        <w:t xml:space="preserve"> as ~30% of magnesium is protein bound and is not filtered, and therefore the plasma magnesium must be multiplied by 0.7 i.e. [pCr × uMg] / [(0.7 × </w:t>
      </w:r>
      <w:proofErr w:type="spellStart"/>
      <w:r w:rsidR="005B5328" w:rsidRPr="00F85C2B">
        <w:rPr>
          <w:rFonts w:ascii="Arial" w:hAnsi="Arial" w:cs="Arial"/>
          <w:color w:val="000000"/>
          <w:sz w:val="22"/>
          <w:szCs w:val="22"/>
        </w:rPr>
        <w:t>sMg</w:t>
      </w:r>
      <w:proofErr w:type="spellEnd"/>
      <w:r w:rsidR="005B5328" w:rsidRPr="00F85C2B">
        <w:rPr>
          <w:rFonts w:ascii="Arial" w:hAnsi="Arial" w:cs="Arial"/>
          <w:color w:val="000000"/>
          <w:sz w:val="22"/>
          <w:szCs w:val="22"/>
        </w:rPr>
        <w:t xml:space="preserve">) × </w:t>
      </w:r>
      <w:proofErr w:type="spellStart"/>
      <w:r w:rsidR="005B5328" w:rsidRPr="00F85C2B">
        <w:rPr>
          <w:rFonts w:ascii="Arial" w:hAnsi="Arial" w:cs="Arial"/>
          <w:color w:val="000000"/>
          <w:sz w:val="22"/>
          <w:szCs w:val="22"/>
        </w:rPr>
        <w:t>pCr</w:t>
      </w:r>
      <w:proofErr w:type="spellEnd"/>
      <w:r w:rsidR="005B5328" w:rsidRPr="00F85C2B">
        <w:rPr>
          <w:rFonts w:ascii="Arial" w:hAnsi="Arial" w:cs="Arial"/>
          <w:color w:val="000000"/>
          <w:sz w:val="22"/>
          <w:szCs w:val="22"/>
        </w:rPr>
        <w:t>]</w:t>
      </w:r>
      <w:r w:rsidR="00FD63F8">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{"citationID":"XUSIkdLE","properties":{"formattedCitation":"\\super 58\\nosupersub{}","plainCitation":"58","noteIndex":0},"citationItems":[{"id":15964,"uris":["http://zotero.org/users/1547967/items/I9UMFG74"],"itemData":{"id":15964,"type":"article-journal","container-title":"Reviews in Endocrine and Metabolic Disorders","DOI":"10.1023/A:1022950321817","ISSN":"1573-2606","issue":"2","journalAbbreviation":"Rev Endocr Metab Disord","language":"en","page":"195-206","source":"Springer Link","title":"Hypomagnesemia and Hypermagnesemia","volume":"4","author":[{"family":"Topf","given":"Joel Michels"},{"family":"Murray","given":"Patrick T."}],"issued":{"date-parts":[["2003",5,1]]}}}],"schema":"https://github.com/citation-style-language/schema/raw/master/csl-citation.json"} </w:instrText>
      </w:r>
      <w:r w:rsidR="00FD63F8">
        <w:rPr>
          <w:rFonts w:ascii="Arial" w:hAnsi="Arial" w:cs="Arial"/>
          <w:color w:val="000000"/>
          <w:sz w:val="22"/>
          <w:szCs w:val="22"/>
        </w:rPr>
        <w:fldChar w:fldCharType="separate"/>
      </w:r>
      <w:r w:rsidR="00BD758C" w:rsidRPr="00BD758C">
        <w:rPr>
          <w:rFonts w:ascii="Arial" w:hAnsi="Arial" w:cs="Arial"/>
          <w:sz w:val="22"/>
          <w:vertAlign w:val="superscript"/>
        </w:rPr>
        <w:t>58</w:t>
      </w:r>
      <w:r w:rsidR="00FD63F8">
        <w:rPr>
          <w:rFonts w:ascii="Arial" w:hAnsi="Arial" w:cs="Arial"/>
          <w:color w:val="000000"/>
          <w:sz w:val="22"/>
          <w:szCs w:val="22"/>
        </w:rPr>
        <w:fldChar w:fldCharType="end"/>
      </w:r>
      <w:r w:rsidR="005B5328" w:rsidRPr="00F85C2B">
        <w:rPr>
          <w:rFonts w:ascii="Arial" w:hAnsi="Arial" w:cs="Arial"/>
          <w:color w:val="000000"/>
          <w:sz w:val="22"/>
          <w:szCs w:val="22"/>
        </w:rPr>
        <w:t>. The FE</w:t>
      </w:r>
      <w:r w:rsidR="005B5328" w:rsidRPr="00F85C2B">
        <w:rPr>
          <w:rFonts w:ascii="Arial" w:hAnsi="Arial" w:cs="Arial"/>
          <w:color w:val="000000"/>
          <w:sz w:val="22"/>
          <w:szCs w:val="22"/>
          <w:vertAlign w:val="subscript"/>
        </w:rPr>
        <w:t>H2O</w:t>
      </w:r>
      <w:r w:rsidR="005B5328" w:rsidRPr="00F85C2B">
        <w:rPr>
          <w:rFonts w:ascii="Arial" w:hAnsi="Arial" w:cs="Arial"/>
          <w:color w:val="000000"/>
          <w:sz w:val="22"/>
          <w:szCs w:val="22"/>
        </w:rPr>
        <w:t> is the volume of water that appears as urine compared to the amount filtered. Thus, FE</w:t>
      </w:r>
      <w:r w:rsidR="005B5328" w:rsidRPr="00F85C2B">
        <w:rPr>
          <w:rFonts w:ascii="Arial" w:hAnsi="Arial" w:cs="Arial"/>
          <w:color w:val="000000"/>
          <w:sz w:val="22"/>
          <w:szCs w:val="22"/>
          <w:vertAlign w:val="subscript"/>
        </w:rPr>
        <w:t>H2O</w:t>
      </w:r>
      <w:r w:rsidR="005B5328" w:rsidRPr="00F85C2B">
        <w:rPr>
          <w:rFonts w:ascii="Arial" w:hAnsi="Arial" w:cs="Arial"/>
          <w:color w:val="000000"/>
          <w:sz w:val="22"/>
          <w:szCs w:val="22"/>
        </w:rPr>
        <w:t> = V / GFR. Since GFR = UCr x V / PCr. FE</w:t>
      </w:r>
      <w:r w:rsidR="005B5328" w:rsidRPr="00F85C2B">
        <w:rPr>
          <w:rFonts w:ascii="Arial" w:hAnsi="Arial" w:cs="Arial"/>
          <w:color w:val="000000"/>
          <w:sz w:val="22"/>
          <w:szCs w:val="22"/>
          <w:vertAlign w:val="subscript"/>
        </w:rPr>
        <w:t>H2O</w:t>
      </w:r>
      <w:r w:rsidR="005B5328" w:rsidRPr="00F85C2B">
        <w:rPr>
          <w:rFonts w:ascii="Arial" w:hAnsi="Arial" w:cs="Arial"/>
          <w:color w:val="000000"/>
          <w:sz w:val="22"/>
          <w:szCs w:val="22"/>
        </w:rPr>
        <w:t> = V x PCr / UCr x V</w:t>
      </w:r>
      <w:r w:rsidR="00BD51D4" w:rsidRPr="00F85C2B">
        <w:rPr>
          <w:rFonts w:ascii="Arial" w:hAnsi="Arial" w:cs="Arial"/>
          <w:color w:val="000000"/>
          <w:sz w:val="22"/>
          <w:szCs w:val="22"/>
        </w:rPr>
        <w:t xml:space="preserve">. </w:t>
      </w:r>
      <w:r w:rsidR="005B5328" w:rsidRPr="00F85C2B">
        <w:rPr>
          <w:rFonts w:ascii="Arial" w:hAnsi="Arial" w:cs="Arial"/>
          <w:color w:val="000000"/>
          <w:sz w:val="22"/>
          <w:szCs w:val="22"/>
        </w:rPr>
        <w:t>Simplifying, FE</w:t>
      </w:r>
      <w:r w:rsidR="005B5328" w:rsidRPr="00F85C2B">
        <w:rPr>
          <w:rFonts w:ascii="Arial" w:hAnsi="Arial" w:cs="Arial"/>
          <w:color w:val="000000"/>
          <w:sz w:val="22"/>
          <w:szCs w:val="22"/>
          <w:vertAlign w:val="subscript"/>
        </w:rPr>
        <w:t>H2O</w:t>
      </w:r>
      <w:r w:rsidR="005B5328" w:rsidRPr="00F85C2B">
        <w:rPr>
          <w:rFonts w:ascii="Arial" w:hAnsi="Arial" w:cs="Arial"/>
          <w:color w:val="000000"/>
          <w:sz w:val="22"/>
          <w:szCs w:val="22"/>
        </w:rPr>
        <w:t> = PCr / UCr (then multiply by 100 to express as a percentage</w:t>
      </w:r>
      <w:r w:rsidR="00FD63F8">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{"citationID":"P54pur74","properties":{"formattedCitation":"\\super 59\\nosupersub{}","plainCitation":"59","noteIndex":0},"citationItems":[{"id":15963,"uris":["http://zotero.org/users/1547967/items/F4KKTIJR"],"itemData":{"id":15963,"type":"article-journal","abstract":"&lt;p&gt;&lt;i&gt;Hypernatraemia caused by salt poisoning or dehydration must be distinguished correctly, as the two situations need different legal and medical approaches. Two nephrologists discuss the physiology of hypernatraemia and explain how to differentiate between cases caused by salt poisoning and dehydration&lt;/i&gt;&lt;/p&gt;","container-title":"BMJ","DOI":"10.1136/bmj.326.7381.157","ISSN":"0959-8138, 1468-5833","issue":"7381","journalAbbreviation":"BMJ","language":"en","license":"© 2003 BMJ Publishing Group Ltd.","note":"publisher: British Medical Journal Publishing Group\nsection: Education and debate\nPMID: 12531853","page":"157-160","source":"www.bmj.com","title":"Distinguishing between salt poisoning and hypernatraemic dehydration in children","volume":"326","author":[{"family":"Coulthard","given":"Malcolm G."},{"family":"Haycock","given":"George B."}],"issued":{"date-parts":[["2003",1,18]]}}}],"schema":"https://github.com/citation-style-language/schema/raw/master/csl-citation.json"} </w:instrText>
      </w:r>
      <w:r w:rsidR="00FD63F8">
        <w:rPr>
          <w:rFonts w:ascii="Arial" w:hAnsi="Arial" w:cs="Arial"/>
          <w:color w:val="000000"/>
          <w:sz w:val="22"/>
          <w:szCs w:val="22"/>
        </w:rPr>
        <w:fldChar w:fldCharType="separate"/>
      </w:r>
      <w:r w:rsidR="00BD758C" w:rsidRPr="00BD758C">
        <w:rPr>
          <w:rFonts w:ascii="Arial" w:hAnsi="Arial" w:cs="Arial"/>
          <w:sz w:val="22"/>
          <w:vertAlign w:val="superscript"/>
        </w:rPr>
        <w:t>59</w:t>
      </w:r>
      <w:r w:rsidR="00FD63F8">
        <w:rPr>
          <w:rFonts w:ascii="Arial" w:hAnsi="Arial" w:cs="Arial"/>
          <w:color w:val="000000"/>
          <w:sz w:val="22"/>
          <w:szCs w:val="22"/>
        </w:rPr>
        <w:fldChar w:fldCharType="end"/>
      </w:r>
      <w:r w:rsidR="005B5328" w:rsidRPr="00F85C2B">
        <w:rPr>
          <w:rFonts w:ascii="Arial" w:hAnsi="Arial" w:cs="Arial"/>
          <w:color w:val="000000"/>
          <w:sz w:val="22"/>
          <w:szCs w:val="22"/>
        </w:rPr>
        <w:t>)</w:t>
      </w:r>
      <w:r w:rsidR="00BD51D4" w:rsidRPr="00F85C2B">
        <w:rPr>
          <w:rFonts w:ascii="Arial" w:hAnsi="Arial" w:cs="Arial"/>
          <w:color w:val="000000"/>
          <w:sz w:val="22"/>
          <w:szCs w:val="22"/>
        </w:rPr>
        <w:t>.</w:t>
      </w:r>
      <w:r w:rsidR="00E45111" w:rsidRPr="00F85C2B">
        <w:rPr>
          <w:rFonts w:ascii="Arial" w:hAnsi="Arial" w:cs="Arial"/>
          <w:color w:val="000000"/>
          <w:sz w:val="22"/>
          <w:szCs w:val="22"/>
        </w:rPr>
        <w:t xml:space="preserve"> The ratio of tubular maximum reabsorption of phosphate (TmP) to GFR is used to evaluate renal phosphate transport. TmP/GFR is calculated using the following steps: </w:t>
      </w:r>
      <w:r w:rsidR="00E45111" w:rsidRPr="00F85C2B">
        <w:rPr>
          <w:rFonts w:ascii="Arial" w:hAnsi="Arial" w:cs="Arial"/>
          <w:sz w:val="22"/>
          <w:szCs w:val="22"/>
        </w:rPr>
        <w:t xml:space="preserve">1) Calculate the ratio of phosphate clearance to creatinine clearance (CP/CCr) CP/CCr = serum creatinine x Urine phosphate / Urine creatinine x Serum phosphate (This ratio is normally less than 0.15 and is often elevated in primary hyperparathyroidism). 2) Subtract this fraction from 1.0 to give the fractional tubular reabsorption of phosphate (TRP). TRP = 1 - serum creatinine x Urine phosphate / Urine creatinine x Serum phosphate. 3) If TRP is </w:t>
      </w:r>
      <w:r w:rsidR="00E45111" w:rsidRPr="00F85C2B">
        <w:rPr>
          <w:rFonts w:ascii="Arial" w:hAnsi="Arial" w:cs="Arial"/>
          <w:sz w:val="22"/>
          <w:szCs w:val="22"/>
        </w:rPr>
        <w:sym w:font="Symbol" w:char="F0A3"/>
      </w:r>
      <w:r w:rsidR="00E45111" w:rsidRPr="00F85C2B">
        <w:rPr>
          <w:rFonts w:ascii="Arial" w:hAnsi="Arial" w:cs="Arial"/>
          <w:sz w:val="22"/>
          <w:szCs w:val="22"/>
        </w:rPr>
        <w:t xml:space="preserve"> 0.86 then phosphate reabsorption is maximal and there is a linear relationship between plasma phosphate concentration and excretion and TmP/GFR which is calculated by: TmP/GFR = TRP x serum phosphate. 4) If TRP is &gt; 0.86 relationship between plasma phosphate concentration and excretion is curvilinear and TmP/GFR is defined as follows: TmP/GFR = </w:t>
      </w:r>
      <w:r w:rsidR="00E45111" w:rsidRPr="00F85C2B">
        <w:rPr>
          <w:rFonts w:ascii="Arial" w:hAnsi="Arial" w:cs="Arial"/>
          <w:sz w:val="22"/>
          <w:szCs w:val="22"/>
        </w:rPr>
        <w:sym w:font="Symbol" w:char="F061"/>
      </w:r>
      <w:r w:rsidR="00E45111" w:rsidRPr="00F85C2B">
        <w:rPr>
          <w:rFonts w:ascii="Arial" w:hAnsi="Arial" w:cs="Arial"/>
          <w:sz w:val="22"/>
          <w:szCs w:val="22"/>
        </w:rPr>
        <w:t xml:space="preserve">  x serum phosphate, where </w:t>
      </w:r>
      <w:r w:rsidR="00E45111" w:rsidRPr="00F85C2B">
        <w:rPr>
          <w:rFonts w:ascii="Arial" w:hAnsi="Arial" w:cs="Arial"/>
          <w:sz w:val="22"/>
          <w:szCs w:val="22"/>
        </w:rPr>
        <w:sym w:font="Symbol" w:char="F061"/>
      </w:r>
      <w:r w:rsidR="00E45111" w:rsidRPr="00F85C2B">
        <w:rPr>
          <w:rFonts w:ascii="Arial" w:hAnsi="Arial" w:cs="Arial"/>
          <w:sz w:val="22"/>
          <w:szCs w:val="22"/>
        </w:rPr>
        <w:t xml:space="preserve"> = 0.3 x TRP 1- (0.8 x TRP)</w:t>
      </w:r>
      <w:r w:rsidR="00FD63F8">
        <w:rPr>
          <w:rFonts w:ascii="Arial" w:hAnsi="Arial" w:cs="Arial"/>
          <w:sz w:val="22"/>
          <w:szCs w:val="22"/>
        </w:rPr>
        <w:fldChar w:fldCharType="begin"/>
      </w:r>
      <w:r w:rsidR="00BD758C">
        <w:rPr>
          <w:rFonts w:ascii="Arial" w:hAnsi="Arial" w:cs="Arial"/>
          <w:sz w:val="22"/>
          <w:szCs w:val="22"/>
        </w:rPr>
        <w:instrText xml:space="preserve"> ADDIN ZOTERO_ITEM CSL_CITATION {"citationID":"tVsLZiEP","properties":{"formattedCitation":"\\super 60\\nosupersub{}","plainCitation":"60","noteIndex":0},"citationItems":[{"id":15962,"uris":["http://zotero.org/users/1547967/items/6GSR7W3A"],"itemData":{"id":15962,"type":"article-journal","abstract":"As the Walton-Bijvoet nomogram for estimating renal phosphate (P) threshold (TmP/GFR) is not applicable to children of all ages, we sought an alternative method for measuring renal handling of P. Recognizing that the nomogram represents an indirect correlation between TmP/GFR and TP/GFR under fasting conditions, we examined this directly in 26 children. An excellent correlation was found, expressed as TmP/GFR = (fasting TP/GFR × 1.1) -0.3 (r = 0.95). The regression line in adults, expressed as TmP/GFR = (fasting TP/GFR × 1.4) – 0.9 (calculated from published studies) is markedly different at the higher values typical for children. Since no advantage could be seen in the use of a mathematically derived TmP, we investigated the direct use of measured TP/GFR (tubular P reabsorption per 100 ml glomerular filtrate) as a measure of renal P handling in clinical practice. No differences were found between morning fasting and nonfasting values. Measurements in 151 healthy subjects aged 3 days to 53 years established normal values in relation to age. The use of this parameter in patients is shown to accurately reflect defects and changes in renal P handling. We believe it to be the preferred parameter because it represents a directly measured physiologic function applicable to all age-groups.","container-title":"Nephron","DOI":"10.1159/000184216","ISSN":"1660-8151","issue":"2","journalAbbreviation":"Nephron","page":"125-128","source":"Silverchair","title":"Direct Measurement of TP/GFR: A Simple and Reliable Parameter of Renal Phosphate Handling","title-short":"Direct Measurement of TP/GFR","volume":"44","author":[{"family":"Stark","given":"Harry"},{"family":"Eisenstein","given":"Bella"},{"family":"Tieder","given":"Martin"},{"family":"Rachmel","given":"Avinoam"},{"family":"Alpert","given":"Gershon"}],"issued":{"date-parts":[["2008",12,5]]}}}],"schema":"https://github.com/citation-style-language/schema/raw/master/csl-citation.json"} </w:instrText>
      </w:r>
      <w:r w:rsidR="00FD63F8">
        <w:rPr>
          <w:rFonts w:ascii="Arial" w:hAnsi="Arial" w:cs="Arial"/>
          <w:sz w:val="22"/>
          <w:szCs w:val="22"/>
        </w:rPr>
        <w:fldChar w:fldCharType="separate"/>
      </w:r>
      <w:r w:rsidR="00BD758C" w:rsidRPr="00BD758C">
        <w:rPr>
          <w:rFonts w:ascii="Arial" w:hAnsi="Arial" w:cs="Arial"/>
          <w:sz w:val="22"/>
          <w:vertAlign w:val="superscript"/>
        </w:rPr>
        <w:t>60</w:t>
      </w:r>
      <w:r w:rsidR="00FD63F8">
        <w:rPr>
          <w:rFonts w:ascii="Arial" w:hAnsi="Arial" w:cs="Arial"/>
          <w:sz w:val="22"/>
          <w:szCs w:val="22"/>
        </w:rPr>
        <w:fldChar w:fldCharType="end"/>
      </w:r>
      <w:r w:rsidR="00E45111" w:rsidRPr="00F85C2B">
        <w:rPr>
          <w:rFonts w:ascii="Arial" w:hAnsi="Arial" w:cs="Arial"/>
          <w:sz w:val="22"/>
          <w:szCs w:val="22"/>
        </w:rPr>
        <w:t>. The transtubular potassium gradient (TTKG) is used to gauge renal potassium secretion by the cortical collecting duct, indirectly assessing mineralocorticoid bioactivity in patients. TTKG = U</w:t>
      </w:r>
      <w:r w:rsidR="00E45111" w:rsidRPr="00F85C2B">
        <w:rPr>
          <w:rFonts w:ascii="Arial" w:hAnsi="Arial" w:cs="Arial"/>
          <w:sz w:val="22"/>
          <w:szCs w:val="22"/>
          <w:vertAlign w:val="subscript"/>
        </w:rPr>
        <w:t>K</w:t>
      </w:r>
      <w:r w:rsidR="00E45111" w:rsidRPr="00F85C2B">
        <w:rPr>
          <w:rFonts w:ascii="Arial" w:hAnsi="Arial" w:cs="Arial"/>
          <w:sz w:val="22"/>
          <w:szCs w:val="22"/>
        </w:rPr>
        <w:t>/P</w:t>
      </w:r>
      <w:r w:rsidR="00E45111" w:rsidRPr="00F85C2B">
        <w:rPr>
          <w:rFonts w:ascii="Arial" w:hAnsi="Arial" w:cs="Arial"/>
          <w:sz w:val="22"/>
          <w:szCs w:val="22"/>
          <w:vertAlign w:val="subscript"/>
        </w:rPr>
        <w:t>K</w:t>
      </w:r>
      <w:r w:rsidR="00E45111" w:rsidRPr="00F85C2B">
        <w:rPr>
          <w:rFonts w:ascii="Arial" w:hAnsi="Arial" w:cs="Arial"/>
          <w:sz w:val="22"/>
          <w:szCs w:val="22"/>
        </w:rPr>
        <w:t xml:space="preserve"> x </w:t>
      </w:r>
      <w:proofErr w:type="spellStart"/>
      <w:r w:rsidR="00E45111" w:rsidRPr="00F85C2B">
        <w:rPr>
          <w:rFonts w:ascii="Arial" w:hAnsi="Arial" w:cs="Arial"/>
          <w:sz w:val="22"/>
          <w:szCs w:val="22"/>
        </w:rPr>
        <w:t>P</w:t>
      </w:r>
      <w:r w:rsidR="00E45111" w:rsidRPr="00F85C2B">
        <w:rPr>
          <w:rFonts w:ascii="Arial" w:hAnsi="Arial" w:cs="Arial"/>
          <w:sz w:val="22"/>
          <w:szCs w:val="22"/>
          <w:vertAlign w:val="subscript"/>
        </w:rPr>
        <w:t>Osm</w:t>
      </w:r>
      <w:proofErr w:type="spellEnd"/>
      <w:r w:rsidR="00E45111" w:rsidRPr="00F85C2B">
        <w:rPr>
          <w:rFonts w:ascii="Arial" w:hAnsi="Arial" w:cs="Arial"/>
          <w:sz w:val="22"/>
          <w:szCs w:val="22"/>
        </w:rPr>
        <w:t>/U</w:t>
      </w:r>
      <w:r w:rsidR="00E45111" w:rsidRPr="00F85C2B">
        <w:rPr>
          <w:rFonts w:ascii="Arial" w:hAnsi="Arial" w:cs="Arial"/>
          <w:sz w:val="22"/>
          <w:szCs w:val="22"/>
          <w:vertAlign w:val="subscript"/>
        </w:rPr>
        <w:t>Osm</w:t>
      </w:r>
      <w:r w:rsidR="00FD63F8">
        <w:rPr>
          <w:rFonts w:ascii="Arial" w:hAnsi="Arial" w:cs="Arial"/>
          <w:sz w:val="22"/>
          <w:szCs w:val="22"/>
          <w:vertAlign w:val="subscript"/>
        </w:rPr>
        <w:fldChar w:fldCharType="begin"/>
      </w:r>
      <w:r w:rsidR="00BD758C">
        <w:rPr>
          <w:rFonts w:ascii="Arial" w:hAnsi="Arial" w:cs="Arial"/>
          <w:sz w:val="22"/>
          <w:szCs w:val="22"/>
          <w:vertAlign w:val="subscript"/>
        </w:rPr>
        <w:instrText xml:space="preserve"> ADDIN ZOTERO_ITEM CSL_CITATION {"citationID":"kuhmkpEG","properties":{"formattedCitation":"\\super 61\\nosupersub{}","plainCitation":"61","noteIndex":0},"citationItems":[{"id":2378,"uris":["http://zotero.org/users/1547967/items/NE7B8DF7"],"itemData":{"id":2378,"type":"article-journal","abstract":"The transtubular potassium gradient (TTKG) is used to gauge renal potassium secretion by the cortical collecting duct, indirectly assessing mineralocorticoid bioactivity in patients who have hypo- or hyperkalemia. TTKG values &lt;6 indicate an inappropriate renal response to hyperkalemia, whereas values &gt;2 during hypokalemia point to renal loss. Hypokalemia is not addressed here. Studies supporting the usefulness of the TTKG in hyperkalemia are limited to case series. This calculation may be most useful in distinguishing hyperkalemic patients who have mineralocorticoid deficiency versus resistance by observing a change in TTKG values after physiologic or pharmacologic doses of mineralocorticoids.","container-title":"Journal of the American Society of Nephrology","DOI":"10.1681/ASN.2007091017","ISSN":"1046-6673, 1533-3450","issue":"3","journalAbbreviation":"JASN","language":"en","note":"PMID: 18216310","page":"424-426","source":"jasn.asnjournals.org","title":"The Utility of the Transtubular Potassium Gradient in the Evaluation of Hyperkalemia","volume":"19","author":[{"family":"Choi","given":"Michael J."},{"family":"Ziyadeh","given":"Fuad N."}],"issued":{"date-parts":[["2008",1,3]]}}}],"schema":"https://github.com/citation-style-language/schema/raw/master/csl-citation.json"} </w:instrText>
      </w:r>
      <w:r w:rsidR="00FD63F8">
        <w:rPr>
          <w:rFonts w:ascii="Arial" w:hAnsi="Arial" w:cs="Arial"/>
          <w:sz w:val="22"/>
          <w:szCs w:val="22"/>
          <w:vertAlign w:val="subscript"/>
        </w:rPr>
        <w:fldChar w:fldCharType="separate"/>
      </w:r>
      <w:r w:rsidR="00BD758C" w:rsidRPr="00BD758C">
        <w:rPr>
          <w:rFonts w:ascii="Arial" w:hAnsi="Arial" w:cs="Arial"/>
          <w:sz w:val="22"/>
          <w:vertAlign w:val="superscript"/>
        </w:rPr>
        <w:t>61</w:t>
      </w:r>
      <w:r w:rsidR="00FD63F8">
        <w:rPr>
          <w:rFonts w:ascii="Arial" w:hAnsi="Arial" w:cs="Arial"/>
          <w:sz w:val="22"/>
          <w:szCs w:val="22"/>
          <w:vertAlign w:val="subscript"/>
        </w:rPr>
        <w:fldChar w:fldCharType="end"/>
      </w:r>
      <w:r w:rsidR="00F85C2B" w:rsidRPr="00F85C2B">
        <w:rPr>
          <w:rFonts w:ascii="Arial" w:hAnsi="Arial" w:cs="Arial"/>
          <w:sz w:val="22"/>
          <w:szCs w:val="22"/>
        </w:rPr>
        <w:t xml:space="preserve">. </w:t>
      </w:r>
      <w:r w:rsidR="00F85C2B" w:rsidRPr="00F85C2B">
        <w:rPr>
          <w:rFonts w:ascii="Arial" w:hAnsi="Arial" w:cs="Arial"/>
          <w:sz w:val="22"/>
          <w:szCs w:val="22"/>
        </w:rPr>
        <w:lastRenderedPageBreak/>
        <w:t>Estimated serum osmolality was determined using the Khajuria and Krahn equation: OSMc = 1.86(Na + K) + 1.15(Glu / 18) + (Urea / 6) + 14</w:t>
      </w:r>
      <w:r w:rsidR="008F07BA">
        <w:rPr>
          <w:rFonts w:ascii="Arial" w:hAnsi="Arial" w:cs="Arial"/>
          <w:sz w:val="22"/>
          <w:szCs w:val="22"/>
        </w:rPr>
        <w:fldChar w:fldCharType="begin"/>
      </w:r>
      <w:r w:rsidR="00BD758C">
        <w:rPr>
          <w:rFonts w:ascii="Arial" w:hAnsi="Arial" w:cs="Arial"/>
          <w:sz w:val="22"/>
          <w:szCs w:val="22"/>
        </w:rPr>
        <w:instrText xml:space="preserve"> ADDIN ZOTERO_ITEM CSL_CITATION {"citationID":"y1X3oFDF","properties":{"formattedCitation":"\\super 62\\nosupersub{}","plainCitation":"62","noteIndex":0},"citationItems":[{"id":15960,"uris":["http://zotero.org/users/1547967/items/LUK4LZLQ"],"itemData":{"id":15960,"type":"article-journal","abstract":"Background\nMany different equations have been previously described to estimate plasma osmolality. The aim of this study is to compare 14 of these equations, in order to determine which results agree best with measured osmolality.\nObjectives\nOur aim is to elucidate which is the most accurate equation for osmolality calculation among the fourteen that were previously described.\nMethods\nWe measured osmolality by the freezing point depression method, and glucose, urea, sodium, potassium, calcium and magnesium concentrations with Unicell DXC 800 analyzer. Goodness-of-fit rates were calculated using the Passing–Bablok regression model and the t-paired sample test. In addition, we used survival curves in order to find the percentage of cases in which the difference between measured and calculated osmolality was under 10mOsm/kg. Data were plotted using the Bland–Altman graphical approach.\nResults\nThe equation that provides the best fit between measured and calculated osmolality is 1.86(Na+K)+1.15(Glu/18)+(Urea/6)+14, followed by 2Na+1.15(Glu/18)+(Urea/6).\nConclusions\nAccording to our results, the Dorwart–Chalmer's equation should not be used for osmolality calculations. The equation 1.86(Na+K)+1.15(Glu/18)+(Urea/6)+14 is the most accurate. The widespread use of the equation 2(Na+K)+(Glu/18)+(Urea/6) is also acceptable.","container-title":"Clinical Biochemistry","DOI":"10.1016/j.clinbiochem.2015.03.005","ISSN":"0009-9120","issue":"7","journalAbbreviation":"Clinical Biochemistry","language":"en","page":"529-533","source":"ScienceDirect","title":"Choice of the best equation for plasma osmolality calculation: Comparison of fourteen formulae","title-short":"Choice of the best equation for plasma osmolality calculation","volume":"48","author":[{"family":"Martín-Calderón","given":"José L."},{"family":"Bustos","given":"Fernando"},{"family":"Tuesta-Reina","given":"Lyliam R."},{"family":"Varona","given":"Julia M."},{"family":"Caballero","given":"Luis"},{"family":"Solano","given":"Fernando"}],"issued":{"date-parts":[["2015",5,1]]}}}],"schema":"https://github.com/citation-style-language/schema/raw/master/csl-citation.json"} </w:instrText>
      </w:r>
      <w:r w:rsidR="008F07BA">
        <w:rPr>
          <w:rFonts w:ascii="Arial" w:hAnsi="Arial" w:cs="Arial"/>
          <w:sz w:val="22"/>
          <w:szCs w:val="22"/>
        </w:rPr>
        <w:fldChar w:fldCharType="separate"/>
      </w:r>
      <w:r w:rsidR="00BD758C" w:rsidRPr="00BD758C">
        <w:rPr>
          <w:rFonts w:ascii="Arial" w:hAnsi="Arial" w:cs="Arial"/>
          <w:sz w:val="22"/>
          <w:vertAlign w:val="superscript"/>
        </w:rPr>
        <w:t>62</w:t>
      </w:r>
      <w:r w:rsidR="008F07BA">
        <w:rPr>
          <w:rFonts w:ascii="Arial" w:hAnsi="Arial" w:cs="Arial"/>
          <w:sz w:val="22"/>
          <w:szCs w:val="22"/>
        </w:rPr>
        <w:fldChar w:fldCharType="end"/>
      </w:r>
      <w:r w:rsidR="00F85C2B" w:rsidRPr="00F85C2B">
        <w:rPr>
          <w:rFonts w:ascii="Arial" w:hAnsi="Arial" w:cs="Arial"/>
          <w:sz w:val="22"/>
          <w:szCs w:val="22"/>
        </w:rPr>
        <w:t>. Free</w:t>
      </w:r>
      <w:r w:rsidR="00F85C2B">
        <w:rPr>
          <w:rFonts w:ascii="Arial" w:hAnsi="Arial" w:cs="Arial"/>
          <w:sz w:val="22"/>
          <w:szCs w:val="22"/>
        </w:rPr>
        <w:t xml:space="preserve"> water clearance is calculated as C</w:t>
      </w:r>
      <w:r w:rsidR="00F85C2B">
        <w:rPr>
          <w:rFonts w:ascii="Arial" w:hAnsi="Arial" w:cs="Arial"/>
          <w:sz w:val="22"/>
          <w:szCs w:val="22"/>
          <w:vertAlign w:val="subscript"/>
        </w:rPr>
        <w:t>H2O</w:t>
      </w:r>
      <w:r w:rsidR="00F85C2B">
        <w:rPr>
          <w:rFonts w:ascii="Arial" w:hAnsi="Arial" w:cs="Arial"/>
          <w:sz w:val="22"/>
          <w:szCs w:val="22"/>
          <w:vertAlign w:val="subscript"/>
        </w:rPr>
        <w:softHyphen/>
      </w:r>
      <w:r w:rsidR="00F85C2B">
        <w:rPr>
          <w:rFonts w:ascii="Arial" w:hAnsi="Arial" w:cs="Arial"/>
          <w:sz w:val="22"/>
          <w:szCs w:val="22"/>
        </w:rPr>
        <w:t xml:space="preserve"> = V(1-U</w:t>
      </w:r>
      <w:r w:rsidR="00F85C2B">
        <w:rPr>
          <w:rFonts w:ascii="Arial" w:hAnsi="Arial" w:cs="Arial"/>
          <w:sz w:val="22"/>
          <w:szCs w:val="22"/>
          <w:vertAlign w:val="subscript"/>
        </w:rPr>
        <w:t>Osm</w:t>
      </w:r>
      <w:r w:rsidR="00F85C2B">
        <w:rPr>
          <w:rFonts w:ascii="Arial" w:hAnsi="Arial" w:cs="Arial"/>
          <w:sz w:val="22"/>
          <w:szCs w:val="22"/>
        </w:rPr>
        <w:t>/P</w:t>
      </w:r>
      <w:r w:rsidR="00F85C2B">
        <w:rPr>
          <w:rFonts w:ascii="Arial" w:hAnsi="Arial" w:cs="Arial"/>
          <w:sz w:val="22"/>
          <w:szCs w:val="22"/>
          <w:vertAlign w:val="subscript"/>
        </w:rPr>
        <w:t>Osm</w:t>
      </w:r>
      <w:r w:rsidR="008F07BA">
        <w:rPr>
          <w:rFonts w:ascii="Arial" w:hAnsi="Arial" w:cs="Arial"/>
          <w:sz w:val="22"/>
          <w:szCs w:val="22"/>
          <w:vertAlign w:val="subscript"/>
        </w:rPr>
        <w:fldChar w:fldCharType="begin"/>
      </w:r>
      <w:r w:rsidR="00BD758C">
        <w:rPr>
          <w:rFonts w:ascii="Arial" w:hAnsi="Arial" w:cs="Arial"/>
          <w:sz w:val="22"/>
          <w:szCs w:val="22"/>
          <w:vertAlign w:val="subscript"/>
        </w:rPr>
        <w:instrText xml:space="preserve"> ADDIN ZOTERO_ITEM CSL_CITATION {"citationID":"ius6bHZ5","properties":{"formattedCitation":"\\super 63\\nosupersub{}","plainCitation":"63","noteIndex":0},"citationItems":[{"id":15959,"uris":["http://zotero.org/users/1547967/items/FHCIF3FL"],"itemData":{"id":15959,"type":"entry-encyclopedia","abstract":"In the physiology of the kidney, free water clearance (CH2O) is the volume of blood plasma that is cleared of solute-free water per unit time. An example of its use is in the determination of an individual's state of hydration. Conceptually, free water clearance should be thought of relative to the production of isoosmotic urine, which would be equal to the osmolarity of the plasma. If an individual is producing urine more dilute than the plasma, there is a positive value for free water clearance, meaning pure water is lost in the urine in addition to a theoretical isoosmotic filtrate.  If the urine is more concentrated than the plasma, then free water is being extracted from the urine, giving a negative value for free water clearance. A negative value is typical for free water clearance, as the kidney usually produces concentrated urine except in the cases of volume overload by the individual.","container-title":"Wikipedia","language":"en","license":"Creative Commons Attribution-ShareAlike License","note":"Page Version ID: 1031975552","source":"Wikipedia","title":"Free water clearance","URL":"https://en.wikipedia.org/w/index.php?title=Free_water_clearance&amp;oldid=1031975552","accessed":{"date-parts":[["2023",5,25]]},"issued":{"date-parts":[["2021",7,4]]}}}],"schema":"https://github.com/citation-style-language/schema/raw/master/csl-citation.json"} </w:instrText>
      </w:r>
      <w:r w:rsidR="008F07BA">
        <w:rPr>
          <w:rFonts w:ascii="Arial" w:hAnsi="Arial" w:cs="Arial"/>
          <w:sz w:val="22"/>
          <w:szCs w:val="22"/>
          <w:vertAlign w:val="subscript"/>
        </w:rPr>
        <w:fldChar w:fldCharType="separate"/>
      </w:r>
      <w:r w:rsidR="00BD758C" w:rsidRPr="00BD758C">
        <w:rPr>
          <w:rFonts w:ascii="Arial" w:hAnsi="Arial" w:cs="Arial"/>
          <w:sz w:val="22"/>
          <w:vertAlign w:val="superscript"/>
        </w:rPr>
        <w:t>63</w:t>
      </w:r>
      <w:r w:rsidR="008F07BA">
        <w:rPr>
          <w:rFonts w:ascii="Arial" w:hAnsi="Arial" w:cs="Arial"/>
          <w:sz w:val="22"/>
          <w:szCs w:val="22"/>
          <w:vertAlign w:val="subscript"/>
        </w:rPr>
        <w:fldChar w:fldCharType="end"/>
      </w:r>
      <w:r w:rsidR="00F85C2B">
        <w:rPr>
          <w:rFonts w:ascii="Arial" w:hAnsi="Arial" w:cs="Arial"/>
          <w:sz w:val="22"/>
          <w:szCs w:val="22"/>
        </w:rPr>
        <w:t>).</w:t>
      </w:r>
    </w:p>
    <w:p w14:paraId="1141D484" w14:textId="77777777" w:rsidR="00F821F7" w:rsidRPr="00F85C2B" w:rsidRDefault="00F821F7" w:rsidP="00E45111">
      <w:pPr>
        <w:pStyle w:val="NormalWeb"/>
        <w:spacing w:before="240" w:after="240" w:line="480" w:lineRule="auto"/>
        <w:ind w:left="-280"/>
        <w:jc w:val="both"/>
        <w:rPr>
          <w:rFonts w:ascii="Arial" w:hAnsi="Arial" w:cs="Arial"/>
          <w:sz w:val="22"/>
          <w:szCs w:val="22"/>
        </w:rPr>
      </w:pPr>
    </w:p>
    <w:p w14:paraId="04C41F30" w14:textId="77777777" w:rsidR="00F821F7" w:rsidRPr="00E66748" w:rsidRDefault="00F821F7" w:rsidP="00F821F7">
      <w:pPr>
        <w:pStyle w:val="NormalWeb"/>
        <w:spacing w:before="240" w:beforeAutospacing="0" w:after="240" w:afterAutospacing="0" w:line="480" w:lineRule="auto"/>
        <w:ind w:left="-280"/>
        <w:jc w:val="both"/>
        <w:rPr>
          <w:rFonts w:ascii="Arial" w:hAnsi="Arial" w:cs="Arial"/>
          <w:b/>
          <w:bCs/>
          <w:color w:val="000000"/>
          <w:sz w:val="22"/>
          <w:szCs w:val="22"/>
        </w:rPr>
      </w:pPr>
      <w:r>
        <w:rPr>
          <w:rFonts w:ascii="Arial" w:hAnsi="Arial" w:cs="Arial"/>
          <w:b/>
          <w:bCs/>
          <w:color w:val="000000"/>
          <w:u w:val="single"/>
        </w:rPr>
        <w:t>Multi-omic integrated pathway over-representation analyses</w:t>
      </w:r>
    </w:p>
    <w:p w14:paraId="129977B5" w14:textId="76DCCD64" w:rsidR="00C46E60" w:rsidRPr="00C46E60" w:rsidRDefault="00C46E60" w:rsidP="00C46E60">
      <w:pPr>
        <w:pStyle w:val="NormalWeb"/>
        <w:spacing w:before="240" w:beforeAutospacing="0" w:after="240" w:afterAutospacing="0" w:line="480" w:lineRule="auto"/>
        <w:ind w:left="-280"/>
        <w:jc w:val="both"/>
        <w:rPr>
          <w:rFonts w:ascii="Arial" w:hAnsi="Arial" w:cs="Arial"/>
        </w:rPr>
      </w:pPr>
      <w:r w:rsidRPr="00341E67">
        <w:rPr>
          <w:rFonts w:ascii="Arial" w:hAnsi="Arial" w:cs="Arial"/>
          <w:color w:val="000000"/>
          <w:sz w:val="22"/>
          <w:szCs w:val="22"/>
        </w:rPr>
        <w:t>To integrate datasets from across different omics, species, missions and tissues, all biomolecules (e.g. phosphoproteins, proteins, transcripts and methylated DNA) were linked back to their HGNC gene symbol, aggregated and collapsed to single genes (e.g.</w:t>
      </w:r>
      <w:r w:rsidR="009637B3">
        <w:rPr>
          <w:rFonts w:ascii="Arial" w:hAnsi="Arial" w:cs="Arial"/>
          <w:color w:val="000000"/>
          <w:sz w:val="22"/>
          <w:szCs w:val="22"/>
        </w:rPr>
        <w:t xml:space="preserve"> </w:t>
      </w:r>
      <w:r w:rsidRPr="00341E67">
        <w:rPr>
          <w:rFonts w:ascii="Arial" w:hAnsi="Arial" w:cs="Arial"/>
          <w:color w:val="000000"/>
          <w:sz w:val="22"/>
          <w:szCs w:val="22"/>
        </w:rPr>
        <w:t xml:space="preserve">multiple phosphosites, isoforms, CpG sites) and converted to the human orthologs where necessary. To perform over-representation analysis in </w:t>
      </w:r>
      <w:r w:rsidRPr="00E26FC8">
        <w:rPr>
          <w:rFonts w:ascii="Arial" w:hAnsi="Arial" w:cs="Arial"/>
          <w:color w:val="000000"/>
          <w:sz w:val="22"/>
          <w:szCs w:val="22"/>
        </w:rPr>
        <w:t>Metascape</w:t>
      </w:r>
      <w:r w:rsidR="008F07BA">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{"citationID":"tKKxLEnA","properties":{"formattedCitation":"\\super 26\\nosupersub{}","plainCitation":"26","noteIndex":0},"citationItems":[{"id":15878,"uris":["http://zotero.org/users/1547967/items/YD4MRALM"],"itemData":{"id":15878,"type":"article-journal","abstract":"A critical component in the interpretation of systems-level studies is the inference of enriched biological pathways and protein complexes contained within OMICs datasets. Successful analysis requires the integration of a broad set of current biological databases and the application of a robust analytical pipeline to produce readily interpretable results. Metascape is a web-based portal designed to provide a comprehensive gene list annotation and analysis resource for experimental biologists. In terms of design features, Metascape combines functional enrichment, interactome analysis, gene annotation, and membership search to leverage over 40 independent knowledgebases within one integrated portal. Additionally, it facilitates comparative analyses of datasets across multiple independent and orthogonal experiments. Metascape provides a significantly simplified user experience through a one-click Express Analysis interface to generate interpretable outputs. Taken together, Metascape is an effective and efficient tool for experimental biologists to comprehensively analyze and interpret OMICs-based studies in the big data era.","container-title":"Nature Communications","DOI":"10.1038/s41467-019-09234-6","ISSN":"2041-1723","issue":"1","journalAbbreviation":"Nat Commun","language":"en","license":"2019 The Author(s)","note":"number: 1\npublisher: Nature Publishing Group","page":"1523","source":"www.nature.com","title":"Metascape provides a biologist-oriented resource for the analysis of systems-level datasets","volume":"10","author":[{"family":"Zhou","given":"Yingyao"},{"family":"Zhou","given":"Bin"},{"family":"Pache","given":"Lars"},{"family":"Chang","given":"Max"},{"family":"Khodabakhshi","given":"Alireza Hadj"},{"family":"Tanaseichuk","given":"Olga"},{"family":"Benner","given":"Christopher"},{"family":"Chanda","given":"Sumit K."}],"issued":{"date-parts":[["2019",4,3]]}}}],"schema":"https://github.com/citation-style-language/schema/raw/master/csl-citation.json"} </w:instrText>
      </w:r>
      <w:r w:rsidR="008F07BA">
        <w:rPr>
          <w:rFonts w:ascii="Arial" w:hAnsi="Arial" w:cs="Arial"/>
          <w:color w:val="000000"/>
          <w:sz w:val="22"/>
          <w:szCs w:val="22"/>
        </w:rPr>
        <w:fldChar w:fldCharType="separate"/>
      </w:r>
      <w:r w:rsidR="00305DD2" w:rsidRPr="00305DD2">
        <w:rPr>
          <w:rFonts w:ascii="Arial" w:hAnsi="Arial" w:cs="Arial"/>
          <w:sz w:val="22"/>
          <w:vertAlign w:val="superscript"/>
        </w:rPr>
        <w:t>26</w:t>
      </w:r>
      <w:r w:rsidR="008F07BA">
        <w:rPr>
          <w:rFonts w:ascii="Arial" w:hAnsi="Arial" w:cs="Arial"/>
          <w:color w:val="000000"/>
          <w:sz w:val="22"/>
          <w:szCs w:val="22"/>
        </w:rPr>
        <w:fldChar w:fldCharType="end"/>
      </w:r>
      <w:r w:rsidRPr="00341E67">
        <w:rPr>
          <w:rFonts w:ascii="Arial" w:hAnsi="Arial" w:cs="Arial"/>
          <w:color w:val="000000"/>
          <w:sz w:val="22"/>
          <w:szCs w:val="22"/>
        </w:rPr>
        <w:t xml:space="preserve"> using </w:t>
      </w:r>
      <w:r>
        <w:rPr>
          <w:rFonts w:ascii="Arial" w:hAnsi="Arial" w:cs="Arial"/>
          <w:color w:val="000000"/>
          <w:sz w:val="22"/>
          <w:szCs w:val="22"/>
        </w:rPr>
        <w:t>any of the pathway</w:t>
      </w:r>
      <w:r w:rsidRPr="00341E67">
        <w:rPr>
          <w:rFonts w:ascii="Arial" w:hAnsi="Arial" w:cs="Arial"/>
          <w:color w:val="000000"/>
          <w:sz w:val="22"/>
          <w:szCs w:val="22"/>
        </w:rPr>
        <w:t xml:space="preserve"> database</w:t>
      </w:r>
      <w:r>
        <w:rPr>
          <w:rFonts w:ascii="Arial" w:hAnsi="Arial" w:cs="Arial"/>
          <w:color w:val="000000"/>
          <w:sz w:val="22"/>
          <w:szCs w:val="22"/>
        </w:rPr>
        <w:t>s</w:t>
      </w:r>
      <w:r w:rsidRPr="00341E67">
        <w:rPr>
          <w:rFonts w:ascii="Arial" w:hAnsi="Arial" w:cs="Arial"/>
          <w:color w:val="000000"/>
          <w:sz w:val="22"/>
          <w:szCs w:val="22"/>
        </w:rPr>
        <w:t xml:space="preserve">, the less stringent nominal p-value of P&lt;0.05 was used to threshold differentially expressed hits within each dataset for analysis (with the exception of RR-23 where the adjusted p-value was used to threshold the number of hits to a manageable number), with a </w:t>
      </w:r>
      <w:r>
        <w:rPr>
          <w:rFonts w:ascii="Arial" w:hAnsi="Arial" w:cs="Arial"/>
          <w:color w:val="000000"/>
          <w:sz w:val="22"/>
          <w:szCs w:val="22"/>
        </w:rPr>
        <w:t>-Log</w:t>
      </w:r>
      <w:r>
        <w:rPr>
          <w:rFonts w:ascii="Arial" w:hAnsi="Arial" w:cs="Arial"/>
          <w:color w:val="000000"/>
          <w:sz w:val="13"/>
          <w:szCs w:val="13"/>
          <w:vertAlign w:val="subscript"/>
        </w:rPr>
        <w:t>10</w:t>
      </w:r>
      <w:r>
        <w:rPr>
          <w:rFonts w:ascii="Arial" w:hAnsi="Arial" w:cs="Arial"/>
          <w:color w:val="000000"/>
          <w:sz w:val="22"/>
          <w:szCs w:val="22"/>
        </w:rPr>
        <w:t xml:space="preserve">(P-value) </w:t>
      </w:r>
      <w:r w:rsidRPr="00341E67">
        <w:rPr>
          <w:rFonts w:ascii="Arial" w:hAnsi="Arial" w:cs="Arial"/>
          <w:color w:val="000000"/>
          <w:sz w:val="22"/>
          <w:szCs w:val="22"/>
        </w:rPr>
        <w:t xml:space="preserve">of 2 being considered significant for </w:t>
      </w:r>
      <w:r>
        <w:rPr>
          <w:rFonts w:ascii="Arial" w:hAnsi="Arial" w:cs="Arial"/>
          <w:color w:val="000000"/>
          <w:sz w:val="22"/>
          <w:szCs w:val="22"/>
        </w:rPr>
        <w:t xml:space="preserve">ontological </w:t>
      </w:r>
      <w:r w:rsidRPr="00341E67">
        <w:rPr>
          <w:rFonts w:ascii="Arial" w:hAnsi="Arial" w:cs="Arial"/>
          <w:color w:val="000000"/>
          <w:sz w:val="22"/>
          <w:szCs w:val="22"/>
        </w:rPr>
        <w:t>term enrichment.</w:t>
      </w:r>
      <w:r>
        <w:rPr>
          <w:rFonts w:ascii="Arial" w:hAnsi="Arial" w:cs="Arial"/>
          <w:color w:val="000000"/>
          <w:sz w:val="22"/>
          <w:szCs w:val="22"/>
        </w:rPr>
        <w:t xml:space="preserve"> </w:t>
      </w:r>
      <w:r w:rsidRPr="00341E67">
        <w:rPr>
          <w:rFonts w:ascii="Arial" w:hAnsi="Arial" w:cs="Arial"/>
          <w:color w:val="000000"/>
          <w:sz w:val="22"/>
          <w:szCs w:val="22"/>
        </w:rPr>
        <w:t>This approach reduces the risk of false-negatives due to potentially overly stringent multiple comparison adjustment of the p-value at an individual dataset level, while mitigating the risk of false-positives at the convergence of hits during ontological term enrichment. The degree of confidence in the validity of results can then be drawn from the robustness of replication across orthogonal and/or independent datasets.</w:t>
      </w:r>
    </w:p>
    <w:p w14:paraId="72ED28A9" w14:textId="32CC2B01" w:rsidR="00F821F7" w:rsidRPr="00900DF3" w:rsidRDefault="00F821F7" w:rsidP="00F821F7">
      <w:pPr>
        <w:pStyle w:val="NormalWeb"/>
        <w:spacing w:before="240" w:after="240" w:line="480" w:lineRule="auto"/>
        <w:ind w:left="-280"/>
        <w:jc w:val="both"/>
        <w:rPr>
          <w:rFonts w:ascii="Arial" w:hAnsi="Arial" w:cs="Arial"/>
          <w:color w:val="000000"/>
          <w:sz w:val="22"/>
          <w:szCs w:val="22"/>
        </w:rPr>
      </w:pPr>
      <w:r w:rsidRPr="00E26FC8">
        <w:rPr>
          <w:rFonts w:ascii="Arial" w:hAnsi="Arial" w:cs="Arial"/>
          <w:color w:val="000000"/>
          <w:sz w:val="22"/>
          <w:szCs w:val="22"/>
        </w:rPr>
        <w:t>DisGeNET</w:t>
      </w:r>
      <w:r w:rsidR="008F07BA">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{"citationID":"GeuEIGAm","properties":{"formattedCitation":"\\super 24\\nosupersub{}","plainCitation":"24","noteIndex":0},"citationItems":[{"id":15880,"uris":["http://zotero.org/users/1547967/items/ZP2TXSU6"],"itemData":{"id":15880,"type":"article-journal","abstract":"One of the most pressing challenges in genomic medicine is to understand the role played by genetic variation in health and disease. Thanks to the exploration of genomic variants at large scale, hundreds of thousands of disease-associated loci have been uncovered. However, the identification of variants of clinical relevance is a significant challenge that requires comprehensive interrogation of previous knowledge and linkage to new experimental results. To assist in this complex task, we created DisGeNET (http://www.disgenet.org/), a knowledge management platform integrating and standardizing data about disease associated genes and variants from multiple sources, including the scientific literature. DisGeNET covers the full spectrum of human diseases as well as normal and abnormal traits. The current release covers more than 24 000 diseases and traits, 17 000 genes and 117 000 genomic variants. The latest developments of DisGeNET include new sources of data, novel data attributes and prioritization metrics, a redesigned web interface and recently launched APIs. Thanks to the data standardization, the combination of expert curated information with data automatically mined from the scientific literature, and a suite of tools for accessing its publicly available data, DisGeNET is an interoperable resource supporting a variety of applications in genomic medicine and drug R&amp;amp;D.","container-title":"Nucleic Acids Research","DOI":"10.1093/nar/gkz1021","ISSN":"0305-1048","issue":"D1","journalAbbreviation":"Nucleic Acids Research","page":"D845-D855","source":"Silverchair","title":"The DisGeNET knowledge platform for disease genomics: 2019 update","title-short":"The DisGeNET knowledge platform for disease genomics","volume":"48","author":[{"family":"Piñero","given":"Janet"},{"family":"Ramírez-Anguita","given":"Juan Manuel"},{"family":"Saüch-Pitarch","given":"Josep"},{"family":"Ronzano","given":"Francesco"},{"family":"Centeno","given":"Emilio"},{"family":"Sanz","given":"Ferran"},{"family":"Furlong","given":"Laura I"}],"issued":{"date-parts":[["2020",1,8]]}}}],"schema":"https://github.com/citation-style-language/schema/raw/master/csl-citation.json"} </w:instrText>
      </w:r>
      <w:r w:rsidR="008F07BA">
        <w:rPr>
          <w:rFonts w:ascii="Arial" w:hAnsi="Arial" w:cs="Arial"/>
          <w:color w:val="000000"/>
          <w:sz w:val="22"/>
          <w:szCs w:val="22"/>
        </w:rPr>
        <w:fldChar w:fldCharType="separate"/>
      </w:r>
      <w:r w:rsidR="00305DD2" w:rsidRPr="00305DD2">
        <w:rPr>
          <w:rFonts w:ascii="Arial" w:hAnsi="Arial" w:cs="Arial"/>
          <w:sz w:val="22"/>
          <w:vertAlign w:val="superscript"/>
        </w:rPr>
        <w:t>24</w:t>
      </w:r>
      <w:r w:rsidR="008F07BA">
        <w:rPr>
          <w:rFonts w:ascii="Arial" w:hAnsi="Arial" w:cs="Arial"/>
          <w:color w:val="000000"/>
          <w:sz w:val="22"/>
          <w:szCs w:val="22"/>
        </w:rPr>
        <w:fldChar w:fldCharType="end"/>
      </w:r>
      <w:r w:rsidRPr="00900DF3">
        <w:rPr>
          <w:rFonts w:ascii="Arial" w:hAnsi="Arial" w:cs="Arial"/>
          <w:color w:val="000000"/>
          <w:sz w:val="22"/>
          <w:szCs w:val="22"/>
        </w:rPr>
        <w:t xml:space="preserve"> analysis was performed using</w:t>
      </w:r>
      <w:r w:rsidR="00C46E60" w:rsidRPr="00C46E60">
        <w:rPr>
          <w:rFonts w:ascii="Arial" w:hAnsi="Arial" w:cs="Arial"/>
          <w:color w:val="000000"/>
          <w:sz w:val="22"/>
          <w:szCs w:val="22"/>
        </w:rPr>
        <w:t xml:space="preserve"> </w:t>
      </w:r>
      <w:r w:rsidR="00C46E60" w:rsidRPr="00900DF3">
        <w:rPr>
          <w:rFonts w:ascii="Arial" w:hAnsi="Arial" w:cs="Arial"/>
          <w:color w:val="000000"/>
          <w:sz w:val="22"/>
          <w:szCs w:val="22"/>
        </w:rPr>
        <w:t xml:space="preserve">Metascape </w:t>
      </w:r>
      <w:r w:rsidRPr="00900DF3">
        <w:rPr>
          <w:rFonts w:ascii="Arial" w:hAnsi="Arial" w:cs="Arial"/>
          <w:color w:val="000000"/>
          <w:sz w:val="22"/>
          <w:szCs w:val="22"/>
        </w:rPr>
        <w:t xml:space="preserve">with default settings. Differentially expressed gene lists (p.value &lt;0.05) from each dataset were imported into Metascape. Mouse genes were imported as mouse and analyzed as human. DisGeNET outputs containing enriched human disease terms (-LogP &gt;2) were downloaded and visualized using Python’s seaborn and matplotlib libraries. The circle size represents –LogP values and the circle color represents </w:t>
      </w:r>
      <w:r>
        <w:rPr>
          <w:rFonts w:ascii="Arial" w:hAnsi="Arial" w:cs="Arial"/>
          <w:color w:val="000000"/>
          <w:sz w:val="22"/>
          <w:szCs w:val="22"/>
        </w:rPr>
        <w:t>enrichment</w:t>
      </w:r>
      <w:r w:rsidRPr="00900DF3">
        <w:rPr>
          <w:rFonts w:ascii="Arial" w:hAnsi="Arial" w:cs="Arial"/>
          <w:color w:val="000000"/>
          <w:sz w:val="22"/>
          <w:szCs w:val="22"/>
        </w:rPr>
        <w:t xml:space="preserve"> ratio. </w:t>
      </w:r>
    </w:p>
    <w:p w14:paraId="0F3DCC64" w14:textId="4DE1B0D6" w:rsidR="00F821F7" w:rsidRPr="00900DF3" w:rsidRDefault="00F821F7" w:rsidP="00F821F7">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lastRenderedPageBreak/>
        <w:t>KEGG</w:t>
      </w:r>
      <w:r w:rsidRPr="00900DF3">
        <w:rPr>
          <w:rFonts w:ascii="Arial" w:hAnsi="Arial" w:cs="Arial"/>
          <w:color w:val="000000"/>
          <w:sz w:val="22"/>
          <w:szCs w:val="22"/>
        </w:rPr>
        <w:t xml:space="preserve"> pathway analysis</w:t>
      </w:r>
      <w:r w:rsidR="008F07BA">
        <w:rPr>
          <w:rFonts w:ascii="Arial" w:hAnsi="Arial" w:cs="Arial"/>
          <w:color w:val="000000"/>
          <w:sz w:val="22"/>
          <w:szCs w:val="22"/>
        </w:rPr>
        <w:fldChar w:fldCharType="begin"/>
      </w:r>
      <w:r w:rsidR="00305DD2">
        <w:rPr>
          <w:rFonts w:ascii="Arial" w:hAnsi="Arial" w:cs="Arial"/>
          <w:color w:val="000000"/>
          <w:sz w:val="22"/>
          <w:szCs w:val="22"/>
        </w:rPr>
        <w:instrText xml:space="preserve"> ADDIN ZOTERO_ITEM CSL_CITATION {"citationID":"GJ6HMwrq","properties":{"formattedCitation":"\\super 25\\nosupersub{}","plainCitation":"25","noteIndex":0},"citationItems":[{"id":15879,"uris":["http://zotero.org/users/1547967/items/RQ5TWTYJ"],"itemData":{"id":15879,"type":"article-journal","abstract":"KEGG (Kyoto Encyclopedia of Genes and Genomes) is a knowledge base for systematic analysis of gene functions, linking genomic information with higher order functional information. The genomic information is stored in the GENES database, which is a collection of gene catalogs for all the completely sequenced genomes and some partial genomes with up-to-date annotation of gene functions. The higher order functional information is stored in the PATHWAY database, which contains graphical representations of cellular processes, such as metabolism, membrane transport, signal transduction and cell cycle. The PATHWAY database is supplemented by a set of ortholog group tables for the information about conserved subpathways (pathway motifs), which are often encoded by positionally coupled genes on the chromosome and which are especially useful in predicting gene functions. A third database in KEGG is LIGAND for the information about chemical compounds, enzyme molecules and enzymatic reactions. KEGG provides Java graphics tools for browsing genome maps, comparing two genome maps and manipulating expression maps, as well as computational tools for sequence comparison, graph comparison and path computation. The KEGG databases are daily updated and made freely available (http://www.genome.ad.jp/kegg/ ).","container-title":"Nucleic Acids Research","DOI":"10.1093/nar/28.1.27","ISSN":"0305-1048","issue":"1","journalAbbreviation":"Nucleic Acids Research","page":"27-30","source":"Silverchair","title":"KEGG: Kyoto Encyclopedia of Genes and Genomes","title-short":"KEGG","volume":"28","author":[{"family":"Kanehisa","given":"Minoru"},{"family":"Goto","given":"Susumu"}],"issued":{"date-parts":[["2000",1,1]]}}}],"schema":"https://github.com/citation-style-language/schema/raw/master/csl-citation.json"} </w:instrText>
      </w:r>
      <w:r w:rsidR="008F07BA">
        <w:rPr>
          <w:rFonts w:ascii="Arial" w:hAnsi="Arial" w:cs="Arial"/>
          <w:color w:val="000000"/>
          <w:sz w:val="22"/>
          <w:szCs w:val="22"/>
        </w:rPr>
        <w:fldChar w:fldCharType="separate"/>
      </w:r>
      <w:r w:rsidR="00305DD2" w:rsidRPr="00305DD2">
        <w:rPr>
          <w:rFonts w:ascii="Arial" w:hAnsi="Arial" w:cs="Arial"/>
          <w:sz w:val="22"/>
          <w:vertAlign w:val="superscript"/>
        </w:rPr>
        <w:t>25</w:t>
      </w:r>
      <w:r w:rsidR="008F07BA">
        <w:rPr>
          <w:rFonts w:ascii="Arial" w:hAnsi="Arial" w:cs="Arial"/>
          <w:color w:val="000000"/>
          <w:sz w:val="22"/>
          <w:szCs w:val="22"/>
        </w:rPr>
        <w:fldChar w:fldCharType="end"/>
      </w:r>
      <w:r w:rsidRPr="00900DF3">
        <w:rPr>
          <w:rFonts w:ascii="Arial" w:hAnsi="Arial" w:cs="Arial"/>
          <w:color w:val="000000"/>
          <w:sz w:val="22"/>
          <w:szCs w:val="22"/>
        </w:rPr>
        <w:t xml:space="preserve"> was performed using Metascape with default settings. Differentially expressed gene lists (p. value &lt; 0.05) from each dataset were imported into Metascape. Mouse genes were imported as mouse and analyzed as human. KEGG outputs containing enriched KEGG pathways (-LogP &gt;2) were downloaded and visualized using Python’s seaborn and matplotlib libraries. The circle size represents –LogP values and the circle colo</w:t>
      </w:r>
      <w:r w:rsidR="009637B3">
        <w:rPr>
          <w:rFonts w:ascii="Arial" w:hAnsi="Arial" w:cs="Arial"/>
          <w:color w:val="000000"/>
          <w:sz w:val="22"/>
          <w:szCs w:val="22"/>
        </w:rPr>
        <w:t>u</w:t>
      </w:r>
      <w:r w:rsidRPr="00900DF3">
        <w:rPr>
          <w:rFonts w:ascii="Arial" w:hAnsi="Arial" w:cs="Arial"/>
          <w:color w:val="000000"/>
          <w:sz w:val="22"/>
          <w:szCs w:val="22"/>
        </w:rPr>
        <w:t xml:space="preserve">r represents </w:t>
      </w:r>
      <w:r>
        <w:rPr>
          <w:rFonts w:ascii="Arial" w:hAnsi="Arial" w:cs="Arial"/>
          <w:color w:val="000000"/>
          <w:sz w:val="22"/>
          <w:szCs w:val="22"/>
        </w:rPr>
        <w:t>enrichment</w:t>
      </w:r>
      <w:r w:rsidRPr="00900DF3">
        <w:rPr>
          <w:rFonts w:ascii="Arial" w:hAnsi="Arial" w:cs="Arial"/>
          <w:color w:val="000000"/>
          <w:sz w:val="22"/>
          <w:szCs w:val="22"/>
        </w:rPr>
        <w:t xml:space="preserve"> ratio.</w:t>
      </w:r>
    </w:p>
    <w:p w14:paraId="50D6C882" w14:textId="34F5A3AC" w:rsidR="00F821F7" w:rsidRPr="00900DF3" w:rsidRDefault="00F821F7" w:rsidP="00F821F7">
      <w:pPr>
        <w:pStyle w:val="NormalWeb"/>
        <w:spacing w:before="240" w:after="240" w:line="480" w:lineRule="auto"/>
        <w:ind w:left="-280"/>
        <w:jc w:val="both"/>
        <w:rPr>
          <w:rFonts w:ascii="Arial" w:hAnsi="Arial" w:cs="Arial"/>
          <w:color w:val="000000"/>
          <w:sz w:val="22"/>
          <w:szCs w:val="22"/>
        </w:rPr>
      </w:pPr>
      <w:r w:rsidRPr="00900DF3">
        <w:rPr>
          <w:rFonts w:ascii="Arial" w:hAnsi="Arial" w:cs="Arial"/>
          <w:color w:val="000000"/>
          <w:sz w:val="22"/>
          <w:szCs w:val="22"/>
        </w:rPr>
        <w:t>Enriched GO</w:t>
      </w:r>
      <w:r w:rsidR="008F07BA">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{"citationID":"pRMnVzCB","properties":{"formattedCitation":"\\super 64\\nosupersub{}","plainCitation":"64","noteIndex":0},"citationItems":[{"id":15958,"uris":["http://zotero.org/users/1547967/items/7L74I44B"],"itemData":{"id":15958,"type":"article-journal","abstract":"The Gene Ontology Consortium (GOC) provides the most comprehensive resource currently available for computable knowledge regarding the functions of genes and gene products. Here, we report the advances of the consortium over the past two years. The new GO-CAM annotation framework was notably improved, and we formalized the model with a computational schema to check and validate the rapidly increasing repository of 2838 GO-CAMs. In addition, we describe the impacts of several collaborations to refine GO and report a 10% increase in the number of GO annotations, a 25% increase in annotated gene products, and over 9,400 new scientific articles annotated. As the project matures, we continue our efforts to review older annotations in light of newer findings, and, to maintain consistency with other ontologies. As a result, 20 000 annotations derived from experimental data were reviewed, corresponding to 2.5% of experimental GO annotations. The website (http://geneontology.org) was redesigned for quick access to documentation, downloads and tools. To maintain an accurate resource and support traceability and reproducibility, we have made available a historical archive covering the past 15 years of GO data with a consistent format and file structure for both the ontology and annotations.","container-title":"Nucleic Acids Research","DOI":"10.1093/nar/gkaa1113","ISSN":"0305-1048","issue":"D1","journalAbbreviation":"Nucleic Acids Research","page":"D325-D334","source":"Silverchair","title":"The Gene Ontology resource: enriching a GOld mine","title-short":"The Gene Ontology resource","volume":"49","author":[{"literal":"The Gene Ontology Consortium"}],"issued":{"date-parts":[["2021",1,8]]}}}],"schema":"https://github.com/citation-style-language/schema/raw/master/csl-citation.json"} </w:instrText>
      </w:r>
      <w:r w:rsidR="008F07BA">
        <w:rPr>
          <w:rFonts w:ascii="Arial" w:hAnsi="Arial" w:cs="Arial"/>
          <w:color w:val="000000"/>
          <w:sz w:val="22"/>
          <w:szCs w:val="22"/>
        </w:rPr>
        <w:fldChar w:fldCharType="separate"/>
      </w:r>
      <w:r w:rsidR="00BD758C" w:rsidRPr="00BD758C">
        <w:rPr>
          <w:rFonts w:ascii="Arial" w:hAnsi="Arial" w:cs="Arial"/>
          <w:sz w:val="22"/>
          <w:vertAlign w:val="superscript"/>
        </w:rPr>
        <w:t>64</w:t>
      </w:r>
      <w:r w:rsidR="008F07BA">
        <w:rPr>
          <w:rFonts w:ascii="Arial" w:hAnsi="Arial" w:cs="Arial"/>
          <w:color w:val="000000"/>
          <w:sz w:val="22"/>
          <w:szCs w:val="22"/>
        </w:rPr>
        <w:fldChar w:fldCharType="end"/>
      </w:r>
      <w:r w:rsidRPr="00900DF3">
        <w:rPr>
          <w:rFonts w:ascii="Arial" w:hAnsi="Arial" w:cs="Arial"/>
          <w:color w:val="000000"/>
          <w:sz w:val="22"/>
          <w:szCs w:val="22"/>
        </w:rPr>
        <w:t xml:space="preserve"> terms were obtained from clusterProfiler outputs. GO enrichments containing biological process ontologies were visualized using Python’s seaborn and matplotlib libraries. The circle size represents –LogP values and the circle color represents </w:t>
      </w:r>
      <w:r>
        <w:rPr>
          <w:rFonts w:ascii="Arial" w:hAnsi="Arial" w:cs="Arial"/>
          <w:color w:val="000000"/>
          <w:sz w:val="22"/>
          <w:szCs w:val="22"/>
        </w:rPr>
        <w:t>enrichement</w:t>
      </w:r>
      <w:r w:rsidRPr="00900DF3">
        <w:rPr>
          <w:rFonts w:ascii="Arial" w:hAnsi="Arial" w:cs="Arial"/>
          <w:color w:val="000000"/>
          <w:sz w:val="22"/>
          <w:szCs w:val="22"/>
        </w:rPr>
        <w:t xml:space="preserve"> ratio.</w:t>
      </w:r>
    </w:p>
    <w:p w14:paraId="5AD6F532" w14:textId="170CD998" w:rsidR="00F821F7" w:rsidRDefault="00F821F7" w:rsidP="00F821F7">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For analysis of s</w:t>
      </w:r>
      <w:r w:rsidRPr="00900DF3">
        <w:rPr>
          <w:rFonts w:ascii="Arial" w:hAnsi="Arial" w:cs="Arial"/>
          <w:color w:val="000000"/>
          <w:sz w:val="22"/>
          <w:szCs w:val="22"/>
        </w:rPr>
        <w:t>ignificant genes (p. value &lt; 0.05)</w:t>
      </w:r>
      <w:r>
        <w:rPr>
          <w:rFonts w:ascii="Arial" w:hAnsi="Arial" w:cs="Arial"/>
          <w:color w:val="000000"/>
          <w:sz w:val="22"/>
          <w:szCs w:val="22"/>
        </w:rPr>
        <w:t xml:space="preserve"> that had a consensus in directionality, we only used</w:t>
      </w:r>
      <w:r w:rsidRPr="00900DF3">
        <w:rPr>
          <w:rFonts w:ascii="Arial" w:hAnsi="Arial" w:cs="Arial"/>
          <w:color w:val="000000"/>
          <w:sz w:val="22"/>
          <w:szCs w:val="22"/>
        </w:rPr>
        <w:t xml:space="preserve"> kidney proteomic and transcriptomic dataset</w:t>
      </w:r>
      <w:r>
        <w:rPr>
          <w:rFonts w:ascii="Arial" w:hAnsi="Arial" w:cs="Arial"/>
          <w:color w:val="000000"/>
          <w:sz w:val="22"/>
          <w:szCs w:val="22"/>
        </w:rPr>
        <w:t>s</w:t>
      </w:r>
      <w:r w:rsidRPr="00900DF3">
        <w:rPr>
          <w:rFonts w:ascii="Arial" w:hAnsi="Arial" w:cs="Arial"/>
          <w:color w:val="000000"/>
          <w:sz w:val="22"/>
          <w:szCs w:val="22"/>
        </w:rPr>
        <w:t xml:space="preserve"> and ranked according to the log</w:t>
      </w:r>
      <w:r w:rsidRPr="00CF10D2">
        <w:rPr>
          <w:rFonts w:ascii="Arial" w:hAnsi="Arial" w:cs="Arial"/>
          <w:color w:val="000000"/>
          <w:sz w:val="22"/>
          <w:szCs w:val="22"/>
          <w:vertAlign w:val="subscript"/>
        </w:rPr>
        <w:t>2</w:t>
      </w:r>
      <w:r w:rsidRPr="00900DF3">
        <w:rPr>
          <w:rFonts w:ascii="Arial" w:hAnsi="Arial" w:cs="Arial"/>
          <w:color w:val="000000"/>
          <w:sz w:val="22"/>
          <w:szCs w:val="22"/>
        </w:rPr>
        <w:t xml:space="preserve"> fold change direction and the number of times observed across all datasets. The highest ranked upregulated and downregulated genes were plotted using CoMut</w:t>
      </w:r>
      <w:r w:rsidR="008F07BA">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{"citationID":"8JO4Advg","properties":{"formattedCitation":"\\super 65\\nosupersub{}","plainCitation":"65","noteIndex":0},"citationItems":[{"id":15957,"uris":["http://zotero.org/users/1547967/items/PF2Y9X7Y"],"itemData":{"id":15957,"type":"article-journal","abstract":"Large-scale sequencing studies have created a need to succinctly visualize genomic characteristics of patient cohorts linked to widely variable phenotypic information. This is often done by visualizing the co-occurrence of variants with comutation plots. Current tools lack the ability to create highly customizable and publication quality comutation plots from arbitrary user data.We developed CoMut, a stand-alone, object-oriented Python package that creates comutation plots from arbitrary input data, including categorical data, continuous data, bar graphs, side bar graphs and data that describes relationships between samples.The CoMut package is open source and is available at https://github.com/vanallenlab/comut under the MIT License, along with documentation and examples. A no installation, easy-to-use implementation is available on Google Colab (see GitHub).","container-title":"Bioinformatics","DOI":"10.1093/bioinformatics/btaa554","ISSN":"1367-4803","issue":"15","journalAbbreviation":"Bioinformatics","page":"4348-4349","source":"Silverchair","title":"CoMut: visualizing integrated molecular information with comutation plots","title-short":"CoMut","volume":"36","author":[{"family":"Crowdis","given":"Jett"},{"family":"He","given":"Meng Xiao"},{"family":"Reardon","given":"Brendan"},{"family":"Van Allen","given":"Eliezer M"}],"issued":{"date-parts":[["2020",8,1]]}}}],"schema":"https://github.com/citation-style-language/schema/raw/master/csl-citation.json"} </w:instrText>
      </w:r>
      <w:r w:rsidR="008F07BA">
        <w:rPr>
          <w:rFonts w:ascii="Arial" w:hAnsi="Arial" w:cs="Arial"/>
          <w:color w:val="000000"/>
          <w:sz w:val="22"/>
          <w:szCs w:val="22"/>
        </w:rPr>
        <w:fldChar w:fldCharType="separate"/>
      </w:r>
      <w:r w:rsidR="00BD758C" w:rsidRPr="00BD758C">
        <w:rPr>
          <w:rFonts w:ascii="Arial" w:hAnsi="Arial" w:cs="Arial"/>
          <w:sz w:val="22"/>
          <w:vertAlign w:val="superscript"/>
        </w:rPr>
        <w:t>65</w:t>
      </w:r>
      <w:r w:rsidR="008F07BA">
        <w:rPr>
          <w:rFonts w:ascii="Arial" w:hAnsi="Arial" w:cs="Arial"/>
          <w:color w:val="000000"/>
          <w:sz w:val="22"/>
          <w:szCs w:val="22"/>
        </w:rPr>
        <w:fldChar w:fldCharType="end"/>
      </w:r>
      <w:r>
        <w:rPr>
          <w:rFonts w:ascii="Arial" w:hAnsi="Arial" w:cs="Arial"/>
          <w:color w:val="000000"/>
          <w:sz w:val="22"/>
          <w:szCs w:val="22"/>
        </w:rPr>
        <w:t>.</w:t>
      </w:r>
    </w:p>
    <w:p w14:paraId="04F14C44" w14:textId="77777777" w:rsidR="00C46E60" w:rsidRDefault="00C46E60" w:rsidP="00C46E60">
      <w:pPr>
        <w:pStyle w:val="NormalWeb"/>
        <w:spacing w:before="240" w:beforeAutospacing="0" w:after="240" w:afterAutospacing="0" w:line="480" w:lineRule="auto"/>
        <w:ind w:left="-280"/>
        <w:jc w:val="both"/>
        <w:rPr>
          <w:rFonts w:ascii="Arial" w:hAnsi="Arial" w:cs="Arial"/>
          <w:color w:val="000000"/>
          <w:sz w:val="22"/>
          <w:szCs w:val="22"/>
        </w:rPr>
      </w:pPr>
    </w:p>
    <w:p w14:paraId="7D520134" w14:textId="60369238" w:rsidR="0007655B" w:rsidRDefault="0007655B" w:rsidP="0007655B">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Integration of multi-omics and physiological data</w:t>
      </w:r>
    </w:p>
    <w:p w14:paraId="44D54207" w14:textId="0B1E7FBD" w:rsidR="0007655B" w:rsidRPr="0007655B" w:rsidRDefault="0007655B" w:rsidP="0007655B">
      <w:pPr>
        <w:pStyle w:val="NormalWeb"/>
        <w:spacing w:before="240" w:after="240" w:line="480" w:lineRule="auto"/>
        <w:ind w:left="-280"/>
        <w:jc w:val="both"/>
        <w:rPr>
          <w:rFonts w:ascii="Arial" w:hAnsi="Arial" w:cs="Arial"/>
          <w:color w:val="000000"/>
          <w:sz w:val="22"/>
          <w:szCs w:val="22"/>
        </w:rPr>
      </w:pPr>
      <w:r w:rsidRPr="0007655B">
        <w:rPr>
          <w:rFonts w:ascii="Arial" w:hAnsi="Arial" w:cs="Arial"/>
          <w:color w:val="000000"/>
          <w:sz w:val="22"/>
          <w:szCs w:val="22"/>
        </w:rPr>
        <w:t>The Scalable Precision Medicine Open Knowledge Engine (SPOKE)</w:t>
      </w:r>
      <w:r w:rsidR="008F07BA">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{"citationID":"wGu75Ipw","properties":{"formattedCitation":"\\super 66\\nosupersub{}","plainCitation":"66","noteIndex":0},"citationItems":[{"id":15848,"uris":["http://zotero.org/users/1547967/items/33NX649B"],"itemData":{"id":15848,"type":"article-journal","abstract":"Knowledge graphs (KGs) are being adopted in industry, commerce and academia. Biomedical KG presents a challenge due to the complexity, size and heterogeneity of the underlying information.In this work, we present the Scalable Precision Medicine Open Knowledge Engine (SPOKE), a biomedical KG connecting millions of concepts via semantically meaningful relationships. SPOKE contains 27 million nodes of 21 different types and 53 million edges of 55 types downloaded from 41 databases. The graph is built on the framework of 11 ontologies that maintain its structure, enable mappings and facilitate navigation. SPOKE is built weekly by python scripts which download each resource, check for integrity and completeness, and then create a ‘parent table’ of nodes and edges. Graph queries are translated by a REST API and users can submit searches directly via an API or a graphical user interface. Conclusions/Significance: SPOKE enables the integration of seemingly disparate information to support precision medicine efforts.The SPOKE neighborhood explorer is available at https://spoke.rbvi.ucsf.edu.Supplementary data are available at Bioinformatics online.","container-title":"Bioinformatics","DOI":"10.1093/bioinformatics/btad080","ISSN":"1367-4811","issue":"2","journalAbbreviation":"Bioinformatics","page":"btad080","source":"Silverchair","title":"The scalable precision medicine open knowledge engine (SPOKE): a massive knowledge graph of biomedical information","title-short":"The scalable precision medicine open knowledge engine (SPOKE)","volume":"39","author":[{"family":"Morris","given":"John H"},{"family":"Soman","given":"Karthik"},{"family":"Akbas","given":"Rabia E"},{"family":"Zhou","given":"Xiaoyuan"},{"family":"Smith","given":"Brett"},{"family":"Meng","given":"Elaine C"},{"family":"Huang","given":"Conrad C"},{"family":"Cerono","given":"Gabriel"},{"family":"Schenk","given":"Gundolf"},{"family":"Rizk-Jackson","given":"Angela"},{"family":"Harroud","given":"Adil"},{"family":"Sanders","given":"Lauren"},{"family":"Costes","given":"Sylvain V"},{"family":"Bharat","given":"Krish"},{"family":"Chakraborty","given":"Arjun"},{"family":"Pico","given":"Alexander R"},{"family":"Mardirossian","given":"Taline"},{"family":"Keiser","given":"Michael"},{"family":"Tang","given":"Alice"},{"family":"Hardi","given":"Josef"},{"family":"Shi","given":"Yongmei"},{"family":"Musen","given":"Mark"},{"family":"Israni","given":"Sharat"},{"family":"Huang","given":"Sui"},{"family":"Rose","given":"Peter W"},{"family":"Nelson","given":"Charlotte A"},{"family":"Baranzini","given":"Sergio E"}],"issued":{"date-parts":[["2023",2,1]]}}}],"schema":"https://github.com/citation-style-language/schema/raw/master/csl-citation.json"} </w:instrText>
      </w:r>
      <w:r w:rsidR="008F07BA">
        <w:rPr>
          <w:rFonts w:ascii="Arial" w:hAnsi="Arial" w:cs="Arial"/>
          <w:color w:val="000000"/>
          <w:sz w:val="22"/>
          <w:szCs w:val="22"/>
        </w:rPr>
        <w:fldChar w:fldCharType="separate"/>
      </w:r>
      <w:r w:rsidR="00BD758C" w:rsidRPr="00BD758C">
        <w:rPr>
          <w:rFonts w:ascii="Arial" w:hAnsi="Arial" w:cs="Arial"/>
          <w:sz w:val="22"/>
          <w:vertAlign w:val="superscript"/>
        </w:rPr>
        <w:t>66</w:t>
      </w:r>
      <w:r w:rsidR="008F07BA">
        <w:rPr>
          <w:rFonts w:ascii="Arial" w:hAnsi="Arial" w:cs="Arial"/>
          <w:color w:val="000000"/>
          <w:sz w:val="22"/>
          <w:szCs w:val="22"/>
        </w:rPr>
        <w:fldChar w:fldCharType="end"/>
      </w:r>
      <w:r w:rsidRPr="0007655B">
        <w:rPr>
          <w:rFonts w:ascii="Arial" w:hAnsi="Arial" w:cs="Arial"/>
          <w:color w:val="000000"/>
          <w:sz w:val="22"/>
          <w:szCs w:val="22"/>
        </w:rPr>
        <w:t xml:space="preserve"> is a population-level heterogeneous knowledge graph. SPOKE has distilled and connected information from over 40 databases into a structured graph with 21 different node types and 55 edge types. The databases cover numerous biomedical domains, from basic science to clinical research. Previously, SPOKE was leveraged to analy</w:t>
      </w:r>
      <w:r>
        <w:rPr>
          <w:rFonts w:ascii="Arial" w:hAnsi="Arial" w:cs="Arial"/>
          <w:color w:val="000000"/>
          <w:sz w:val="22"/>
          <w:szCs w:val="22"/>
        </w:rPr>
        <w:t>s</w:t>
      </w:r>
      <w:r w:rsidRPr="0007655B">
        <w:rPr>
          <w:rFonts w:ascii="Arial" w:hAnsi="Arial" w:cs="Arial"/>
          <w:color w:val="000000"/>
          <w:sz w:val="22"/>
          <w:szCs w:val="22"/>
        </w:rPr>
        <w:t>e GeneLab gene expression data from mice flown in space. Using only data from mice, this study uncovered biological and clinical changes experienced by human astronauts.</w:t>
      </w:r>
    </w:p>
    <w:p w14:paraId="605C454D" w14:textId="59343E1B" w:rsidR="0007655B" w:rsidRPr="0007655B" w:rsidRDefault="0007655B" w:rsidP="0007655B">
      <w:pPr>
        <w:pStyle w:val="NormalWeb"/>
        <w:spacing w:before="240" w:beforeAutospacing="0" w:after="240" w:afterAutospacing="0" w:line="480" w:lineRule="auto"/>
        <w:ind w:left="-280"/>
        <w:jc w:val="both"/>
        <w:rPr>
          <w:rFonts w:ascii="Arial" w:hAnsi="Arial" w:cs="Arial"/>
          <w:color w:val="000000"/>
          <w:sz w:val="22"/>
          <w:szCs w:val="22"/>
        </w:rPr>
      </w:pPr>
      <w:r w:rsidRPr="0007655B">
        <w:rPr>
          <w:rFonts w:ascii="Arial" w:hAnsi="Arial" w:cs="Arial"/>
          <w:color w:val="000000"/>
          <w:sz w:val="22"/>
          <w:szCs w:val="22"/>
        </w:rPr>
        <w:t>Due to the heterogeneous structure of SPOKE, it is possible to harmoni</w:t>
      </w:r>
      <w:r>
        <w:rPr>
          <w:rFonts w:ascii="Arial" w:hAnsi="Arial" w:cs="Arial"/>
          <w:color w:val="000000"/>
          <w:sz w:val="22"/>
          <w:szCs w:val="22"/>
        </w:rPr>
        <w:t>s</w:t>
      </w:r>
      <w:r w:rsidRPr="0007655B">
        <w:rPr>
          <w:rFonts w:ascii="Arial" w:hAnsi="Arial" w:cs="Arial"/>
          <w:color w:val="000000"/>
          <w:sz w:val="22"/>
          <w:szCs w:val="22"/>
        </w:rPr>
        <w:t xml:space="preserve">e multi-omics datasets. This is achieved by identifying “entry points” for each dataset. Entry points represent the logical </w:t>
      </w:r>
      <w:r w:rsidRPr="0007655B">
        <w:rPr>
          <w:rFonts w:ascii="Arial" w:hAnsi="Arial" w:cs="Arial"/>
          <w:color w:val="000000"/>
          <w:sz w:val="22"/>
          <w:szCs w:val="22"/>
        </w:rPr>
        <w:lastRenderedPageBreak/>
        <w:t xml:space="preserve">overlap between SPOKE nodes and the entity being quantified in the dataset. Here entry points consisted of Gene (transcriptome and epigenome), Protein (proteome and post-translation modification), and Compound (metabolome) nodes. Once the external datasets were connected to SPOKE, Degree Weighted Path Count (DWPC) was used to score the connectivity between each entry node and the nodes in SPOKE. The top 5% of nodes from each entry point were merged into a single graph. The interconnected paths between the entry points provide a system-level view of how space flight impacts the kidneys. </w:t>
      </w:r>
      <w:r>
        <w:rPr>
          <w:rFonts w:ascii="Arial" w:hAnsi="Arial" w:cs="Arial"/>
          <w:color w:val="000000"/>
          <w:sz w:val="22"/>
          <w:szCs w:val="22"/>
        </w:rPr>
        <w:t>The resulting knowledge map figures</w:t>
      </w:r>
      <w:r w:rsidRPr="0007655B">
        <w:rPr>
          <w:rFonts w:ascii="Arial" w:hAnsi="Arial" w:cs="Arial"/>
          <w:color w:val="000000"/>
          <w:sz w:val="22"/>
          <w:szCs w:val="22"/>
        </w:rPr>
        <w:t xml:space="preserve"> highlight shared paths that traverse nodes involved in kidney morphogenesis, kidney stones, and chronic kidney disease.</w:t>
      </w:r>
    </w:p>
    <w:p w14:paraId="6904EF02" w14:textId="77777777" w:rsidR="0007655B" w:rsidRDefault="0007655B" w:rsidP="00C46E60">
      <w:pPr>
        <w:pStyle w:val="NormalWeb"/>
        <w:spacing w:before="240" w:beforeAutospacing="0" w:after="240" w:afterAutospacing="0" w:line="480" w:lineRule="auto"/>
        <w:ind w:left="-280"/>
        <w:jc w:val="both"/>
        <w:rPr>
          <w:rFonts w:ascii="Arial" w:hAnsi="Arial" w:cs="Arial"/>
          <w:color w:val="000000"/>
          <w:sz w:val="22"/>
          <w:szCs w:val="22"/>
        </w:rPr>
      </w:pPr>
    </w:p>
    <w:p w14:paraId="4C8383C7" w14:textId="77777777" w:rsidR="006F5549" w:rsidRDefault="006F5549" w:rsidP="006F5549">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 xml:space="preserve">Imaging </w:t>
      </w:r>
    </w:p>
    <w:p w14:paraId="43015DC8" w14:textId="2F13DFF4" w:rsidR="00376F21" w:rsidRDefault="00376F21" w:rsidP="00376F21">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Sample fixation and processing</w:t>
      </w:r>
    </w:p>
    <w:p w14:paraId="52988B35" w14:textId="5BCA923A" w:rsidR="00376F21" w:rsidRDefault="00376F21" w:rsidP="006F5549">
      <w:pPr>
        <w:pStyle w:val="NormalWeb"/>
        <w:spacing w:before="240" w:beforeAutospacing="0" w:after="240" w:afterAutospacing="0" w:line="480" w:lineRule="auto"/>
        <w:ind w:left="-280"/>
        <w:jc w:val="both"/>
        <w:rPr>
          <w:rFonts w:ascii="Arial" w:hAnsi="Arial" w:cs="Arial"/>
          <w:b/>
          <w:bCs/>
          <w:i/>
          <w:iCs/>
          <w:color w:val="000000"/>
          <w:sz w:val="22"/>
          <w:szCs w:val="22"/>
        </w:rPr>
      </w:pPr>
      <w:r w:rsidRPr="00403151">
        <w:rPr>
          <w:rFonts w:ascii="Arial" w:hAnsi="Arial" w:cs="Arial"/>
          <w:color w:val="000000"/>
          <w:sz w:val="22"/>
          <w:szCs w:val="22"/>
        </w:rPr>
        <w:t xml:space="preserve">Mouse kidney samples were harvested and fixed through immersion in freshly prepared 4% (w/v) formaldehyde-PBS solution (pH 6.9) for 16 hours at 37°C. Subsequently, the samples were washed three times with PBS </w:t>
      </w:r>
      <w:r>
        <w:rPr>
          <w:rFonts w:ascii="Arial" w:hAnsi="Arial" w:cs="Arial"/>
          <w:color w:val="000000"/>
          <w:sz w:val="22"/>
          <w:szCs w:val="22"/>
        </w:rPr>
        <w:t xml:space="preserve">with 0.02% Na-Azide </w:t>
      </w:r>
      <w:r w:rsidRPr="00403151">
        <w:rPr>
          <w:rFonts w:ascii="Arial" w:hAnsi="Arial" w:cs="Arial"/>
          <w:color w:val="000000"/>
          <w:sz w:val="22"/>
          <w:szCs w:val="22"/>
        </w:rPr>
        <w:t>and stored at 4°C until they were embedded in paraffin.</w:t>
      </w:r>
    </w:p>
    <w:p w14:paraId="38602725" w14:textId="77777777" w:rsidR="00376F21" w:rsidRDefault="00376F21" w:rsidP="006F5549">
      <w:pPr>
        <w:pStyle w:val="NormalWeb"/>
        <w:spacing w:before="240" w:beforeAutospacing="0" w:after="240" w:afterAutospacing="0" w:line="480" w:lineRule="auto"/>
        <w:ind w:left="-280"/>
        <w:jc w:val="both"/>
        <w:rPr>
          <w:rFonts w:ascii="Arial" w:hAnsi="Arial" w:cs="Arial"/>
          <w:b/>
          <w:bCs/>
          <w:i/>
          <w:iCs/>
          <w:color w:val="000000"/>
          <w:sz w:val="22"/>
          <w:szCs w:val="22"/>
        </w:rPr>
      </w:pPr>
    </w:p>
    <w:p w14:paraId="7CDD7C17" w14:textId="41215FAC" w:rsidR="006F5549" w:rsidRDefault="006F5549" w:rsidP="006F5549">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Histopathology and Brightfield WSI</w:t>
      </w:r>
    </w:p>
    <w:p w14:paraId="57EE7232" w14:textId="4E29B122" w:rsidR="006F5549" w:rsidRDefault="004C6CF0" w:rsidP="006F5549">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2-3</w:t>
      </w:r>
      <w:r w:rsidR="009637B3">
        <w:rPr>
          <w:rFonts w:ascii="Arial" w:hAnsi="Arial" w:cs="Arial"/>
          <w:color w:val="000000"/>
          <w:sz w:val="22"/>
          <w:szCs w:val="22"/>
        </w:rPr>
        <w:t xml:space="preserve"> </w:t>
      </w:r>
      <w:r>
        <w:rPr>
          <w:rFonts w:ascii="Arial" w:hAnsi="Arial" w:cs="Arial"/>
          <w:color w:val="000000"/>
          <w:sz w:val="22"/>
          <w:szCs w:val="22"/>
        </w:rPr>
        <w:t xml:space="preserve">µm FFPE </w:t>
      </w:r>
      <w:r w:rsidRPr="004C6CF0">
        <w:rPr>
          <w:rFonts w:ascii="Arial" w:hAnsi="Arial" w:cs="Arial"/>
          <w:color w:val="000000"/>
          <w:sz w:val="22"/>
          <w:szCs w:val="22"/>
        </w:rPr>
        <w:t>sections</w:t>
      </w:r>
      <w:r>
        <w:rPr>
          <w:rFonts w:ascii="Arial" w:hAnsi="Arial" w:cs="Arial"/>
          <w:color w:val="000000"/>
          <w:sz w:val="22"/>
          <w:szCs w:val="22"/>
        </w:rPr>
        <w:t xml:space="preserve"> from NSRL-22A kidneys</w:t>
      </w:r>
      <w:r w:rsidRPr="004C6CF0">
        <w:rPr>
          <w:rFonts w:ascii="Arial" w:hAnsi="Arial" w:cs="Arial"/>
          <w:color w:val="000000"/>
          <w:sz w:val="22"/>
          <w:szCs w:val="22"/>
        </w:rPr>
        <w:t xml:space="preserve"> were prepared, deparaffini</w:t>
      </w:r>
      <w:r>
        <w:rPr>
          <w:rFonts w:ascii="Arial" w:hAnsi="Arial" w:cs="Arial"/>
          <w:color w:val="000000"/>
          <w:sz w:val="22"/>
          <w:szCs w:val="22"/>
        </w:rPr>
        <w:t>s</w:t>
      </w:r>
      <w:r w:rsidRPr="004C6CF0">
        <w:rPr>
          <w:rFonts w:ascii="Arial" w:hAnsi="Arial" w:cs="Arial"/>
          <w:color w:val="000000"/>
          <w:sz w:val="22"/>
          <w:szCs w:val="22"/>
        </w:rPr>
        <w:t>ed using Histoclear (National Diagnostics), and rehydrated through a series of graded methanol steps.</w:t>
      </w:r>
      <w:r>
        <w:rPr>
          <w:rFonts w:ascii="Arial" w:hAnsi="Arial" w:cs="Arial"/>
          <w:color w:val="000000"/>
          <w:sz w:val="22"/>
          <w:szCs w:val="22"/>
        </w:rPr>
        <w:t xml:space="preserve"> These were then stained for either Haematoxylin &amp; Eosin</w:t>
      </w:r>
      <w:r w:rsidRPr="004C6CF0">
        <w:rPr>
          <w:rFonts w:ascii="Arial" w:hAnsi="Arial" w:cs="Arial"/>
          <w:color w:val="000000"/>
          <w:sz w:val="22"/>
          <w:szCs w:val="22"/>
        </w:rPr>
        <w:t xml:space="preserve"> </w:t>
      </w:r>
      <w:r w:rsidR="0008579B">
        <w:rPr>
          <w:rFonts w:ascii="Arial" w:hAnsi="Arial" w:cs="Arial"/>
          <w:color w:val="000000"/>
          <w:sz w:val="22"/>
          <w:szCs w:val="22"/>
        </w:rPr>
        <w:t>(#</w:t>
      </w:r>
      <w:r w:rsidR="0008579B" w:rsidRPr="0008579B">
        <w:rPr>
          <w:rFonts w:ascii="Arial" w:hAnsi="Arial" w:cs="Arial"/>
          <w:color w:val="000000"/>
          <w:sz w:val="22"/>
          <w:szCs w:val="22"/>
        </w:rPr>
        <w:t>ab245880</w:t>
      </w:r>
      <w:r w:rsidR="0008579B">
        <w:rPr>
          <w:rFonts w:ascii="Arial" w:hAnsi="Arial" w:cs="Arial"/>
          <w:color w:val="000000"/>
          <w:sz w:val="22"/>
          <w:szCs w:val="22"/>
        </w:rPr>
        <w:t>, Abcam) or Masson’s Trichrome (#</w:t>
      </w:r>
      <w:r w:rsidR="0008579B" w:rsidRPr="0008579B">
        <w:rPr>
          <w:rFonts w:ascii="Arial" w:hAnsi="Arial" w:cs="Arial"/>
          <w:color w:val="000000"/>
          <w:sz w:val="22"/>
          <w:szCs w:val="22"/>
        </w:rPr>
        <w:t>ab150686</w:t>
      </w:r>
      <w:r w:rsidR="0008579B">
        <w:rPr>
          <w:rFonts w:ascii="Arial" w:hAnsi="Arial" w:cs="Arial"/>
          <w:color w:val="000000"/>
          <w:sz w:val="22"/>
          <w:szCs w:val="22"/>
        </w:rPr>
        <w:t>, Abcam) according to the manufacturers guidelines.</w:t>
      </w:r>
    </w:p>
    <w:p w14:paraId="000BC325" w14:textId="502E78D5" w:rsidR="0008579B" w:rsidRPr="004C6CF0" w:rsidRDefault="0008579B" w:rsidP="006F5549">
      <w:pPr>
        <w:pStyle w:val="NormalWeb"/>
        <w:spacing w:before="240" w:beforeAutospacing="0" w:after="240" w:afterAutospacing="0" w:line="480" w:lineRule="auto"/>
        <w:ind w:left="-280"/>
        <w:jc w:val="both"/>
      </w:pPr>
      <w:r>
        <w:rPr>
          <w:rFonts w:ascii="Arial" w:hAnsi="Arial" w:cs="Arial"/>
          <w:color w:val="000000"/>
          <w:sz w:val="22"/>
          <w:szCs w:val="22"/>
        </w:rPr>
        <w:lastRenderedPageBreak/>
        <w:t xml:space="preserve">Sections underwent brightfield whole slide imaging with 20X objective tiled and stitched focus stacks taken for each section on a Zeiss Axio Scan.Z1 slide scanner. The resultant images were viewed in QuPath (v0.4.3) and semi-quantitatively scored for any histopathological findings. </w:t>
      </w:r>
    </w:p>
    <w:p w14:paraId="44A5361E" w14:textId="77777777" w:rsidR="004C6CF0" w:rsidRDefault="004C6CF0" w:rsidP="006F5549">
      <w:pPr>
        <w:pStyle w:val="NormalWeb"/>
        <w:spacing w:before="240" w:beforeAutospacing="0" w:after="240" w:afterAutospacing="0" w:line="480" w:lineRule="auto"/>
        <w:ind w:left="-280"/>
        <w:jc w:val="both"/>
        <w:rPr>
          <w:rFonts w:ascii="Arial" w:hAnsi="Arial" w:cs="Arial"/>
          <w:color w:val="000000"/>
          <w:sz w:val="22"/>
          <w:szCs w:val="22"/>
        </w:rPr>
      </w:pPr>
    </w:p>
    <w:p w14:paraId="20EF8EDF" w14:textId="77777777" w:rsidR="006F5549" w:rsidRDefault="006F5549" w:rsidP="006F5549">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Immunostaining and Confocal WSI</w:t>
      </w:r>
    </w:p>
    <w:p w14:paraId="7E2F8658" w14:textId="4FCE6DE5" w:rsidR="006F5549" w:rsidRPr="00403151" w:rsidRDefault="00376F21" w:rsidP="006F5549">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5</w:t>
      </w:r>
      <w:r w:rsidR="009637B3">
        <w:rPr>
          <w:rFonts w:ascii="Arial" w:hAnsi="Arial" w:cs="Arial"/>
          <w:color w:val="000000"/>
          <w:sz w:val="22"/>
          <w:szCs w:val="22"/>
        </w:rPr>
        <w:t xml:space="preserve"> </w:t>
      </w:r>
      <w:r>
        <w:rPr>
          <w:rFonts w:ascii="Arial" w:hAnsi="Arial" w:cs="Arial"/>
          <w:color w:val="000000"/>
          <w:sz w:val="22"/>
          <w:szCs w:val="22"/>
        </w:rPr>
        <w:t xml:space="preserve">µm FFPE </w:t>
      </w:r>
      <w:r w:rsidRPr="004C6CF0">
        <w:rPr>
          <w:rFonts w:ascii="Arial" w:hAnsi="Arial" w:cs="Arial"/>
          <w:color w:val="000000"/>
          <w:sz w:val="22"/>
          <w:szCs w:val="22"/>
        </w:rPr>
        <w:t>sections</w:t>
      </w:r>
      <w:r>
        <w:rPr>
          <w:rFonts w:ascii="Arial" w:hAnsi="Arial" w:cs="Arial"/>
          <w:color w:val="000000"/>
          <w:sz w:val="22"/>
          <w:szCs w:val="22"/>
        </w:rPr>
        <w:t xml:space="preserve"> from RR-10 kidneys</w:t>
      </w:r>
      <w:r w:rsidRPr="004C6CF0">
        <w:rPr>
          <w:rFonts w:ascii="Arial" w:hAnsi="Arial" w:cs="Arial"/>
          <w:color w:val="000000"/>
          <w:sz w:val="22"/>
          <w:szCs w:val="22"/>
        </w:rPr>
        <w:t xml:space="preserve"> were prepared, deparaffini</w:t>
      </w:r>
      <w:r>
        <w:rPr>
          <w:rFonts w:ascii="Arial" w:hAnsi="Arial" w:cs="Arial"/>
          <w:color w:val="000000"/>
          <w:sz w:val="22"/>
          <w:szCs w:val="22"/>
        </w:rPr>
        <w:t>s</w:t>
      </w:r>
      <w:r w:rsidRPr="004C6CF0">
        <w:rPr>
          <w:rFonts w:ascii="Arial" w:hAnsi="Arial" w:cs="Arial"/>
          <w:color w:val="000000"/>
          <w:sz w:val="22"/>
          <w:szCs w:val="22"/>
        </w:rPr>
        <w:t>ed using Histoclear (National Diagnostics), and rehydrated through a series of graded methanol steps</w:t>
      </w:r>
      <w:r>
        <w:rPr>
          <w:rFonts w:ascii="Arial" w:hAnsi="Arial" w:cs="Arial"/>
          <w:color w:val="000000"/>
          <w:sz w:val="22"/>
          <w:szCs w:val="22"/>
        </w:rPr>
        <w:t xml:space="preserve">. </w:t>
      </w:r>
      <w:r w:rsidR="006F5549" w:rsidRPr="00403151">
        <w:rPr>
          <w:rFonts w:ascii="Arial" w:hAnsi="Arial" w:cs="Arial"/>
          <w:color w:val="000000"/>
          <w:sz w:val="22"/>
          <w:szCs w:val="22"/>
        </w:rPr>
        <w:t xml:space="preserve">Antigen retrieval was performed using R-Universal buffer in a 2100 antigen retriever for a single heat-pressure cycle (Aptum Biologics). Sections were then permeabilized with 0.05% (v/v) Triton X-100-PBS solution for 20 minutes and blocked with 2% (v/v) donkey serum in 0.05% (v/v) Triton X-100-PBS for 1 hour at 37°C. Primary antibodies were incubated overnight at 4°C for 16 hours at specified concentrations, diluted in 1% (v/v) donkey serum in 0.05% (v/v) Triton X-100-PBS: 2 μg/ml for </w:t>
      </w:r>
      <w:r w:rsidR="002632F8">
        <w:rPr>
          <w:rFonts w:ascii="Arial" w:hAnsi="Arial" w:cs="Arial"/>
          <w:color w:val="000000"/>
          <w:sz w:val="22"/>
          <w:szCs w:val="22"/>
        </w:rPr>
        <w:t>anti-NCC pT44, pT48 &amp; pT53</w:t>
      </w:r>
      <w:r w:rsidR="006F5549" w:rsidRPr="00403151">
        <w:rPr>
          <w:rFonts w:ascii="Arial" w:hAnsi="Arial" w:cs="Arial"/>
          <w:color w:val="000000"/>
          <w:sz w:val="22"/>
          <w:szCs w:val="22"/>
        </w:rPr>
        <w:t xml:space="preserve"> and t</w:t>
      </w:r>
      <w:r w:rsidR="002632F8">
        <w:rPr>
          <w:rFonts w:ascii="Arial" w:hAnsi="Arial" w:cs="Arial"/>
          <w:color w:val="000000"/>
          <w:sz w:val="22"/>
          <w:szCs w:val="22"/>
        </w:rPr>
        <w:t xml:space="preserve">otal </w:t>
      </w:r>
      <w:r w:rsidR="006F5549" w:rsidRPr="00403151">
        <w:rPr>
          <w:rFonts w:ascii="Arial" w:hAnsi="Arial" w:cs="Arial"/>
          <w:color w:val="000000"/>
          <w:sz w:val="22"/>
          <w:szCs w:val="22"/>
        </w:rPr>
        <w:t>NCC. For phospho-specific antibodies, 10 μg/ml of the non-phospho peptide used to raise the antibody was added per 2 μg/ml of the antibody used. Negative control samples omitted the primary antibody and were processed simultaneously. Following incubation, slides were washed for 20 minutes in 0.05% (v/v) Triton X-100-PBS and incubated with secondary antibodies for 1 hour at 37°C. Pre-absorbed donkey Fab fragment IgG-conjugated Alexa Fluor 488 and 647 secondary antibodies (JacksonImmunoResearch) were utilized at 8 μg/ml, diluted in 1% (v/v) donkey serum in 0.05% (v/v) Triton X-100-PBS for immunofluorescent labe</w:t>
      </w:r>
      <w:r w:rsidR="009637B3">
        <w:rPr>
          <w:rFonts w:ascii="Arial" w:hAnsi="Arial" w:cs="Arial"/>
          <w:color w:val="000000"/>
          <w:sz w:val="22"/>
          <w:szCs w:val="22"/>
        </w:rPr>
        <w:t>l</w:t>
      </w:r>
      <w:r w:rsidR="006F5549" w:rsidRPr="00403151">
        <w:rPr>
          <w:rFonts w:ascii="Arial" w:hAnsi="Arial" w:cs="Arial"/>
          <w:color w:val="000000"/>
          <w:sz w:val="22"/>
          <w:szCs w:val="22"/>
        </w:rPr>
        <w:t>ling. After washing, slides were mounted using Prolong Gold antifade (</w:t>
      </w:r>
      <w:r w:rsidR="002632F8">
        <w:rPr>
          <w:rFonts w:ascii="Arial" w:hAnsi="Arial" w:cs="Arial"/>
          <w:color w:val="000000"/>
          <w:sz w:val="22"/>
          <w:szCs w:val="22"/>
        </w:rPr>
        <w:t>#</w:t>
      </w:r>
      <w:r w:rsidR="006F5549" w:rsidRPr="00403151">
        <w:rPr>
          <w:rFonts w:ascii="Arial" w:hAnsi="Arial" w:cs="Arial"/>
          <w:color w:val="000000"/>
          <w:sz w:val="22"/>
          <w:szCs w:val="22"/>
        </w:rPr>
        <w:t>P36930</w:t>
      </w:r>
      <w:r w:rsidR="002632F8">
        <w:rPr>
          <w:rFonts w:ascii="Arial" w:hAnsi="Arial" w:cs="Arial"/>
          <w:color w:val="000000"/>
          <w:sz w:val="22"/>
          <w:szCs w:val="22"/>
        </w:rPr>
        <w:t xml:space="preserve">, </w:t>
      </w:r>
      <w:r w:rsidR="006F5549" w:rsidRPr="00403151">
        <w:rPr>
          <w:rFonts w:ascii="Arial" w:hAnsi="Arial" w:cs="Arial"/>
          <w:color w:val="000000"/>
          <w:sz w:val="22"/>
          <w:szCs w:val="22"/>
        </w:rPr>
        <w:t>Life Technologies) and protected from light exposure.</w:t>
      </w:r>
    </w:p>
    <w:p w14:paraId="0041E0F3" w14:textId="77777777" w:rsidR="006F5549" w:rsidRPr="00403151" w:rsidRDefault="006F5549" w:rsidP="006F5549">
      <w:pPr>
        <w:pStyle w:val="NormalWeb"/>
        <w:spacing w:before="240" w:after="240" w:line="480" w:lineRule="auto"/>
        <w:ind w:left="-280"/>
        <w:jc w:val="both"/>
        <w:rPr>
          <w:rFonts w:ascii="Arial" w:hAnsi="Arial" w:cs="Arial"/>
          <w:color w:val="000000"/>
          <w:sz w:val="22"/>
          <w:szCs w:val="22"/>
        </w:rPr>
      </w:pPr>
      <w:r w:rsidRPr="00403151">
        <w:rPr>
          <w:rFonts w:ascii="Arial" w:hAnsi="Arial" w:cs="Arial"/>
          <w:color w:val="000000"/>
          <w:sz w:val="22"/>
          <w:szCs w:val="22"/>
        </w:rPr>
        <w:t>Immunofluorescent images were captured using a Leica SP8 white-light laser-scanning confocal microscope with 488-nm and 639-nm laser lines, employing a 10X/0.5NA objective. Acquisition parameters included tile scanning with a 10% overlap, 8-bit resolution, 1024 × 1024 pixels, 0.75x digital zoom, 600 Hz scan speed, 6-line Kalman filtering, sequential (by line) channel imaging, and a 3-slice z-stack with a 5 µm thickness.</w:t>
      </w:r>
    </w:p>
    <w:p w14:paraId="7A5F6ADE" w14:textId="64995577" w:rsidR="006F5549" w:rsidRPr="00403151" w:rsidRDefault="006F5549" w:rsidP="006F5549">
      <w:pPr>
        <w:pStyle w:val="NormalWeb"/>
        <w:spacing w:before="240" w:beforeAutospacing="0" w:after="240" w:afterAutospacing="0" w:line="480" w:lineRule="auto"/>
        <w:ind w:left="-280"/>
        <w:jc w:val="both"/>
        <w:rPr>
          <w:rFonts w:ascii="Arial" w:hAnsi="Arial" w:cs="Arial"/>
          <w:color w:val="000000"/>
          <w:sz w:val="22"/>
          <w:szCs w:val="22"/>
        </w:rPr>
      </w:pPr>
      <w:r w:rsidRPr="00403151">
        <w:rPr>
          <w:rFonts w:ascii="Arial" w:hAnsi="Arial" w:cs="Arial"/>
          <w:color w:val="000000"/>
          <w:sz w:val="22"/>
          <w:szCs w:val="22"/>
        </w:rPr>
        <w:lastRenderedPageBreak/>
        <w:t xml:space="preserve">Images were processed using FIJI image analysis software. Fluorescent z-stacks underwent background subtraction (200 px radius rolling ball) and maximum intensity z-projection. Brightness and contrast adjustments were made using linear histogram stretching to enhance visibility. </w:t>
      </w:r>
    </w:p>
    <w:p w14:paraId="3993C761" w14:textId="77777777" w:rsidR="006F5549" w:rsidRDefault="006F5549" w:rsidP="006F5549">
      <w:pPr>
        <w:pStyle w:val="NormalWeb"/>
        <w:spacing w:before="240" w:beforeAutospacing="0" w:after="240" w:afterAutospacing="0" w:line="480" w:lineRule="auto"/>
        <w:ind w:left="-280"/>
        <w:jc w:val="both"/>
        <w:rPr>
          <w:rFonts w:ascii="Arial" w:hAnsi="Arial" w:cs="Arial"/>
          <w:b/>
          <w:bCs/>
          <w:i/>
          <w:iCs/>
          <w:color w:val="000000"/>
          <w:sz w:val="22"/>
          <w:szCs w:val="22"/>
        </w:rPr>
      </w:pPr>
    </w:p>
    <w:p w14:paraId="2177BA65" w14:textId="4BBC80E9" w:rsidR="00376F21" w:rsidRDefault="001D2E23" w:rsidP="00376F21">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miRNA in situ hybridisation and brightfield WSI</w:t>
      </w:r>
    </w:p>
    <w:p w14:paraId="26270EC4" w14:textId="3D5ACA8D" w:rsidR="00376F21" w:rsidRDefault="001D2E23" w:rsidP="00006E63">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FFPE blocks for BNL-3 kidneys were trimmed to remove tissue exposed to air, and fresh 5µm sections were taken. These were not baked onto the slide</w:t>
      </w:r>
      <w:r w:rsidRPr="001D2E23">
        <w:rPr>
          <w:rFonts w:ascii="Arial" w:hAnsi="Arial" w:cs="Arial"/>
          <w:color w:val="000000"/>
          <w:sz w:val="22"/>
          <w:szCs w:val="22"/>
        </w:rPr>
        <w:t xml:space="preserve"> </w:t>
      </w:r>
      <w:r>
        <w:rPr>
          <w:rFonts w:ascii="Arial" w:hAnsi="Arial" w:cs="Arial"/>
          <w:color w:val="000000"/>
          <w:sz w:val="22"/>
          <w:szCs w:val="22"/>
        </w:rPr>
        <w:t xml:space="preserve">and stored with </w:t>
      </w:r>
      <w:r w:rsidR="009637B3">
        <w:rPr>
          <w:rFonts w:ascii="Arial" w:hAnsi="Arial" w:cs="Arial"/>
          <w:color w:val="000000"/>
          <w:sz w:val="22"/>
          <w:szCs w:val="22"/>
        </w:rPr>
        <w:t>desiccant</w:t>
      </w:r>
      <w:r>
        <w:rPr>
          <w:rFonts w:ascii="Arial" w:hAnsi="Arial" w:cs="Arial"/>
          <w:color w:val="000000"/>
          <w:sz w:val="22"/>
          <w:szCs w:val="22"/>
        </w:rPr>
        <w:t xml:space="preserve"> instead. Samples were then processed using the </w:t>
      </w:r>
      <w:r w:rsidRPr="001D2E23">
        <w:rPr>
          <w:rFonts w:ascii="Arial" w:hAnsi="Arial" w:cs="Arial"/>
          <w:color w:val="000000"/>
          <w:sz w:val="22"/>
          <w:szCs w:val="22"/>
        </w:rPr>
        <w:t xml:space="preserve">miRNAscope™ HD RED </w:t>
      </w:r>
      <w:r>
        <w:rPr>
          <w:rFonts w:ascii="Arial" w:hAnsi="Arial" w:cs="Arial"/>
          <w:color w:val="000000"/>
          <w:sz w:val="22"/>
          <w:szCs w:val="22"/>
        </w:rPr>
        <w:t>a</w:t>
      </w:r>
      <w:r w:rsidRPr="001D2E23">
        <w:rPr>
          <w:rFonts w:ascii="Arial" w:hAnsi="Arial" w:cs="Arial"/>
          <w:color w:val="000000"/>
          <w:sz w:val="22"/>
          <w:szCs w:val="22"/>
        </w:rPr>
        <w:t>ssay</w:t>
      </w:r>
      <w:r>
        <w:rPr>
          <w:rFonts w:ascii="Arial" w:hAnsi="Arial" w:cs="Arial"/>
          <w:color w:val="000000"/>
          <w:sz w:val="22"/>
          <w:szCs w:val="22"/>
        </w:rPr>
        <w:t xml:space="preserve"> (</w:t>
      </w:r>
      <w:r w:rsidR="00006E63">
        <w:rPr>
          <w:rFonts w:ascii="Arial" w:hAnsi="Arial" w:cs="Arial"/>
          <w:color w:val="000000"/>
          <w:sz w:val="22"/>
          <w:szCs w:val="22"/>
        </w:rPr>
        <w:t>#</w:t>
      </w:r>
      <w:r w:rsidR="00006E63" w:rsidRPr="00006E63">
        <w:rPr>
          <w:rFonts w:ascii="Arial" w:hAnsi="Arial" w:cs="Arial"/>
          <w:color w:val="000000"/>
          <w:sz w:val="22"/>
          <w:szCs w:val="22"/>
        </w:rPr>
        <w:t>324531</w:t>
      </w:r>
      <w:r w:rsidR="00006E63">
        <w:rPr>
          <w:rFonts w:ascii="Arial" w:hAnsi="Arial" w:cs="Arial"/>
          <w:color w:val="000000"/>
          <w:sz w:val="22"/>
          <w:szCs w:val="22"/>
        </w:rPr>
        <w:t xml:space="preserve"> and #</w:t>
      </w:r>
      <w:r w:rsidR="00006E63" w:rsidRPr="00006E63">
        <w:rPr>
          <w:rFonts w:ascii="Arial" w:hAnsi="Arial" w:cs="Arial"/>
          <w:color w:val="000000"/>
          <w:sz w:val="22"/>
          <w:szCs w:val="22"/>
        </w:rPr>
        <w:t>324500</w:t>
      </w:r>
      <w:r w:rsidR="00006E63">
        <w:rPr>
          <w:rFonts w:ascii="Arial" w:hAnsi="Arial" w:cs="Arial"/>
          <w:color w:val="000000"/>
          <w:sz w:val="22"/>
          <w:szCs w:val="22"/>
        </w:rPr>
        <w:t xml:space="preserve">, </w:t>
      </w:r>
      <w:r>
        <w:rPr>
          <w:rFonts w:ascii="Arial" w:hAnsi="Arial" w:cs="Arial"/>
          <w:color w:val="000000"/>
          <w:sz w:val="22"/>
          <w:szCs w:val="22"/>
        </w:rPr>
        <w:t xml:space="preserve">ACD-Biotechne) with the FFPE tissue section workflow according </w:t>
      </w:r>
      <w:r w:rsidR="009637B3">
        <w:rPr>
          <w:rFonts w:ascii="Arial" w:hAnsi="Arial" w:cs="Arial"/>
          <w:color w:val="000000"/>
          <w:sz w:val="22"/>
          <w:szCs w:val="22"/>
        </w:rPr>
        <w:t>to</w:t>
      </w:r>
      <w:r>
        <w:rPr>
          <w:rFonts w:ascii="Arial" w:hAnsi="Arial" w:cs="Arial"/>
          <w:color w:val="000000"/>
          <w:sz w:val="22"/>
          <w:szCs w:val="22"/>
        </w:rPr>
        <w:t xml:space="preserve"> the manufacturers guidelines.</w:t>
      </w:r>
      <w:r w:rsidR="00006E63">
        <w:rPr>
          <w:rFonts w:ascii="Arial" w:hAnsi="Arial" w:cs="Arial"/>
          <w:color w:val="000000"/>
          <w:sz w:val="22"/>
          <w:szCs w:val="22"/>
        </w:rPr>
        <w:t xml:space="preserve"> </w:t>
      </w:r>
      <w:r w:rsidR="00006E63" w:rsidRPr="00006E63">
        <w:rPr>
          <w:rFonts w:ascii="Arial" w:hAnsi="Arial" w:cs="Arial"/>
          <w:color w:val="000000"/>
          <w:sz w:val="22"/>
          <w:szCs w:val="22"/>
        </w:rPr>
        <w:t>miRNAscope™ Probe</w:t>
      </w:r>
      <w:r w:rsidR="00006E63">
        <w:rPr>
          <w:rFonts w:ascii="Arial" w:hAnsi="Arial" w:cs="Arial"/>
          <w:color w:val="000000"/>
          <w:sz w:val="22"/>
          <w:szCs w:val="22"/>
        </w:rPr>
        <w:t xml:space="preserve">s against the following were used: </w:t>
      </w:r>
      <w:r w:rsidR="00006E63" w:rsidRPr="00006E63">
        <w:rPr>
          <w:rFonts w:ascii="Arial" w:hAnsi="Arial" w:cs="Arial"/>
          <w:color w:val="000000"/>
          <w:sz w:val="22"/>
          <w:szCs w:val="22"/>
        </w:rPr>
        <w:t>mmu-miR-125b-5p</w:t>
      </w:r>
      <w:r w:rsidR="00006E63">
        <w:rPr>
          <w:rFonts w:ascii="Arial" w:hAnsi="Arial" w:cs="Arial"/>
          <w:color w:val="000000"/>
          <w:sz w:val="22"/>
          <w:szCs w:val="22"/>
        </w:rPr>
        <w:t xml:space="preserve"> (#</w:t>
      </w:r>
      <w:r w:rsidR="00006E63" w:rsidRPr="00006E63">
        <w:rPr>
          <w:rFonts w:ascii="Arial" w:hAnsi="Arial" w:cs="Arial"/>
          <w:color w:val="000000"/>
          <w:sz w:val="22"/>
          <w:szCs w:val="22"/>
        </w:rPr>
        <w:t>1082311-S1</w:t>
      </w:r>
      <w:r w:rsidR="00006E63">
        <w:rPr>
          <w:rFonts w:ascii="Arial" w:hAnsi="Arial" w:cs="Arial"/>
          <w:color w:val="000000"/>
          <w:sz w:val="22"/>
          <w:szCs w:val="22"/>
        </w:rPr>
        <w:t xml:space="preserve">), </w:t>
      </w:r>
      <w:r w:rsidR="00006E63" w:rsidRPr="00006E63">
        <w:rPr>
          <w:rFonts w:ascii="Arial" w:hAnsi="Arial" w:cs="Arial"/>
          <w:color w:val="000000"/>
          <w:sz w:val="22"/>
          <w:szCs w:val="22"/>
        </w:rPr>
        <w:t>mmu-let-7a-5p</w:t>
      </w:r>
      <w:r w:rsidR="00006E63">
        <w:rPr>
          <w:rFonts w:ascii="Arial" w:hAnsi="Arial" w:cs="Arial"/>
          <w:color w:val="000000"/>
          <w:sz w:val="22"/>
          <w:szCs w:val="22"/>
        </w:rPr>
        <w:t xml:space="preserve"> (#</w:t>
      </w:r>
      <w:r w:rsidR="00006E63" w:rsidRPr="00006E63">
        <w:rPr>
          <w:rFonts w:ascii="Arial" w:hAnsi="Arial" w:cs="Arial"/>
          <w:color w:val="000000"/>
          <w:sz w:val="22"/>
          <w:szCs w:val="22"/>
        </w:rPr>
        <w:t>727761-S1</w:t>
      </w:r>
      <w:r w:rsidR="00006E63">
        <w:rPr>
          <w:rFonts w:ascii="Arial" w:hAnsi="Arial" w:cs="Arial"/>
          <w:color w:val="000000"/>
          <w:sz w:val="22"/>
          <w:szCs w:val="22"/>
        </w:rPr>
        <w:t xml:space="preserve">) and </w:t>
      </w:r>
      <w:r w:rsidR="00006E63" w:rsidRPr="00006E63">
        <w:rPr>
          <w:rFonts w:ascii="Arial" w:hAnsi="Arial" w:cs="Arial"/>
          <w:color w:val="000000"/>
          <w:sz w:val="22"/>
          <w:szCs w:val="22"/>
        </w:rPr>
        <w:t>mmu-miR-16-5p</w:t>
      </w:r>
      <w:r w:rsidR="00006E63">
        <w:rPr>
          <w:rFonts w:ascii="Arial" w:hAnsi="Arial" w:cs="Arial"/>
          <w:color w:val="000000"/>
          <w:sz w:val="22"/>
          <w:szCs w:val="22"/>
        </w:rPr>
        <w:t xml:space="preserve"> (</w:t>
      </w:r>
      <w:r w:rsidR="00006E63" w:rsidRPr="00006E63">
        <w:rPr>
          <w:rFonts w:ascii="Arial" w:hAnsi="Arial" w:cs="Arial"/>
          <w:color w:val="000000"/>
          <w:sz w:val="22"/>
          <w:szCs w:val="22"/>
        </w:rPr>
        <w:t>729031-S1</w:t>
      </w:r>
      <w:r w:rsidR="00006E63">
        <w:rPr>
          <w:rFonts w:ascii="Arial" w:hAnsi="Arial" w:cs="Arial"/>
          <w:color w:val="000000"/>
          <w:sz w:val="22"/>
          <w:szCs w:val="22"/>
        </w:rPr>
        <w:t>).</w:t>
      </w:r>
    </w:p>
    <w:p w14:paraId="28C82532" w14:textId="1BA13DCE" w:rsidR="00AF211F" w:rsidRDefault="00AF211F" w:rsidP="00863CEF">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t>Sections underwent brightfield whole slide imaging with 20X objective tiled and stitched focus stacks (with extended depth of focus) taken for each section on a Zeiss Axio Scan.Z1 slide scanner. Using QuPath (v0.4.3) the cortex, outer stripe of the outer medulla, inner stripe of the outer medulla and inner medulla were manually annotated with the aid of a</w:t>
      </w:r>
      <w:r w:rsidRPr="001D5138">
        <w:t xml:space="preserve"> </w:t>
      </w:r>
      <w:r>
        <w:rPr>
          <w:rFonts w:ascii="Arial" w:hAnsi="Arial" w:cs="Arial"/>
          <w:color w:val="000000"/>
          <w:sz w:val="22"/>
          <w:szCs w:val="22"/>
        </w:rPr>
        <w:t>W</w:t>
      </w:r>
      <w:r w:rsidRPr="001D5138">
        <w:rPr>
          <w:rFonts w:ascii="Arial" w:hAnsi="Arial" w:cs="Arial"/>
          <w:color w:val="000000"/>
          <w:sz w:val="22"/>
          <w:szCs w:val="22"/>
        </w:rPr>
        <w:t>acom cintiq pro 32</w:t>
      </w:r>
      <w:r>
        <w:rPr>
          <w:rFonts w:ascii="Arial" w:hAnsi="Arial" w:cs="Arial"/>
          <w:color w:val="000000"/>
          <w:sz w:val="22"/>
          <w:szCs w:val="22"/>
        </w:rPr>
        <w:t xml:space="preserve"> to create a segmentation mask of the anatomical regions for area calculation. </w:t>
      </w:r>
      <w:proofErr w:type="spellStart"/>
      <w:r>
        <w:rPr>
          <w:rFonts w:ascii="Arial" w:hAnsi="Arial" w:cs="Arial"/>
          <w:color w:val="000000"/>
          <w:sz w:val="22"/>
          <w:szCs w:val="22"/>
        </w:rPr>
        <w:t>Ilastik</w:t>
      </w:r>
      <w:proofErr w:type="spellEnd"/>
      <w:r>
        <w:rPr>
          <w:rFonts w:ascii="Arial" w:hAnsi="Arial" w:cs="Arial"/>
          <w:color w:val="000000"/>
          <w:sz w:val="22"/>
          <w:szCs w:val="22"/>
        </w:rPr>
        <w:t xml:space="preserve"> (v1.4.0)</w:t>
      </w:r>
      <w:r w:rsidR="00630493">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{"citationID":"pXDiEhIu","properties":{"formattedCitation":"\\super 67\\nosupersub{}","plainCitation":"67","noteIndex":0},"citationItems":[{"id":15925,"uris":["http://zotero.org/users/1547967/items/IIXD3UQE"],"itemData":{"id":15925,"type":"article-journal","abstract":"We present ilastik, an easy-to-use interactive tool that brings machine-learning-based (bio)image analysis to end users without substantial computational expertise. It contains pre-defined workflows for image segmentation, object classification, counting and tracking. Users adapt the workflows to the problem at hand by interactively providing sparse training annotations for a nonlinear classifier. ilastik can process data in up to five dimensions (3D, time and number of channels). Its computational back end runs operations on-demand wherever possible, allowing for interactive prediction on data larger than RAM. Once the classifiers are trained, ilastik workflows can be applied to new data from the command line without further user interaction. We describe all ilastik workflows in detail, including three case studies and a discussion on the expected performance.","container-title":"Nature Methods","DOI":"10.1038/s41592-019-0582-9","ISSN":"1548-7105","issue":"12","journalAbbreviation":"Nat Methods","language":"en","license":"2019 The Author(s), under exclusive licence to Springer Nature America, Inc.","note":"number: 12\npublisher: Nature Publishing Group","page":"1226-1232","source":"www.nature.com","title":"ilastik: interactive machine learning for (bio)image analysis","title-short":"ilastik","volume":"16","author":[{"family":"Berg","given":"Stuart"},{"family":"Kutra","given":"Dominik"},{"family":"Kroeger","given":"Thorben"},{"family":"Straehle","given":"Christoph N."},{"family":"Kausler","given":"Bernhard X."},{"family":"Haubold","given":"Carsten"},{"family":"Schiegg","given":"Martin"},{"family":"Ales","given":"Janez"},{"family":"Beier","given":"Thorsten"},{"family":"Rudy","given":"Markus"},{"family":"Eren","given":"Kemal"},{"family":"Cervantes","given":"Jaime I."},{"family":"Xu","given":"Buote"},{"family":"Beuttenmueller","given":"Fynn"},{"family":"Wolny","given":"Adrian"},{"family":"Zhang","given":"Chong"},{"family":"Koethe","given":"Ullrich"},{"family":"Hamprecht","given":"Fred A."},{"family":"Kreshuk","given":"Anna"}],"issued":{"date-parts":[["2019",12]]}}}],"schema":"https://github.com/citation-style-language/schema/raw/master/csl-citation.json"} </w:instrText>
      </w:r>
      <w:r w:rsidR="00630493">
        <w:rPr>
          <w:rFonts w:ascii="Arial" w:hAnsi="Arial" w:cs="Arial"/>
          <w:color w:val="000000"/>
          <w:sz w:val="22"/>
          <w:szCs w:val="22"/>
        </w:rPr>
        <w:fldChar w:fldCharType="separate"/>
      </w:r>
      <w:r w:rsidR="00BD758C" w:rsidRPr="00BD758C">
        <w:rPr>
          <w:rFonts w:ascii="Arial" w:hAnsi="Arial" w:cs="Arial"/>
          <w:sz w:val="22"/>
          <w:vertAlign w:val="superscript"/>
        </w:rPr>
        <w:t>67</w:t>
      </w:r>
      <w:r w:rsidR="00630493">
        <w:rPr>
          <w:rFonts w:ascii="Arial" w:hAnsi="Arial" w:cs="Arial"/>
          <w:color w:val="000000"/>
          <w:sz w:val="22"/>
          <w:szCs w:val="22"/>
        </w:rPr>
        <w:fldChar w:fldCharType="end"/>
      </w:r>
      <w:r>
        <w:rPr>
          <w:rFonts w:ascii="Arial" w:hAnsi="Arial" w:cs="Arial"/>
          <w:color w:val="000000"/>
          <w:sz w:val="22"/>
          <w:szCs w:val="22"/>
        </w:rPr>
        <w:t xml:space="preserve"> </w:t>
      </w:r>
      <w:r w:rsidRPr="007944A3">
        <w:rPr>
          <w:rFonts w:ascii="Arial" w:hAnsi="Arial" w:cs="Arial"/>
          <w:color w:val="000000"/>
          <w:sz w:val="22"/>
          <w:szCs w:val="22"/>
        </w:rPr>
        <w:t>automated (supervised) pixel-level classification</w:t>
      </w:r>
      <w:r>
        <w:rPr>
          <w:rFonts w:ascii="Arial" w:hAnsi="Arial" w:cs="Arial"/>
          <w:color w:val="000000"/>
          <w:sz w:val="22"/>
          <w:szCs w:val="22"/>
        </w:rPr>
        <w:t xml:space="preserve"> was then trained to identify </w:t>
      </w:r>
      <w:r w:rsidR="00D95CAB">
        <w:rPr>
          <w:rFonts w:ascii="Arial" w:hAnsi="Arial" w:cs="Arial"/>
          <w:color w:val="000000"/>
          <w:sz w:val="22"/>
          <w:szCs w:val="22"/>
        </w:rPr>
        <w:t xml:space="preserve">positive miRNAscope probe staining. </w:t>
      </w:r>
      <w:r>
        <w:rPr>
          <w:rFonts w:ascii="Arial" w:hAnsi="Arial" w:cs="Arial"/>
          <w:color w:val="000000"/>
          <w:sz w:val="22"/>
          <w:szCs w:val="22"/>
        </w:rPr>
        <w:t>A custom in-house python script was then used t</w:t>
      </w:r>
      <w:r w:rsidR="00D95CAB">
        <w:rPr>
          <w:rFonts w:ascii="Arial" w:hAnsi="Arial" w:cs="Arial"/>
          <w:color w:val="000000"/>
          <w:sz w:val="22"/>
          <w:szCs w:val="22"/>
        </w:rPr>
        <w:t>o count all positive staining</w:t>
      </w:r>
      <w:r w:rsidR="00863CEF">
        <w:rPr>
          <w:rFonts w:ascii="Arial" w:hAnsi="Arial" w:cs="Arial"/>
          <w:color w:val="000000"/>
          <w:sz w:val="22"/>
          <w:szCs w:val="22"/>
        </w:rPr>
        <w:t xml:space="preserve"> and calculate the area of all anatomical regions, so that the density of each miRN</w:t>
      </w:r>
      <w:r w:rsidR="009637B3">
        <w:rPr>
          <w:rFonts w:ascii="Arial" w:hAnsi="Arial" w:cs="Arial"/>
          <w:color w:val="000000"/>
          <w:sz w:val="22"/>
          <w:szCs w:val="22"/>
        </w:rPr>
        <w:t>A</w:t>
      </w:r>
      <w:r w:rsidR="00863CEF">
        <w:rPr>
          <w:rFonts w:ascii="Arial" w:hAnsi="Arial" w:cs="Arial"/>
          <w:color w:val="000000"/>
          <w:sz w:val="22"/>
          <w:szCs w:val="22"/>
        </w:rPr>
        <w:t xml:space="preserve"> per unit area of each region could be determined</w:t>
      </w:r>
      <w:r>
        <w:rPr>
          <w:rFonts w:ascii="Arial" w:hAnsi="Arial" w:cs="Arial"/>
          <w:color w:val="000000"/>
          <w:sz w:val="22"/>
          <w:szCs w:val="22"/>
        </w:rPr>
        <w:t xml:space="preserve"> for each kidney section.</w:t>
      </w:r>
    </w:p>
    <w:p w14:paraId="77B6235E" w14:textId="77777777" w:rsidR="00376F21" w:rsidRDefault="00376F21" w:rsidP="006F5549">
      <w:pPr>
        <w:pStyle w:val="NormalWeb"/>
        <w:spacing w:before="240" w:beforeAutospacing="0" w:after="240" w:afterAutospacing="0" w:line="480" w:lineRule="auto"/>
        <w:ind w:left="-280"/>
        <w:jc w:val="both"/>
        <w:rPr>
          <w:rFonts w:ascii="Arial" w:hAnsi="Arial" w:cs="Arial"/>
          <w:b/>
          <w:bCs/>
          <w:i/>
          <w:iCs/>
          <w:color w:val="000000"/>
          <w:sz w:val="22"/>
          <w:szCs w:val="22"/>
        </w:rPr>
      </w:pPr>
    </w:p>
    <w:p w14:paraId="75549858" w14:textId="0A4C225D" w:rsidR="006F5549" w:rsidRDefault="006F5549" w:rsidP="006F5549">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 xml:space="preserve">Optical Clearing and </w:t>
      </w:r>
      <w:r w:rsidR="00B95452">
        <w:rPr>
          <w:rFonts w:ascii="Arial" w:hAnsi="Arial" w:cs="Arial"/>
          <w:b/>
          <w:bCs/>
          <w:i/>
          <w:iCs/>
          <w:color w:val="000000"/>
          <w:sz w:val="22"/>
          <w:szCs w:val="22"/>
        </w:rPr>
        <w:t>3D imaging</w:t>
      </w:r>
    </w:p>
    <w:p w14:paraId="336B6343" w14:textId="59B20015" w:rsidR="00B95452" w:rsidRPr="00B95452" w:rsidRDefault="00B95452" w:rsidP="000F2C5D">
      <w:pPr>
        <w:pStyle w:val="NormalWeb"/>
        <w:spacing w:before="240" w:beforeAutospacing="0" w:after="240" w:afterAutospacing="0" w:line="480" w:lineRule="auto"/>
        <w:ind w:left="-280"/>
        <w:jc w:val="both"/>
        <w:rPr>
          <w:rFonts w:ascii="Arial" w:hAnsi="Arial" w:cs="Arial"/>
          <w:color w:val="000000"/>
          <w:sz w:val="22"/>
          <w:szCs w:val="22"/>
          <w:u w:val="single"/>
        </w:rPr>
      </w:pPr>
      <w:r>
        <w:rPr>
          <w:rFonts w:ascii="Arial" w:hAnsi="Arial" w:cs="Arial"/>
          <w:color w:val="000000"/>
          <w:sz w:val="22"/>
          <w:szCs w:val="22"/>
          <w:u w:val="single"/>
        </w:rPr>
        <w:t>Tissue transformation, delipidation and refractive index matching</w:t>
      </w:r>
    </w:p>
    <w:p w14:paraId="292C8743" w14:textId="5C00E3AC" w:rsidR="000F2C5D" w:rsidRDefault="006F5549" w:rsidP="000F2C5D">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lastRenderedPageBreak/>
        <w:t>Quartered formaldehyde-fixed kidneys from RR-10 mice were tissue transformed using the SHIELD protocol</w:t>
      </w:r>
      <w:r w:rsidR="00630493">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{"citationID":"oR5G3Q70","properties":{"formattedCitation":"\\super 68\\nosupersub{}","plainCitation":"68","noteIndex":0},"citationItems":[{"id":3292,"uris":["http://zotero.org/users/1547967/items/JZDKHV9R"],"itemData":{"id":3292,"type":"article-journal","abstract":"Controlled tissue fixation with polyepoxides protects protein fluorescence, antigenicity, nucleic acids and tissue architecture.","container-title":"Nature Biotechnology","DOI":"10.1038/nbt.4281","ISSN":"1546-1696","issue":"1","language":"en","license":"2018 Nature Publishing Group, a division of Macmillan Publishers Limited. All Rights Reserved.","note":"number: 1\npublisher: Nature Publishing Group","page":"73-83","source":"www.nature.com","title":"Protection of tissue physicochemical properties using polyfunctional crosslinkers","volume":"37","author":[{"family":"Park","given":"Young-Gyun"},{"family":"Sohn","given":"Chang Ho"},{"family":"Chen","given":"Ritchie"},{"family":"McCue","given":"Margaret"},{"family":"Yun","given":"Dae Hee"},{"family":"Drummond","given":"Gabrielle T."},{"family":"Ku","given":"Taeyun"},{"family":"Evans","given":"Nicholas B."},{"family":"Oak","given":"Hayeon Caitlyn"},{"family":"Trieu","given":"Wendy"},{"family":"Choi","given":"Heejin"},{"family":"Jin","given":"Xin"},{"family":"Lilascharoen","given":"Varoth"},{"family":"Wang","given":"Ji"},{"family":"Truttmann","given":"Matthias C."},{"family":"Qi","given":"Helena W."},{"family":"Ploegh","given":"Hidde L."},{"family":"Golub","given":"Todd R."},{"family":"Chen","given":"Shih-Chi"},{"family":"Frosch","given":"Matthew P."},{"family":"Kulik","given":"Heather J."},{"family":"Lim","given":"Byung Kook"},{"family":"Chung","given":"Kwanghun"}],"issued":{"date-parts":[["2019",1]]}}}],"schema":"https://github.com/citation-style-language/schema/raw/master/csl-citation.json"} </w:instrText>
      </w:r>
      <w:r w:rsidR="00630493">
        <w:rPr>
          <w:rFonts w:ascii="Arial" w:hAnsi="Arial" w:cs="Arial"/>
          <w:color w:val="000000"/>
          <w:sz w:val="22"/>
          <w:szCs w:val="22"/>
        </w:rPr>
        <w:fldChar w:fldCharType="separate"/>
      </w:r>
      <w:r w:rsidR="00BD758C" w:rsidRPr="00BD758C">
        <w:rPr>
          <w:rFonts w:ascii="Arial" w:hAnsi="Arial" w:cs="Arial"/>
          <w:sz w:val="22"/>
          <w:vertAlign w:val="superscript"/>
        </w:rPr>
        <w:t>68</w:t>
      </w:r>
      <w:r w:rsidR="00630493">
        <w:rPr>
          <w:rFonts w:ascii="Arial" w:hAnsi="Arial" w:cs="Arial"/>
          <w:color w:val="000000"/>
          <w:sz w:val="22"/>
          <w:szCs w:val="22"/>
        </w:rPr>
        <w:fldChar w:fldCharType="end"/>
      </w:r>
      <w:r>
        <w:rPr>
          <w:rFonts w:ascii="Arial" w:hAnsi="Arial" w:cs="Arial"/>
          <w:color w:val="000000"/>
          <w:sz w:val="22"/>
          <w:szCs w:val="22"/>
        </w:rPr>
        <w:t xml:space="preserve"> and reagents from Lifeca</w:t>
      </w:r>
      <w:r w:rsidR="000F2C5D">
        <w:rPr>
          <w:rFonts w:ascii="Arial" w:hAnsi="Arial" w:cs="Arial"/>
          <w:color w:val="000000"/>
          <w:sz w:val="22"/>
          <w:szCs w:val="22"/>
        </w:rPr>
        <w:t>n</w:t>
      </w:r>
      <w:r>
        <w:rPr>
          <w:rFonts w:ascii="Arial" w:hAnsi="Arial" w:cs="Arial"/>
          <w:color w:val="000000"/>
          <w:sz w:val="22"/>
          <w:szCs w:val="22"/>
        </w:rPr>
        <w:t>vas technologies (</w:t>
      </w:r>
      <w:r w:rsidRPr="00403151">
        <w:rPr>
          <w:rFonts w:ascii="Arial" w:hAnsi="Arial" w:cs="Arial"/>
          <w:color w:val="000000"/>
          <w:sz w:val="22"/>
          <w:szCs w:val="22"/>
        </w:rPr>
        <w:t>MA, USA) based on (10.1038/nbt.4281)</w:t>
      </w:r>
      <w:r>
        <w:rPr>
          <w:rFonts w:ascii="Arial" w:hAnsi="Arial" w:cs="Arial"/>
          <w:color w:val="000000"/>
          <w:sz w:val="22"/>
          <w:szCs w:val="22"/>
        </w:rPr>
        <w:t xml:space="preserve">. </w:t>
      </w:r>
      <w:r w:rsidRPr="00403151">
        <w:rPr>
          <w:rFonts w:ascii="Arial" w:hAnsi="Arial" w:cs="Arial"/>
          <w:color w:val="000000"/>
          <w:sz w:val="22"/>
          <w:szCs w:val="22"/>
        </w:rPr>
        <w:t>SHIELD-</w:t>
      </w:r>
      <w:r>
        <w:rPr>
          <w:rFonts w:ascii="Arial" w:hAnsi="Arial" w:cs="Arial"/>
          <w:color w:val="000000"/>
          <w:sz w:val="22"/>
          <w:szCs w:val="22"/>
        </w:rPr>
        <w:t>transformed</w:t>
      </w:r>
      <w:r w:rsidRPr="00403151">
        <w:rPr>
          <w:rFonts w:ascii="Arial" w:hAnsi="Arial" w:cs="Arial"/>
          <w:color w:val="000000"/>
          <w:sz w:val="22"/>
          <w:szCs w:val="22"/>
        </w:rPr>
        <w:t xml:space="preserve"> kidneys were </w:t>
      </w:r>
      <w:r w:rsidR="000F2C5D">
        <w:rPr>
          <w:rFonts w:ascii="Arial" w:hAnsi="Arial" w:cs="Arial"/>
          <w:color w:val="000000"/>
          <w:sz w:val="22"/>
          <w:szCs w:val="22"/>
        </w:rPr>
        <w:t xml:space="preserve">delipidated </w:t>
      </w:r>
      <w:r>
        <w:rPr>
          <w:rFonts w:ascii="Arial" w:hAnsi="Arial" w:cs="Arial"/>
          <w:color w:val="000000"/>
          <w:sz w:val="22"/>
          <w:szCs w:val="22"/>
        </w:rPr>
        <w:t xml:space="preserve">(Lifecanvas Technologies; </w:t>
      </w:r>
      <w:r w:rsidRPr="006F5549">
        <w:rPr>
          <w:rFonts w:ascii="Arial" w:hAnsi="Arial" w:cs="Arial"/>
          <w:color w:val="000000"/>
          <w:sz w:val="22"/>
          <w:szCs w:val="22"/>
        </w:rPr>
        <w:t>Full Passive Pipeline Protocol v4.06</w:t>
      </w:r>
      <w:r w:rsidR="000F2C5D">
        <w:rPr>
          <w:rFonts w:ascii="Arial" w:hAnsi="Arial" w:cs="Arial"/>
          <w:color w:val="000000"/>
          <w:sz w:val="22"/>
          <w:szCs w:val="22"/>
        </w:rPr>
        <w:t>)</w:t>
      </w:r>
      <w:r w:rsidRPr="00403151">
        <w:rPr>
          <w:rFonts w:ascii="Arial" w:hAnsi="Arial" w:cs="Arial"/>
          <w:color w:val="000000"/>
          <w:sz w:val="22"/>
          <w:szCs w:val="22"/>
        </w:rPr>
        <w:t xml:space="preserve"> for</w:t>
      </w:r>
      <w:r w:rsidR="000F2C5D">
        <w:rPr>
          <w:rFonts w:ascii="Arial" w:hAnsi="Arial" w:cs="Arial"/>
          <w:color w:val="000000"/>
          <w:sz w:val="22"/>
          <w:szCs w:val="22"/>
        </w:rPr>
        <w:t xml:space="preserve"> </w:t>
      </w:r>
      <w:r w:rsidRPr="00403151">
        <w:rPr>
          <w:rFonts w:ascii="Arial" w:hAnsi="Arial" w:cs="Arial"/>
          <w:color w:val="000000"/>
          <w:sz w:val="22"/>
          <w:szCs w:val="22"/>
        </w:rPr>
        <w:t xml:space="preserve">approximately 10–14 days at </w:t>
      </w:r>
      <w:r w:rsidR="000F2C5D">
        <w:rPr>
          <w:rFonts w:ascii="Arial" w:hAnsi="Arial" w:cs="Arial"/>
          <w:color w:val="000000"/>
          <w:sz w:val="22"/>
          <w:szCs w:val="22"/>
        </w:rPr>
        <w:t>37</w:t>
      </w:r>
      <w:r w:rsidRPr="00403151">
        <w:rPr>
          <w:rFonts w:ascii="Arial" w:hAnsi="Arial" w:cs="Arial"/>
          <w:color w:val="000000"/>
          <w:sz w:val="22"/>
          <w:szCs w:val="22"/>
        </w:rPr>
        <w:t xml:space="preserve">°C in </w:t>
      </w:r>
      <w:r w:rsidR="000F2C5D">
        <w:rPr>
          <w:rFonts w:ascii="Arial" w:hAnsi="Arial" w:cs="Arial"/>
          <w:color w:val="000000"/>
          <w:sz w:val="22"/>
          <w:szCs w:val="22"/>
        </w:rPr>
        <w:t>40</w:t>
      </w:r>
      <w:r w:rsidR="004E1DE9">
        <w:rPr>
          <w:rFonts w:ascii="Arial" w:hAnsi="Arial" w:cs="Arial"/>
          <w:color w:val="000000"/>
          <w:sz w:val="22"/>
          <w:szCs w:val="22"/>
        </w:rPr>
        <w:t xml:space="preserve"> </w:t>
      </w:r>
      <w:r w:rsidR="000F2C5D">
        <w:rPr>
          <w:rFonts w:ascii="Arial" w:hAnsi="Arial" w:cs="Arial"/>
          <w:color w:val="000000"/>
          <w:sz w:val="22"/>
          <w:szCs w:val="22"/>
        </w:rPr>
        <w:t>mL of passive delipidation</w:t>
      </w:r>
      <w:r w:rsidRPr="00403151">
        <w:rPr>
          <w:rFonts w:ascii="Arial" w:hAnsi="Arial" w:cs="Arial"/>
          <w:color w:val="000000"/>
          <w:sz w:val="22"/>
          <w:szCs w:val="22"/>
        </w:rPr>
        <w:t xml:space="preserve"> buffer</w:t>
      </w:r>
      <w:r w:rsidR="000F2C5D">
        <w:rPr>
          <w:rFonts w:ascii="Arial" w:hAnsi="Arial" w:cs="Arial"/>
          <w:color w:val="000000"/>
          <w:sz w:val="22"/>
          <w:szCs w:val="22"/>
        </w:rPr>
        <w:t xml:space="preserve"> with gentle agitation in EasyClear device. </w:t>
      </w:r>
      <w:r w:rsidR="000F2C5D" w:rsidRPr="00403151">
        <w:rPr>
          <w:rFonts w:ascii="Arial" w:hAnsi="Arial" w:cs="Arial"/>
          <w:color w:val="000000"/>
          <w:sz w:val="22"/>
          <w:szCs w:val="22"/>
        </w:rPr>
        <w:t>Following delipidation, tissues were</w:t>
      </w:r>
      <w:r w:rsidR="000F2C5D">
        <w:rPr>
          <w:rFonts w:ascii="Arial" w:hAnsi="Arial" w:cs="Arial"/>
          <w:color w:val="000000"/>
          <w:sz w:val="22"/>
          <w:szCs w:val="22"/>
        </w:rPr>
        <w:t xml:space="preserve"> washed in several rounds of PBS at 37</w:t>
      </w:r>
      <w:r w:rsidR="004E1DE9">
        <w:rPr>
          <w:rFonts w:ascii="Arial" w:hAnsi="Arial" w:cs="Arial"/>
          <w:color w:val="000000"/>
          <w:sz w:val="22"/>
          <w:szCs w:val="22"/>
        </w:rPr>
        <w:t>˚</w:t>
      </w:r>
      <w:r w:rsidR="000F2C5D">
        <w:rPr>
          <w:rFonts w:ascii="Arial" w:hAnsi="Arial" w:cs="Arial"/>
          <w:color w:val="000000"/>
          <w:sz w:val="22"/>
          <w:szCs w:val="22"/>
        </w:rPr>
        <w:t xml:space="preserve">C overnight to remove any delipidation buffer. </w:t>
      </w:r>
      <w:r w:rsidR="00B95452">
        <w:rPr>
          <w:rFonts w:ascii="Arial" w:hAnsi="Arial" w:cs="Arial"/>
          <w:color w:val="000000"/>
          <w:sz w:val="22"/>
          <w:szCs w:val="22"/>
        </w:rPr>
        <w:t>Tissues were then placed into in 1</w:t>
      </w:r>
      <w:r w:rsidR="004E1DE9">
        <w:rPr>
          <w:rFonts w:ascii="Arial" w:hAnsi="Arial" w:cs="Arial"/>
          <w:color w:val="000000"/>
          <w:sz w:val="22"/>
          <w:szCs w:val="22"/>
        </w:rPr>
        <w:t xml:space="preserve"> </w:t>
      </w:r>
      <w:r w:rsidR="00B95452">
        <w:rPr>
          <w:rFonts w:ascii="Arial" w:hAnsi="Arial" w:cs="Arial"/>
          <w:color w:val="000000"/>
          <w:sz w:val="22"/>
          <w:szCs w:val="22"/>
        </w:rPr>
        <w:t>mL of staining cocktail containing f</w:t>
      </w:r>
      <w:r w:rsidR="000F2C5D">
        <w:rPr>
          <w:rFonts w:ascii="Arial" w:hAnsi="Arial" w:cs="Arial"/>
          <w:color w:val="000000"/>
          <w:sz w:val="22"/>
          <w:szCs w:val="22"/>
        </w:rPr>
        <w:t>ull IgG primary sheep anti-NCC antibodies (at 2</w:t>
      </w:r>
      <w:r w:rsidR="004E1DE9">
        <w:rPr>
          <w:rFonts w:ascii="Arial" w:hAnsi="Arial" w:cs="Arial"/>
          <w:color w:val="000000"/>
          <w:sz w:val="22"/>
          <w:szCs w:val="22"/>
        </w:rPr>
        <w:t xml:space="preserve"> </w:t>
      </w:r>
      <w:r w:rsidR="000F2C5D">
        <w:rPr>
          <w:rFonts w:ascii="Arial" w:hAnsi="Arial" w:cs="Arial"/>
          <w:color w:val="000000"/>
          <w:sz w:val="22"/>
          <w:szCs w:val="22"/>
        </w:rPr>
        <w:t>µg/mL) with donkey anti-goat AlexaFluor647-conjugated Fab fragment secondary antibodies (at 8</w:t>
      </w:r>
      <w:r w:rsidR="004E1DE9">
        <w:rPr>
          <w:rFonts w:ascii="Arial" w:hAnsi="Arial" w:cs="Arial"/>
          <w:color w:val="000000"/>
          <w:sz w:val="22"/>
          <w:szCs w:val="22"/>
        </w:rPr>
        <w:t xml:space="preserve"> </w:t>
      </w:r>
      <w:r w:rsidR="000F2C5D">
        <w:rPr>
          <w:rFonts w:ascii="Arial" w:hAnsi="Arial" w:cs="Arial"/>
          <w:color w:val="000000"/>
          <w:sz w:val="22"/>
          <w:szCs w:val="22"/>
        </w:rPr>
        <w:t xml:space="preserve">µg/mL) and FITC-conjugated </w:t>
      </w:r>
      <w:r w:rsidR="000F2C5D" w:rsidRPr="00C57253">
        <w:rPr>
          <w:rFonts w:ascii="Arial" w:hAnsi="Arial" w:cs="Arial"/>
          <w:i/>
          <w:iCs/>
          <w:color w:val="000000"/>
          <w:sz w:val="22"/>
          <w:szCs w:val="22"/>
        </w:rPr>
        <w:t xml:space="preserve">Lycopersicon </w:t>
      </w:r>
      <w:r w:rsidR="000F2C5D">
        <w:rPr>
          <w:rFonts w:ascii="Arial" w:hAnsi="Arial" w:cs="Arial"/>
          <w:i/>
          <w:iCs/>
          <w:color w:val="000000"/>
          <w:sz w:val="22"/>
          <w:szCs w:val="22"/>
        </w:rPr>
        <w:t>e</w:t>
      </w:r>
      <w:r w:rsidR="000F2C5D" w:rsidRPr="00C57253">
        <w:rPr>
          <w:rFonts w:ascii="Arial" w:hAnsi="Arial" w:cs="Arial"/>
          <w:i/>
          <w:iCs/>
          <w:color w:val="000000"/>
          <w:sz w:val="22"/>
          <w:szCs w:val="22"/>
        </w:rPr>
        <w:t>sculentum</w:t>
      </w:r>
      <w:r w:rsidR="000F2C5D" w:rsidRPr="00C57253">
        <w:rPr>
          <w:rFonts w:ascii="Arial" w:hAnsi="Arial" w:cs="Arial"/>
          <w:color w:val="000000"/>
          <w:sz w:val="22"/>
          <w:szCs w:val="22"/>
        </w:rPr>
        <w:t xml:space="preserve"> </w:t>
      </w:r>
      <w:r w:rsidR="000F2C5D">
        <w:rPr>
          <w:rFonts w:ascii="Arial" w:hAnsi="Arial" w:cs="Arial"/>
          <w:color w:val="000000"/>
          <w:sz w:val="22"/>
          <w:szCs w:val="22"/>
        </w:rPr>
        <w:t>[</w:t>
      </w:r>
      <w:r w:rsidR="000F2C5D" w:rsidRPr="00C57253">
        <w:rPr>
          <w:rFonts w:ascii="Arial" w:hAnsi="Arial" w:cs="Arial"/>
          <w:color w:val="000000"/>
          <w:sz w:val="22"/>
          <w:szCs w:val="22"/>
        </w:rPr>
        <w:t>Tomato</w:t>
      </w:r>
      <w:r w:rsidR="000F2C5D">
        <w:rPr>
          <w:rFonts w:ascii="Arial" w:hAnsi="Arial" w:cs="Arial"/>
          <w:color w:val="000000"/>
          <w:sz w:val="22"/>
          <w:szCs w:val="22"/>
        </w:rPr>
        <w:t>]</w:t>
      </w:r>
      <w:r w:rsidR="000F2C5D" w:rsidRPr="00C57253">
        <w:rPr>
          <w:rFonts w:ascii="Arial" w:hAnsi="Arial" w:cs="Arial"/>
          <w:color w:val="000000"/>
          <w:sz w:val="22"/>
          <w:szCs w:val="22"/>
        </w:rPr>
        <w:t xml:space="preserve"> Lectin</w:t>
      </w:r>
      <w:r w:rsidR="000F2C5D">
        <w:rPr>
          <w:rFonts w:ascii="Arial" w:hAnsi="Arial" w:cs="Arial"/>
          <w:color w:val="000000"/>
          <w:sz w:val="22"/>
          <w:szCs w:val="22"/>
        </w:rPr>
        <w:t xml:space="preserve"> (10</w:t>
      </w:r>
      <w:r w:rsidR="004E1DE9">
        <w:rPr>
          <w:rFonts w:ascii="Arial" w:hAnsi="Arial" w:cs="Arial"/>
          <w:color w:val="000000"/>
          <w:sz w:val="22"/>
          <w:szCs w:val="22"/>
        </w:rPr>
        <w:t xml:space="preserve"> </w:t>
      </w:r>
      <w:r w:rsidR="000F2C5D">
        <w:rPr>
          <w:rFonts w:ascii="Arial" w:hAnsi="Arial" w:cs="Arial"/>
          <w:color w:val="000000"/>
          <w:sz w:val="22"/>
          <w:szCs w:val="22"/>
        </w:rPr>
        <w:t>µg/mL).</w:t>
      </w:r>
      <w:r w:rsidR="00B95452">
        <w:rPr>
          <w:rFonts w:ascii="Arial" w:hAnsi="Arial" w:cs="Arial"/>
          <w:color w:val="000000"/>
          <w:sz w:val="22"/>
          <w:szCs w:val="22"/>
        </w:rPr>
        <w:t xml:space="preserve"> Tissues were incubated at 37</w:t>
      </w:r>
      <w:r w:rsidR="004E1DE9">
        <w:rPr>
          <w:rFonts w:ascii="Arial" w:hAnsi="Arial" w:cs="Arial"/>
          <w:color w:val="000000"/>
          <w:sz w:val="22"/>
          <w:szCs w:val="22"/>
        </w:rPr>
        <w:t>˚</w:t>
      </w:r>
      <w:r w:rsidR="00B95452">
        <w:rPr>
          <w:rFonts w:ascii="Arial" w:hAnsi="Arial" w:cs="Arial"/>
          <w:color w:val="000000"/>
          <w:sz w:val="22"/>
          <w:szCs w:val="22"/>
        </w:rPr>
        <w:t>C with gentle agitation and shield from light for 4 days. These were then removed from staining solutions and washed in several rounds of PBS to remove any excess unbound antibodies and lectins. Before imaging tissues were</w:t>
      </w:r>
      <w:r w:rsidR="000F2C5D" w:rsidRPr="00403151">
        <w:rPr>
          <w:rFonts w:ascii="Arial" w:hAnsi="Arial" w:cs="Arial"/>
          <w:color w:val="000000"/>
          <w:sz w:val="22"/>
          <w:szCs w:val="22"/>
        </w:rPr>
        <w:t xml:space="preserve"> immersed in </w:t>
      </w:r>
      <w:r w:rsidR="00B95452">
        <w:rPr>
          <w:rFonts w:ascii="Arial" w:hAnsi="Arial" w:cs="Arial"/>
          <w:color w:val="000000"/>
          <w:sz w:val="22"/>
          <w:szCs w:val="22"/>
        </w:rPr>
        <w:t>Incubated in EasyIndex RI 1.53 refractive index matching solution as per protocol</w:t>
      </w:r>
      <w:r w:rsidR="000F2C5D" w:rsidRPr="00403151">
        <w:rPr>
          <w:rFonts w:ascii="Arial" w:hAnsi="Arial" w:cs="Arial"/>
          <w:color w:val="000000"/>
          <w:sz w:val="22"/>
          <w:szCs w:val="22"/>
        </w:rPr>
        <w:t xml:space="preserve">. </w:t>
      </w:r>
      <w:r w:rsidR="00B95452">
        <w:rPr>
          <w:rFonts w:ascii="Arial" w:hAnsi="Arial" w:cs="Arial"/>
          <w:color w:val="000000"/>
          <w:sz w:val="22"/>
          <w:szCs w:val="22"/>
        </w:rPr>
        <w:t xml:space="preserve">Tissues were then embedded in 2% w/v </w:t>
      </w:r>
      <w:r w:rsidR="00B95452" w:rsidRPr="00B95452">
        <w:rPr>
          <w:rFonts w:ascii="Arial" w:hAnsi="Arial" w:cs="Arial"/>
          <w:color w:val="000000"/>
          <w:sz w:val="22"/>
          <w:szCs w:val="22"/>
        </w:rPr>
        <w:t>ultra</w:t>
      </w:r>
      <w:r w:rsidR="004E1DE9">
        <w:rPr>
          <w:rFonts w:ascii="Arial" w:hAnsi="Arial" w:cs="Arial"/>
          <w:color w:val="000000"/>
          <w:sz w:val="22"/>
          <w:szCs w:val="22"/>
        </w:rPr>
        <w:t>-</w:t>
      </w:r>
      <w:r w:rsidR="00B95452" w:rsidRPr="00B95452">
        <w:rPr>
          <w:rFonts w:ascii="Arial" w:hAnsi="Arial" w:cs="Arial"/>
          <w:color w:val="000000"/>
          <w:sz w:val="22"/>
          <w:szCs w:val="22"/>
        </w:rPr>
        <w:t>low melting point agarose (Sigma A5030)</w:t>
      </w:r>
      <w:r w:rsidR="00B95452">
        <w:rPr>
          <w:rFonts w:ascii="Arial" w:hAnsi="Arial" w:cs="Arial"/>
          <w:color w:val="000000"/>
          <w:sz w:val="22"/>
          <w:szCs w:val="22"/>
        </w:rPr>
        <w:t xml:space="preserve"> blocks made up with EasyIndex solution to immobilise the samples. These were then stored in EasyIndex in airtight containers shielded from light prior to imaging.</w:t>
      </w:r>
    </w:p>
    <w:p w14:paraId="10BA064F" w14:textId="77777777" w:rsidR="00B95452" w:rsidRDefault="00B95452" w:rsidP="000F2C5D">
      <w:pPr>
        <w:pStyle w:val="NormalWeb"/>
        <w:spacing w:before="240" w:beforeAutospacing="0" w:after="240" w:afterAutospacing="0" w:line="480" w:lineRule="auto"/>
        <w:ind w:left="-280"/>
        <w:jc w:val="both"/>
        <w:rPr>
          <w:rFonts w:ascii="Arial" w:hAnsi="Arial" w:cs="Arial"/>
          <w:color w:val="000000"/>
          <w:sz w:val="22"/>
          <w:szCs w:val="22"/>
        </w:rPr>
      </w:pPr>
    </w:p>
    <w:p w14:paraId="35EE4E6A" w14:textId="2B5481FC" w:rsidR="00B95452" w:rsidRPr="00B95452" w:rsidRDefault="00B95452" w:rsidP="000F2C5D">
      <w:pPr>
        <w:pStyle w:val="NormalWeb"/>
        <w:spacing w:before="240" w:beforeAutospacing="0" w:after="240" w:afterAutospacing="0" w:line="480" w:lineRule="auto"/>
        <w:ind w:left="-280"/>
        <w:jc w:val="both"/>
        <w:rPr>
          <w:rFonts w:ascii="Arial" w:hAnsi="Arial" w:cs="Arial"/>
          <w:color w:val="000000"/>
          <w:sz w:val="22"/>
          <w:szCs w:val="22"/>
          <w:u w:val="single"/>
        </w:rPr>
      </w:pPr>
      <w:r>
        <w:rPr>
          <w:rFonts w:ascii="Arial" w:hAnsi="Arial" w:cs="Arial"/>
          <w:color w:val="000000"/>
          <w:sz w:val="22"/>
          <w:szCs w:val="22"/>
          <w:u w:val="single"/>
        </w:rPr>
        <w:t>MesoSPIM imaging</w:t>
      </w:r>
    </w:p>
    <w:p w14:paraId="448FB132" w14:textId="6F0DA328" w:rsidR="006F5549" w:rsidRPr="00403151" w:rsidRDefault="00B95452" w:rsidP="00B03C79">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 xml:space="preserve">Samples were mounted in quartz cuvettes and immersion oil with refractive indices matching that of EasyIndex, and then suspended and aligned for light-sheet fluorescence imaging with </w:t>
      </w:r>
      <w:r w:rsidR="00B03C79">
        <w:rPr>
          <w:rFonts w:ascii="Arial" w:hAnsi="Arial" w:cs="Arial"/>
          <w:color w:val="000000"/>
          <w:sz w:val="22"/>
          <w:szCs w:val="22"/>
        </w:rPr>
        <w:t>a MesoSPIM</w:t>
      </w:r>
      <w:r w:rsidR="00630493">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{"citationID":"JiThs8bH","properties":{"formattedCitation":"\\super 69\\nosupersub{}","plainCitation":"69","noteIndex":0},"citationItems":[{"id":15923,"uris":["http://zotero.org/users/1547967/items/HVP8N9T8"],"itemData":{"id":15923,"type":"article-journal","abstract":"Light-sheet microscopy is an ideal technique for imaging large cleared samples; however, the community is still lacking instruments capable of producing volumetric images of centimeter-sized cleared samples with near-isotropic resolution within minutes. Here, we introduce the mesoscale selective plane-illumination microscopy initiative, an open-hardware project for building and operating a light-sheet microscope that addresses these challenges and is compatible with any type of cleared or expanded sample (www.mesospim.org).","container-title":"Nature Methods","DOI":"10.1038/s41592-019-0554-0","ISSN":"1548-7105","issue":"11","journalAbbreviation":"Nat Methods","language":"en","license":"2019 The Author(s), under exclusive licence to Springer Nature America, Inc.","note":"number: 11\npublisher: Nature Publishing Group","page":"1105-1108","source":"www.nature.com","title":"The mesoSPIM initiative: open-source light-sheet microscopes for imaging cleared tissue","title-short":"The mesoSPIM initiative","volume":"16","author":[{"family":"Voigt","given":"Fabian F."},{"family":"Kirschenbaum","given":"Daniel"},{"family":"Platonova","given":"Evgenia"},{"family":"Pagès","given":"Stéphane"},{"family":"Campbell","given":"Robert A. A."},{"family":"Kastli","given":"Rahel"},{"family":"Schaettin","given":"Martina"},{"family":"Egolf","given":"Ladan"},{"family":"Bourg","given":"Alexander","non-dropping-particle":"van der"},{"family":"Bethge","given":"Philipp"},{"family":"Haenraets","given":"Karen"},{"family":"Frézel","given":"Noémie"},{"family":"Topilko","given":"Thomas"},{"family":"Perin","given":"Paola"},{"family":"Hillier","given":"Daniel"},{"family":"Hildebrand","given":"Sven"},{"family":"Schueth","given":"Anna"},{"family":"Roebroeck","given":"Alard"},{"family":"Roska","given":"Botond"},{"family":"Stoeckli","given":"Esther T."},{"family":"Pizzala","given":"Roberto"},{"family":"Renier","given":"Nicolas"},{"family":"Zeilhofer","given":"Hanns Ulrich"},{"family":"Karayannis","given":"Theofanis"},{"family":"Ziegler","given":"Urs"},{"family":"Batti","given":"Laura"},{"family":"Holtmaat","given":"Anthony"},{"family":"Lüscher","given":"Christian"},{"family":"Aguzzi","given":"Adriano"},{"family":"Helmchen","given":"Fritjof"}],"issued":{"date-parts":[["2019",11]]}}}],"schema":"https://github.com/citation-style-language/schema/raw/master/csl-citation.json"} </w:instrText>
      </w:r>
      <w:r w:rsidR="00630493">
        <w:rPr>
          <w:rFonts w:ascii="Arial" w:hAnsi="Arial" w:cs="Arial"/>
          <w:color w:val="000000"/>
          <w:sz w:val="22"/>
          <w:szCs w:val="22"/>
        </w:rPr>
        <w:fldChar w:fldCharType="separate"/>
      </w:r>
      <w:r w:rsidR="00BD758C" w:rsidRPr="00BD758C">
        <w:rPr>
          <w:rFonts w:ascii="Arial" w:hAnsi="Arial" w:cs="Arial"/>
          <w:sz w:val="22"/>
          <w:vertAlign w:val="superscript"/>
        </w:rPr>
        <w:t>69</w:t>
      </w:r>
      <w:r w:rsidR="00630493">
        <w:rPr>
          <w:rFonts w:ascii="Arial" w:hAnsi="Arial" w:cs="Arial"/>
          <w:color w:val="000000"/>
          <w:sz w:val="22"/>
          <w:szCs w:val="22"/>
        </w:rPr>
        <w:fldChar w:fldCharType="end"/>
      </w:r>
      <w:r w:rsidR="00B03C79">
        <w:rPr>
          <w:rFonts w:ascii="Arial" w:hAnsi="Arial" w:cs="Arial"/>
          <w:color w:val="000000"/>
          <w:sz w:val="22"/>
          <w:szCs w:val="22"/>
        </w:rPr>
        <w:t>. Images were captured</w:t>
      </w:r>
      <w:r w:rsidR="00B03C79" w:rsidRPr="00B03C79">
        <w:rPr>
          <w:rFonts w:ascii="Arial" w:hAnsi="Arial" w:cs="Arial"/>
          <w:color w:val="000000"/>
          <w:sz w:val="22"/>
          <w:szCs w:val="22"/>
        </w:rPr>
        <w:t xml:space="preserve"> 16-bit, </w:t>
      </w:r>
      <w:r w:rsidR="00B03C79">
        <w:rPr>
          <w:rFonts w:ascii="Arial" w:hAnsi="Arial" w:cs="Arial"/>
          <w:color w:val="000000"/>
          <w:sz w:val="22"/>
          <w:szCs w:val="22"/>
        </w:rPr>
        <w:t>2</w:t>
      </w:r>
      <w:r w:rsidR="00B03C79" w:rsidRPr="00B03C79">
        <w:rPr>
          <w:rFonts w:ascii="Arial" w:hAnsi="Arial" w:cs="Arial"/>
          <w:color w:val="000000"/>
          <w:sz w:val="22"/>
          <w:szCs w:val="22"/>
        </w:rPr>
        <w:t xml:space="preserve">-channel images </w:t>
      </w:r>
      <w:r w:rsidR="00B03C79">
        <w:rPr>
          <w:rFonts w:ascii="Arial" w:hAnsi="Arial" w:cs="Arial"/>
          <w:color w:val="000000"/>
          <w:sz w:val="22"/>
          <w:szCs w:val="22"/>
        </w:rPr>
        <w:t>(488</w:t>
      </w:r>
      <w:r w:rsidR="004E1DE9">
        <w:rPr>
          <w:rFonts w:ascii="Arial" w:hAnsi="Arial" w:cs="Arial"/>
          <w:color w:val="000000"/>
          <w:sz w:val="22"/>
          <w:szCs w:val="22"/>
        </w:rPr>
        <w:t xml:space="preserve"> </w:t>
      </w:r>
      <w:r w:rsidR="00B03C79">
        <w:rPr>
          <w:rFonts w:ascii="Arial" w:hAnsi="Arial" w:cs="Arial"/>
          <w:color w:val="000000"/>
          <w:sz w:val="22"/>
          <w:szCs w:val="22"/>
        </w:rPr>
        <w:t>nm and 639</w:t>
      </w:r>
      <w:r w:rsidR="004E1DE9">
        <w:rPr>
          <w:rFonts w:ascii="Arial" w:hAnsi="Arial" w:cs="Arial"/>
          <w:color w:val="000000"/>
          <w:sz w:val="22"/>
          <w:szCs w:val="22"/>
        </w:rPr>
        <w:t xml:space="preserve"> </w:t>
      </w:r>
      <w:r w:rsidR="00B03C79">
        <w:rPr>
          <w:rFonts w:ascii="Arial" w:hAnsi="Arial" w:cs="Arial"/>
          <w:color w:val="000000"/>
          <w:sz w:val="22"/>
          <w:szCs w:val="22"/>
        </w:rPr>
        <w:t xml:space="preserve">nm excitations) at </w:t>
      </w:r>
      <w:r w:rsidR="00B03C79" w:rsidRPr="00B03C79">
        <w:rPr>
          <w:rFonts w:ascii="Arial" w:hAnsi="Arial" w:cs="Arial"/>
          <w:color w:val="000000"/>
          <w:sz w:val="22"/>
          <w:szCs w:val="22"/>
        </w:rPr>
        <w:t>2048</w:t>
      </w:r>
      <w:r w:rsidR="004E1DE9">
        <w:rPr>
          <w:rFonts w:ascii="Arial" w:hAnsi="Arial" w:cs="Arial"/>
          <w:color w:val="000000"/>
          <w:sz w:val="22"/>
          <w:szCs w:val="22"/>
        </w:rPr>
        <w:t xml:space="preserve"> </w:t>
      </w:r>
      <w:r w:rsidR="00B03C79" w:rsidRPr="00B03C79">
        <w:rPr>
          <w:rFonts w:ascii="Arial" w:hAnsi="Arial" w:cs="Arial"/>
          <w:color w:val="000000"/>
          <w:sz w:val="22"/>
          <w:szCs w:val="22"/>
        </w:rPr>
        <w:t>x</w:t>
      </w:r>
      <w:r w:rsidR="004E1DE9">
        <w:rPr>
          <w:rFonts w:ascii="Arial" w:hAnsi="Arial" w:cs="Arial"/>
          <w:color w:val="000000"/>
          <w:sz w:val="22"/>
          <w:szCs w:val="22"/>
        </w:rPr>
        <w:t xml:space="preserve"> </w:t>
      </w:r>
      <w:r w:rsidR="00B03C79" w:rsidRPr="00B03C79">
        <w:rPr>
          <w:rFonts w:ascii="Arial" w:hAnsi="Arial" w:cs="Arial"/>
          <w:color w:val="000000"/>
          <w:sz w:val="22"/>
          <w:szCs w:val="22"/>
        </w:rPr>
        <w:t>2048 pixels</w:t>
      </w:r>
      <w:r w:rsidR="00B03C79">
        <w:rPr>
          <w:rFonts w:ascii="Arial" w:hAnsi="Arial" w:cs="Arial"/>
          <w:color w:val="000000"/>
          <w:sz w:val="22"/>
          <w:szCs w:val="22"/>
        </w:rPr>
        <w:t xml:space="preserve"> in the XY</w:t>
      </w:r>
      <w:r w:rsidR="00B03C79" w:rsidRPr="00B03C79">
        <w:rPr>
          <w:rFonts w:ascii="Arial" w:hAnsi="Arial" w:cs="Arial"/>
          <w:color w:val="000000"/>
          <w:sz w:val="22"/>
          <w:szCs w:val="22"/>
        </w:rPr>
        <w:t>, with a</w:t>
      </w:r>
      <w:r w:rsidR="00B03C79">
        <w:rPr>
          <w:rFonts w:ascii="Arial" w:hAnsi="Arial" w:cs="Arial"/>
          <w:color w:val="000000"/>
          <w:sz w:val="22"/>
          <w:szCs w:val="22"/>
        </w:rPr>
        <w:t xml:space="preserve"> Z</w:t>
      </w:r>
      <w:r w:rsidR="00B03C79" w:rsidRPr="00B03C79">
        <w:rPr>
          <w:rFonts w:ascii="Arial" w:hAnsi="Arial" w:cs="Arial"/>
          <w:color w:val="000000"/>
          <w:sz w:val="22"/>
          <w:szCs w:val="22"/>
        </w:rPr>
        <w:t xml:space="preserve"> depth range of 700-1200 pixels</w:t>
      </w:r>
      <w:r w:rsidR="004E1DE9">
        <w:rPr>
          <w:rFonts w:ascii="Arial" w:hAnsi="Arial" w:cs="Arial"/>
          <w:color w:val="000000"/>
          <w:sz w:val="22"/>
          <w:szCs w:val="22"/>
        </w:rPr>
        <w:t>, g</w:t>
      </w:r>
      <w:r w:rsidR="00B03C79">
        <w:rPr>
          <w:rFonts w:ascii="Arial" w:hAnsi="Arial" w:cs="Arial"/>
          <w:color w:val="000000"/>
          <w:sz w:val="22"/>
          <w:szCs w:val="22"/>
        </w:rPr>
        <w:t>iving a pixel resolution of</w:t>
      </w:r>
      <w:r w:rsidR="00B03C79" w:rsidRPr="00B03C79">
        <w:rPr>
          <w:rFonts w:ascii="Arial" w:hAnsi="Arial" w:cs="Arial"/>
          <w:color w:val="000000"/>
          <w:sz w:val="22"/>
          <w:szCs w:val="22"/>
        </w:rPr>
        <w:t xml:space="preserve"> 4.08</w:t>
      </w:r>
      <w:r w:rsidR="004E1DE9">
        <w:rPr>
          <w:rFonts w:ascii="Arial" w:hAnsi="Arial" w:cs="Arial"/>
          <w:color w:val="000000"/>
          <w:sz w:val="22"/>
          <w:szCs w:val="22"/>
        </w:rPr>
        <w:t xml:space="preserve"> μ</w:t>
      </w:r>
      <w:r w:rsidR="00B03C79" w:rsidRPr="00B03C79">
        <w:rPr>
          <w:rFonts w:ascii="Arial" w:hAnsi="Arial" w:cs="Arial"/>
          <w:color w:val="000000"/>
          <w:sz w:val="22"/>
          <w:szCs w:val="22"/>
        </w:rPr>
        <w:t>m (XY) and 4.0</w:t>
      </w:r>
      <w:r w:rsidR="004E1DE9">
        <w:rPr>
          <w:rFonts w:ascii="Arial" w:hAnsi="Arial" w:cs="Arial"/>
          <w:color w:val="000000"/>
          <w:sz w:val="22"/>
          <w:szCs w:val="22"/>
        </w:rPr>
        <w:t xml:space="preserve"> μ</w:t>
      </w:r>
      <w:r w:rsidR="00B03C79" w:rsidRPr="00B03C79">
        <w:rPr>
          <w:rFonts w:ascii="Arial" w:hAnsi="Arial" w:cs="Arial"/>
          <w:color w:val="000000"/>
          <w:sz w:val="22"/>
          <w:szCs w:val="22"/>
        </w:rPr>
        <w:t>m (Z</w:t>
      </w:r>
      <w:r w:rsidR="00B03C79">
        <w:rPr>
          <w:rFonts w:ascii="Arial" w:hAnsi="Arial" w:cs="Arial"/>
          <w:color w:val="000000"/>
          <w:sz w:val="22"/>
          <w:szCs w:val="22"/>
        </w:rPr>
        <w:t>).</w:t>
      </w:r>
    </w:p>
    <w:p w14:paraId="49656C71" w14:textId="578D9F88" w:rsidR="006F5549" w:rsidRDefault="006F5549" w:rsidP="006F5549">
      <w:pPr>
        <w:pStyle w:val="NormalWeb"/>
        <w:spacing w:before="240" w:after="240" w:line="480" w:lineRule="auto"/>
        <w:ind w:left="-280"/>
        <w:jc w:val="both"/>
        <w:rPr>
          <w:rFonts w:ascii="Arial" w:hAnsi="Arial" w:cs="Arial"/>
          <w:color w:val="000000"/>
          <w:sz w:val="22"/>
          <w:szCs w:val="22"/>
        </w:rPr>
      </w:pPr>
    </w:p>
    <w:p w14:paraId="5C322462" w14:textId="18F9C3C0" w:rsidR="002C6F8E" w:rsidRPr="002C6F8E" w:rsidRDefault="002C6F8E" w:rsidP="006F5549">
      <w:pPr>
        <w:pStyle w:val="NormalWeb"/>
        <w:spacing w:before="240" w:after="240" w:line="480" w:lineRule="auto"/>
        <w:ind w:left="-280"/>
        <w:jc w:val="both"/>
        <w:rPr>
          <w:rFonts w:ascii="Arial" w:hAnsi="Arial" w:cs="Arial"/>
          <w:color w:val="000000"/>
          <w:sz w:val="22"/>
          <w:szCs w:val="22"/>
          <w:u w:val="single"/>
        </w:rPr>
      </w:pPr>
      <w:r w:rsidRPr="002C6F8E">
        <w:rPr>
          <w:rFonts w:ascii="Arial" w:hAnsi="Arial" w:cs="Arial"/>
          <w:color w:val="000000"/>
          <w:sz w:val="22"/>
          <w:szCs w:val="22"/>
          <w:u w:val="single"/>
        </w:rPr>
        <w:t>Image analysis</w:t>
      </w:r>
    </w:p>
    <w:p w14:paraId="0E5802BB" w14:textId="0A62D8B6" w:rsidR="006F5549" w:rsidRDefault="002C6F8E" w:rsidP="006F5549">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color w:val="000000"/>
          <w:sz w:val="22"/>
          <w:szCs w:val="22"/>
        </w:rPr>
        <w:lastRenderedPageBreak/>
        <w:t xml:space="preserve">To evaluate any qualitative changes in gross morphology images were imported into </w:t>
      </w:r>
      <w:proofErr w:type="spellStart"/>
      <w:r>
        <w:rPr>
          <w:rFonts w:ascii="Arial" w:hAnsi="Arial" w:cs="Arial"/>
          <w:color w:val="000000"/>
          <w:sz w:val="22"/>
          <w:szCs w:val="22"/>
        </w:rPr>
        <w:t>Syglass</w:t>
      </w:r>
      <w:proofErr w:type="spellEnd"/>
      <w:r>
        <w:rPr>
          <w:rFonts w:ascii="Arial" w:hAnsi="Arial" w:cs="Arial"/>
          <w:color w:val="000000"/>
          <w:sz w:val="22"/>
          <w:szCs w:val="22"/>
        </w:rPr>
        <w:t xml:space="preserve"> </w:t>
      </w:r>
      <w:r w:rsidR="00AF2E4C">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{"citationID":"xwPxYV2n","properties":{"formattedCitation":"\\super 70\\nosupersub{}","plainCitation":"70","noteIndex":0},"citationItems":[{"id":15922,"uris":["http://zotero.org/users/1547967/items/NVTT85X8"],"itemData":{"id":15922,"type":"article","abstract":"The quest for deeper understanding of biological systems has driven the acquisition of increasingly larger multidimensional image datasets. Inspecting and manipulating data of this complexity is very challenging in traditional visualization systems. We developed syGlass, a software package capable of visualizing large scale volumetric data with inexpensive virtual reality head-mounted display technology. This allows leveraging stereoscopic vision to significantly improve perception of complex 3D structures, and provides immersive interaction with data directly in 3D. We accomplished this by developing highly optimized data flow and volume rendering pipelines, tested on datasets up to 16TB in size, as well as tools available in a virtual reality GUI to support advanced data exploration, annotation, and cataloguing.","DOI":"10.48550/arXiv.1804.08197","note":"arXiv:1804.08197 [cs]","number":"arXiv:1804.08197","publisher":"arXiv","source":"arXiv.org","title":"syGlass: Interactive Exploration of Multidimensional Images Using Virtual Reality Head-mounted Displays","title-short":"syGlass","URL":"http://arxiv.org/abs/1804.08197","author":[{"family":"Pidhorskyi","given":"Stanislav"},{"family":"Morehead","given":"Michael"},{"family":"Jones","given":"Quinn"},{"family":"Spirou","given":"George"},{"family":"Doretto","given":"Gianfranco"}],"accessed":{"date-parts":[["2023",5,25]]},"issued":{"date-parts":[["2018",8,21]]}}}],"schema":"https://github.com/citation-style-language/schema/raw/master/csl-citation.json"} </w:instrText>
      </w:r>
      <w:r w:rsidR="00AF2E4C">
        <w:rPr>
          <w:rFonts w:ascii="Arial" w:hAnsi="Arial" w:cs="Arial"/>
          <w:color w:val="000000"/>
          <w:sz w:val="22"/>
          <w:szCs w:val="22"/>
        </w:rPr>
        <w:fldChar w:fldCharType="separate"/>
      </w:r>
      <w:r w:rsidR="00BD758C" w:rsidRPr="00BD758C">
        <w:rPr>
          <w:rFonts w:ascii="Arial" w:hAnsi="Arial" w:cs="Arial"/>
          <w:sz w:val="22"/>
          <w:vertAlign w:val="superscript"/>
        </w:rPr>
        <w:t>70</w:t>
      </w:r>
      <w:r w:rsidR="00AF2E4C">
        <w:rPr>
          <w:rFonts w:ascii="Arial" w:hAnsi="Arial" w:cs="Arial"/>
          <w:color w:val="000000"/>
          <w:sz w:val="22"/>
          <w:szCs w:val="22"/>
        </w:rPr>
        <w:fldChar w:fldCharType="end"/>
      </w:r>
      <w:r w:rsidR="00AF2E4C">
        <w:rPr>
          <w:rFonts w:ascii="Arial" w:hAnsi="Arial" w:cs="Arial"/>
          <w:color w:val="000000"/>
          <w:sz w:val="22"/>
          <w:szCs w:val="22"/>
        </w:rPr>
        <w:t xml:space="preserve"> </w:t>
      </w:r>
      <w:r>
        <w:rPr>
          <w:rFonts w:ascii="Arial" w:hAnsi="Arial" w:cs="Arial"/>
          <w:color w:val="000000"/>
          <w:sz w:val="22"/>
          <w:szCs w:val="22"/>
        </w:rPr>
        <w:t xml:space="preserve">(v.1.7.2-79) for visual investigation by nephrologists and histopathologists in </w:t>
      </w:r>
      <w:r w:rsidR="001D11DD">
        <w:rPr>
          <w:rFonts w:ascii="Arial" w:hAnsi="Arial" w:cs="Arial"/>
          <w:color w:val="000000"/>
          <w:sz w:val="22"/>
          <w:szCs w:val="22"/>
        </w:rPr>
        <w:t xml:space="preserve">3D virtual space. Images were also imported into </w:t>
      </w:r>
      <w:proofErr w:type="spellStart"/>
      <w:r w:rsidR="001D11DD">
        <w:rPr>
          <w:rFonts w:ascii="Arial" w:hAnsi="Arial" w:cs="Arial"/>
          <w:color w:val="000000"/>
          <w:sz w:val="22"/>
          <w:szCs w:val="22"/>
        </w:rPr>
        <w:t>Imaris</w:t>
      </w:r>
      <w:proofErr w:type="spellEnd"/>
      <w:r w:rsidR="001D11DD">
        <w:rPr>
          <w:rFonts w:ascii="Arial" w:hAnsi="Arial" w:cs="Arial"/>
          <w:color w:val="000000"/>
          <w:sz w:val="22"/>
          <w:szCs w:val="22"/>
        </w:rPr>
        <w:t xml:space="preserve"> </w:t>
      </w:r>
      <w:r w:rsidR="00AF2E4C">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{"citationID":"KnWNwd3u","properties":{"formattedCitation":"\\super 71\\nosupersub{}","plainCitation":"71","noteIndex":0},"citationItems":[{"id":15921,"uris":["http://zotero.org/users/1547967/items/8SWWL3E7"],"itemData":{"id":15921,"type":"webpage","abstract":"Need help deciding on your Imaris Software Package? View a detailed list of our packages here and take a 10 day trial.","container-title":"Oxford Instruments","language":"en","title":"Imaris Microscopy Image Analysis Software | Comparison - Imaris","URL":"https://imaris.oxinst.com/packages","accessed":{"date-parts":[["2023",5,25]]}}}],"schema":"https://github.com/citation-style-language/schema/raw/master/csl-citation.json"} </w:instrText>
      </w:r>
      <w:r w:rsidR="00AF2E4C">
        <w:rPr>
          <w:rFonts w:ascii="Arial" w:hAnsi="Arial" w:cs="Arial"/>
          <w:color w:val="000000"/>
          <w:sz w:val="22"/>
          <w:szCs w:val="22"/>
        </w:rPr>
        <w:fldChar w:fldCharType="separate"/>
      </w:r>
      <w:r w:rsidR="00BD758C" w:rsidRPr="00BD758C">
        <w:rPr>
          <w:rFonts w:ascii="Arial" w:hAnsi="Arial" w:cs="Arial"/>
          <w:sz w:val="22"/>
          <w:vertAlign w:val="superscript"/>
        </w:rPr>
        <w:t>71</w:t>
      </w:r>
      <w:r w:rsidR="00AF2E4C">
        <w:rPr>
          <w:rFonts w:ascii="Arial" w:hAnsi="Arial" w:cs="Arial"/>
          <w:color w:val="000000"/>
          <w:sz w:val="22"/>
          <w:szCs w:val="22"/>
        </w:rPr>
        <w:fldChar w:fldCharType="end"/>
      </w:r>
      <w:r w:rsidR="001D11DD">
        <w:rPr>
          <w:rFonts w:ascii="Arial" w:hAnsi="Arial" w:cs="Arial"/>
          <w:color w:val="000000"/>
          <w:sz w:val="22"/>
          <w:szCs w:val="22"/>
        </w:rPr>
        <w:t xml:space="preserve">(v10.0) for visualisation and video generation. </w:t>
      </w:r>
    </w:p>
    <w:p w14:paraId="616D7B46" w14:textId="77777777" w:rsidR="006F5549" w:rsidRDefault="006F5549" w:rsidP="006F5549">
      <w:pPr>
        <w:pStyle w:val="NormalWeb"/>
        <w:spacing w:before="240" w:beforeAutospacing="0" w:after="240" w:afterAutospacing="0" w:line="480" w:lineRule="auto"/>
        <w:ind w:left="-280"/>
        <w:jc w:val="both"/>
        <w:rPr>
          <w:rFonts w:ascii="Arial" w:hAnsi="Arial" w:cs="Arial"/>
          <w:color w:val="000000"/>
          <w:sz w:val="22"/>
          <w:szCs w:val="22"/>
        </w:rPr>
      </w:pPr>
    </w:p>
    <w:p w14:paraId="401F273D" w14:textId="77777777" w:rsidR="006F5549" w:rsidRDefault="006F5549" w:rsidP="006F5549">
      <w:pPr>
        <w:pStyle w:val="NormalWeb"/>
        <w:spacing w:before="240" w:beforeAutospacing="0" w:after="240" w:afterAutospacing="0" w:line="480" w:lineRule="auto"/>
        <w:ind w:left="-280"/>
        <w:jc w:val="both"/>
        <w:rPr>
          <w:rFonts w:ascii="Arial" w:hAnsi="Arial" w:cs="Arial"/>
          <w:b/>
          <w:bCs/>
          <w:color w:val="000000"/>
          <w:u w:val="single"/>
        </w:rPr>
      </w:pPr>
      <w:r>
        <w:rPr>
          <w:rFonts w:ascii="Arial" w:hAnsi="Arial" w:cs="Arial"/>
          <w:b/>
          <w:bCs/>
          <w:color w:val="000000"/>
          <w:u w:val="single"/>
        </w:rPr>
        <w:t xml:space="preserve">Morphometry </w:t>
      </w:r>
    </w:p>
    <w:p w14:paraId="06311DD7" w14:textId="77777777" w:rsidR="006F5549" w:rsidRDefault="006F5549" w:rsidP="006F5549">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Normalised kidney weights</w:t>
      </w:r>
    </w:p>
    <w:p w14:paraId="255269F1" w14:textId="0637A26F" w:rsidR="006F5549" w:rsidRDefault="006F5549" w:rsidP="006F5549">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 xml:space="preserve">PI and NASA GeneLab records for all animals included in the study were examined for bodyweight and kidney wet weight measurements. Only BNL-1, BNL-2, BNL-3 and RR-23 missions had complete kidney and body weight information available. </w:t>
      </w:r>
      <w:r w:rsidRPr="00A92FD3">
        <w:rPr>
          <w:rFonts w:ascii="Arial" w:hAnsi="Arial" w:cs="Arial"/>
          <w:color w:val="000000"/>
          <w:sz w:val="22"/>
          <w:szCs w:val="22"/>
        </w:rPr>
        <w:t>Where available, the weights of both left and right kidneys were averaged, and the kidney weights were normalised against bodyweight for the same animal and expressed as a percentage. All ground control and sham animals that received no exposure treatment were grouped into control</w:t>
      </w:r>
      <w:r>
        <w:rPr>
          <w:rFonts w:ascii="Arial" w:hAnsi="Arial" w:cs="Arial"/>
          <w:color w:val="000000"/>
          <w:sz w:val="22"/>
          <w:szCs w:val="22"/>
        </w:rPr>
        <w:t xml:space="preserve"> for pairwise comparisons against GCR (a</w:t>
      </w:r>
      <w:r w:rsidRPr="00A92FD3">
        <w:rPr>
          <w:rFonts w:ascii="Arial" w:hAnsi="Arial" w:cs="Arial"/>
          <w:color w:val="000000"/>
          <w:sz w:val="22"/>
          <w:szCs w:val="22"/>
        </w:rPr>
        <w:t>nimals that only received either full or simplified galactic cosmic radiation simulations</w:t>
      </w:r>
      <w:r>
        <w:rPr>
          <w:rFonts w:ascii="Arial" w:hAnsi="Arial" w:cs="Arial"/>
          <w:color w:val="000000"/>
          <w:sz w:val="22"/>
          <w:szCs w:val="22"/>
        </w:rPr>
        <w:t>) or</w:t>
      </w:r>
      <w:r w:rsidRPr="00A92FD3">
        <w:rPr>
          <w:rFonts w:ascii="Arial" w:hAnsi="Arial" w:cs="Arial"/>
          <w:color w:val="000000"/>
          <w:sz w:val="22"/>
          <w:szCs w:val="22"/>
        </w:rPr>
        <w:t xml:space="preserve"> MG</w:t>
      </w:r>
      <w:r>
        <w:rPr>
          <w:rFonts w:ascii="Arial" w:hAnsi="Arial" w:cs="Arial"/>
          <w:color w:val="000000"/>
          <w:sz w:val="22"/>
          <w:szCs w:val="22"/>
        </w:rPr>
        <w:t xml:space="preserve"> (a</w:t>
      </w:r>
      <w:r w:rsidRPr="00A92FD3">
        <w:rPr>
          <w:rFonts w:ascii="Arial" w:hAnsi="Arial" w:cs="Arial"/>
          <w:color w:val="000000"/>
          <w:sz w:val="22"/>
          <w:szCs w:val="22"/>
        </w:rPr>
        <w:t>nimals that only underwent hindlimb unloading microgravity simulation</w:t>
      </w:r>
      <w:r>
        <w:rPr>
          <w:rFonts w:ascii="Arial" w:hAnsi="Arial" w:cs="Arial"/>
          <w:color w:val="000000"/>
          <w:sz w:val="22"/>
          <w:szCs w:val="22"/>
        </w:rPr>
        <w:t xml:space="preserve">) or </w:t>
      </w:r>
      <w:r w:rsidRPr="00A92FD3">
        <w:rPr>
          <w:rFonts w:ascii="Arial" w:hAnsi="Arial" w:cs="Arial"/>
          <w:color w:val="000000"/>
          <w:sz w:val="22"/>
          <w:szCs w:val="22"/>
        </w:rPr>
        <w:t>GCR + MG</w:t>
      </w:r>
      <w:r>
        <w:rPr>
          <w:rFonts w:ascii="Arial" w:hAnsi="Arial" w:cs="Arial"/>
          <w:color w:val="000000"/>
          <w:sz w:val="22"/>
          <w:szCs w:val="22"/>
        </w:rPr>
        <w:t xml:space="preserve"> (a</w:t>
      </w:r>
      <w:r w:rsidRPr="00A92FD3">
        <w:rPr>
          <w:rFonts w:ascii="Arial" w:hAnsi="Arial" w:cs="Arial"/>
          <w:color w:val="000000"/>
          <w:sz w:val="22"/>
          <w:szCs w:val="22"/>
        </w:rPr>
        <w:t xml:space="preserve">nimals that underwent a combination of GCR and MG or were exposed to </w:t>
      </w:r>
      <w:r>
        <w:rPr>
          <w:rFonts w:ascii="Arial" w:hAnsi="Arial" w:cs="Arial"/>
          <w:color w:val="000000"/>
          <w:sz w:val="22"/>
          <w:szCs w:val="22"/>
        </w:rPr>
        <w:t>spaceflight)</w:t>
      </w:r>
      <w:r w:rsidRPr="00A92FD3">
        <w:rPr>
          <w:rFonts w:ascii="Arial" w:hAnsi="Arial" w:cs="Arial"/>
          <w:color w:val="000000"/>
          <w:sz w:val="22"/>
          <w:szCs w:val="22"/>
        </w:rPr>
        <w:t xml:space="preserve">. </w:t>
      </w:r>
    </w:p>
    <w:p w14:paraId="65B71C2A" w14:textId="77777777" w:rsidR="006F5549" w:rsidRDefault="006F5549" w:rsidP="006F5549">
      <w:pPr>
        <w:pStyle w:val="NormalWeb"/>
        <w:spacing w:before="240" w:after="240" w:line="480" w:lineRule="auto"/>
        <w:ind w:left="-280"/>
        <w:jc w:val="both"/>
        <w:rPr>
          <w:rFonts w:ascii="Arial" w:hAnsi="Arial" w:cs="Arial"/>
          <w:color w:val="000000"/>
          <w:sz w:val="22"/>
          <w:szCs w:val="22"/>
        </w:rPr>
      </w:pPr>
    </w:p>
    <w:p w14:paraId="3CC05A63" w14:textId="77777777" w:rsidR="006F5549" w:rsidRDefault="006F5549" w:rsidP="006F5549">
      <w:pPr>
        <w:pStyle w:val="NormalWeb"/>
        <w:spacing w:before="240" w:beforeAutospacing="0" w:after="240" w:afterAutospacing="0" w:line="480" w:lineRule="auto"/>
        <w:ind w:left="-280"/>
        <w:jc w:val="both"/>
        <w:rPr>
          <w:rFonts w:ascii="Arial" w:hAnsi="Arial" w:cs="Arial"/>
          <w:b/>
          <w:bCs/>
          <w:i/>
          <w:iCs/>
          <w:color w:val="000000"/>
          <w:sz w:val="22"/>
          <w:szCs w:val="22"/>
        </w:rPr>
      </w:pPr>
      <w:r>
        <w:rPr>
          <w:rFonts w:ascii="Arial" w:hAnsi="Arial" w:cs="Arial"/>
          <w:b/>
          <w:bCs/>
          <w:i/>
          <w:iCs/>
          <w:color w:val="000000"/>
          <w:sz w:val="22"/>
          <w:szCs w:val="22"/>
        </w:rPr>
        <w:t xml:space="preserve">Histomorphometry </w:t>
      </w:r>
    </w:p>
    <w:p w14:paraId="3A586DB8" w14:textId="21BB3A8B" w:rsidR="006F5549" w:rsidRDefault="006F5549" w:rsidP="006F5549">
      <w:pPr>
        <w:pStyle w:val="NormalWeb"/>
        <w:spacing w:before="240" w:after="240" w:line="480" w:lineRule="auto"/>
        <w:ind w:left="-280"/>
        <w:jc w:val="both"/>
        <w:rPr>
          <w:rFonts w:ascii="Arial" w:hAnsi="Arial" w:cs="Arial"/>
          <w:color w:val="000000"/>
          <w:sz w:val="22"/>
          <w:szCs w:val="22"/>
        </w:rPr>
      </w:pPr>
      <w:r>
        <w:rPr>
          <w:rFonts w:ascii="Arial" w:hAnsi="Arial" w:cs="Arial"/>
          <w:color w:val="000000"/>
          <w:sz w:val="22"/>
          <w:szCs w:val="22"/>
        </w:rPr>
        <w:t>Whole slide images of tiled immunofluorescent confocal images taken from RR-10 were used for analysis. Using QuPath (v0.4.3) the cortex was manually annotated with the aid of a</w:t>
      </w:r>
      <w:r w:rsidRPr="001D5138">
        <w:t xml:space="preserve"> </w:t>
      </w:r>
      <w:r>
        <w:rPr>
          <w:rFonts w:ascii="Arial" w:hAnsi="Arial" w:cs="Arial"/>
          <w:color w:val="000000"/>
          <w:sz w:val="22"/>
          <w:szCs w:val="22"/>
        </w:rPr>
        <w:t>W</w:t>
      </w:r>
      <w:r w:rsidRPr="001D5138">
        <w:rPr>
          <w:rFonts w:ascii="Arial" w:hAnsi="Arial" w:cs="Arial"/>
          <w:color w:val="000000"/>
          <w:sz w:val="22"/>
          <w:szCs w:val="22"/>
        </w:rPr>
        <w:t>acom cintiq pro 32</w:t>
      </w:r>
      <w:r>
        <w:rPr>
          <w:rFonts w:ascii="Arial" w:hAnsi="Arial" w:cs="Arial"/>
          <w:color w:val="000000"/>
          <w:sz w:val="22"/>
          <w:szCs w:val="22"/>
        </w:rPr>
        <w:t xml:space="preserve"> to create a segmentation mask of the anatomical region for area calculation. Similarly distal convoluted tubules (DCT) labelled with antibodies against NCC, the canonical DCT marker, were annotated. However, only a handful of tubules were used annotated from each slide, and these were then used to train </w:t>
      </w:r>
      <w:proofErr w:type="spellStart"/>
      <w:r>
        <w:rPr>
          <w:rFonts w:ascii="Arial" w:hAnsi="Arial" w:cs="Arial"/>
          <w:color w:val="000000"/>
          <w:sz w:val="22"/>
          <w:szCs w:val="22"/>
        </w:rPr>
        <w:t>Ilastik</w:t>
      </w:r>
      <w:proofErr w:type="spellEnd"/>
      <w:r>
        <w:rPr>
          <w:rFonts w:ascii="Arial" w:hAnsi="Arial" w:cs="Arial"/>
          <w:color w:val="000000"/>
          <w:sz w:val="22"/>
          <w:szCs w:val="22"/>
        </w:rPr>
        <w:t xml:space="preserve"> (v1.4.0)</w:t>
      </w:r>
      <w:r w:rsidR="00AF2E4C">
        <w:rPr>
          <w:rFonts w:ascii="Arial" w:hAnsi="Arial" w:cs="Arial"/>
          <w:color w:val="000000"/>
          <w:sz w:val="22"/>
          <w:szCs w:val="22"/>
        </w:rPr>
        <w:fldChar w:fldCharType="begin"/>
      </w:r>
      <w:r w:rsidR="00BD758C">
        <w:rPr>
          <w:rFonts w:ascii="Arial" w:hAnsi="Arial" w:cs="Arial"/>
          <w:color w:val="000000"/>
          <w:sz w:val="22"/>
          <w:szCs w:val="22"/>
        </w:rPr>
        <w:instrText xml:space="preserve"> ADDIN ZOTERO_ITEM CSL_CITATION {"citationID":"KpyOMdFw","properties":{"formattedCitation":"\\super 67\\nosupersub{}","plainCitation":"67","noteIndex":0},"citationItems":[{"id":15925,"uris":["http://zotero.org/users/1547967/items/IIXD3UQE"],"itemData":{"id":15925,"type":"article-journal","abstract":"We present ilastik, an easy-to-use interactive tool that brings machine-learning-based (bio)image analysis to end users without substantial computational expertise. It contains pre-defined workflows for image segmentation, object classification, counting and tracking. Users adapt the workflows to the problem at hand by interactively providing sparse training annotations for a nonlinear classifier. ilastik can process data in up to five dimensions (3D, time and number of channels). Its computational back end runs operations on-demand wherever possible, allowing for interactive prediction on data larger than RAM. Once the classifiers are trained, ilastik workflows can be applied to new data from the command line without further user interaction. We describe all ilastik workflows in detail, including three case studies and a discussion on the expected performance.","container-title":"Nature Methods","DOI":"10.1038/s41592-019-0582-9","ISSN":"1548-7105","issue":"12","journalAbbreviation":"Nat Methods","language":"en","license":"2019 The Author(s), under exclusive licence to Springer Nature America, Inc.","note":"number: 12\npublisher: Nature Publishing Group","page":"1226-1232","source":"www.nature.com","title":"ilastik: interactive machine learning for (bio)image analysis","title-short":"ilastik","volume":"16","author":[{"family":"Berg","given":"Stuart"},{"family":"Kutra","given":"Dominik"},{"family":"Kroeger","given":"Thorben"},{"family":"Straehle","given":"Christoph N."},{"family":"Kausler","given":"Bernhard X."},{"family":"Haubold","given":"Carsten"},{"family":"Schiegg","given":"Martin"},{"family":"Ales","given":"Janez"},{"family":"Beier","given":"Thorsten"},{"family":"Rudy","given":"Markus"},{"family":"Eren","given":"Kemal"},{"family":"Cervantes","given":"Jaime I."},{"family":"Xu","given":"Buote"},{"family":"Beuttenmueller","given":"Fynn"},{"family":"Wolny","given":"Adrian"},{"family":"Zhang","given":"Chong"},{"family":"Koethe","given":"Ullrich"},{"family":"Hamprecht","given":"Fred A."},{"family":"Kreshuk","given":"Anna"}],"issued":{"date-parts":[["2019",12]]}}}],"schema":"https://github.com/citation-style-language/schema/raw/master/csl-citation.json"} </w:instrText>
      </w:r>
      <w:r w:rsidR="00AF2E4C">
        <w:rPr>
          <w:rFonts w:ascii="Arial" w:hAnsi="Arial" w:cs="Arial"/>
          <w:color w:val="000000"/>
          <w:sz w:val="22"/>
          <w:szCs w:val="22"/>
        </w:rPr>
        <w:fldChar w:fldCharType="separate"/>
      </w:r>
      <w:r w:rsidR="00BD758C" w:rsidRPr="00BD758C">
        <w:rPr>
          <w:rFonts w:ascii="Arial" w:hAnsi="Arial" w:cs="Arial"/>
          <w:sz w:val="22"/>
          <w:vertAlign w:val="superscript"/>
        </w:rPr>
        <w:t>67</w:t>
      </w:r>
      <w:r w:rsidR="00AF2E4C">
        <w:rPr>
          <w:rFonts w:ascii="Arial" w:hAnsi="Arial" w:cs="Arial"/>
          <w:color w:val="000000"/>
          <w:sz w:val="22"/>
          <w:szCs w:val="22"/>
        </w:rPr>
        <w:fldChar w:fldCharType="end"/>
      </w:r>
      <w:r>
        <w:rPr>
          <w:rFonts w:ascii="Arial" w:hAnsi="Arial" w:cs="Arial"/>
          <w:color w:val="000000"/>
          <w:sz w:val="22"/>
          <w:szCs w:val="22"/>
        </w:rPr>
        <w:t xml:space="preserve"> </w:t>
      </w:r>
      <w:r w:rsidRPr="007944A3">
        <w:rPr>
          <w:rFonts w:ascii="Arial" w:hAnsi="Arial" w:cs="Arial"/>
          <w:color w:val="000000"/>
          <w:sz w:val="22"/>
          <w:szCs w:val="22"/>
        </w:rPr>
        <w:t xml:space="preserve">automated (supervised) pixel-level </w:t>
      </w:r>
      <w:r w:rsidRPr="007944A3">
        <w:rPr>
          <w:rFonts w:ascii="Arial" w:hAnsi="Arial" w:cs="Arial"/>
          <w:color w:val="000000"/>
          <w:sz w:val="22"/>
          <w:szCs w:val="22"/>
        </w:rPr>
        <w:lastRenderedPageBreak/>
        <w:t>classification</w:t>
      </w:r>
      <w:r>
        <w:rPr>
          <w:rFonts w:ascii="Arial" w:hAnsi="Arial" w:cs="Arial"/>
          <w:color w:val="000000"/>
          <w:sz w:val="22"/>
          <w:szCs w:val="22"/>
        </w:rPr>
        <w:t xml:space="preserve"> of DCTs. These were then further manually refined to remove/include any fals</w:t>
      </w:r>
      <w:r w:rsidR="00AF2E4C">
        <w:rPr>
          <w:rFonts w:ascii="Arial" w:hAnsi="Arial" w:cs="Arial"/>
          <w:color w:val="000000"/>
          <w:sz w:val="22"/>
          <w:szCs w:val="22"/>
        </w:rPr>
        <w:t>e</w:t>
      </w:r>
      <w:r>
        <w:rPr>
          <w:rFonts w:ascii="Arial" w:hAnsi="Arial" w:cs="Arial"/>
          <w:color w:val="000000"/>
          <w:sz w:val="22"/>
          <w:szCs w:val="22"/>
        </w:rPr>
        <w:t>-positive/negatives. A custom in-house python script was then used to compute the total area of positive DCT, number of discrete DCTs and the area of each of these as well as the cortex area, such that average tubule area and DCT density per area of cortex could be determined for each kidney section.</w:t>
      </w:r>
    </w:p>
    <w:p w14:paraId="06E9A59F" w14:textId="77777777" w:rsidR="006F5549" w:rsidRDefault="006F5549" w:rsidP="00C46E60">
      <w:pPr>
        <w:pStyle w:val="NormalWeb"/>
        <w:spacing w:before="240" w:beforeAutospacing="0" w:after="240" w:afterAutospacing="0" w:line="480" w:lineRule="auto"/>
        <w:ind w:left="-280"/>
        <w:jc w:val="both"/>
        <w:rPr>
          <w:rFonts w:ascii="Arial" w:hAnsi="Arial" w:cs="Arial"/>
          <w:color w:val="000000"/>
          <w:sz w:val="22"/>
          <w:szCs w:val="22"/>
        </w:rPr>
      </w:pPr>
    </w:p>
    <w:p w14:paraId="65E6FBEF" w14:textId="77777777" w:rsidR="00AE3E02" w:rsidRDefault="00AE3E02" w:rsidP="00C46E60">
      <w:pPr>
        <w:pStyle w:val="NormalWeb"/>
        <w:spacing w:before="240" w:after="240" w:line="480" w:lineRule="auto"/>
        <w:ind w:left="-280"/>
        <w:jc w:val="both"/>
        <w:rPr>
          <w:rFonts w:ascii="Arial" w:hAnsi="Arial" w:cs="Arial"/>
          <w:b/>
          <w:bCs/>
          <w:color w:val="FF0000"/>
          <w:sz w:val="22"/>
          <w:szCs w:val="22"/>
        </w:rPr>
      </w:pPr>
    </w:p>
    <w:p w14:paraId="429F7695" w14:textId="059F4886" w:rsidR="00BC3400" w:rsidRDefault="00BC3400" w:rsidP="00A04AE9">
      <w:pPr>
        <w:pStyle w:val="NormalWeb"/>
        <w:spacing w:before="240" w:beforeAutospacing="0" w:after="240" w:afterAutospacing="0" w:line="480" w:lineRule="auto"/>
        <w:ind w:left="-280"/>
        <w:jc w:val="both"/>
        <w:rPr>
          <w:rFonts w:ascii="Arial" w:hAnsi="Arial" w:cs="Arial"/>
          <w:b/>
          <w:bCs/>
          <w:color w:val="000000"/>
          <w:sz w:val="22"/>
          <w:szCs w:val="22"/>
          <w:u w:val="single"/>
        </w:rPr>
      </w:pPr>
      <w:r w:rsidRPr="002E73F2">
        <w:rPr>
          <w:rFonts w:ascii="Arial" w:hAnsi="Arial" w:cs="Arial"/>
          <w:b/>
          <w:bCs/>
          <w:color w:val="000000"/>
          <w:sz w:val="22"/>
          <w:szCs w:val="22"/>
          <w:u w:val="single"/>
        </w:rPr>
        <w:t>REFERENCES</w:t>
      </w:r>
    </w:p>
    <w:p w14:paraId="399EC943" w14:textId="77777777" w:rsidR="00BD758C" w:rsidRDefault="008F07BA" w:rsidP="00BD758C">
      <w:pPr>
        <w:pStyle w:val="Bibliography"/>
      </w:pPr>
      <w:r>
        <w:rPr>
          <w:rFonts w:ascii="Arial" w:hAnsi="Arial" w:cs="Arial"/>
          <w:b/>
          <w:bCs/>
          <w:color w:val="000000"/>
          <w:u w:val="single"/>
        </w:rPr>
        <w:fldChar w:fldCharType="begin"/>
      </w:r>
      <w:r w:rsidR="00782B84">
        <w:rPr>
          <w:rFonts w:ascii="Arial" w:hAnsi="Arial" w:cs="Arial"/>
          <w:b/>
          <w:bCs/>
          <w:color w:val="000000"/>
          <w:u w:val="single"/>
        </w:rPr>
        <w:instrText xml:space="preserve"> ADDIN ZOTERO_BIBL {"uncited":[],"omitted":[],"custom":[]} CSL_BIBLIOGRAPHY </w:instrText>
      </w:r>
      <w:r>
        <w:rPr>
          <w:rFonts w:ascii="Arial" w:hAnsi="Arial" w:cs="Arial"/>
          <w:b/>
          <w:bCs/>
          <w:color w:val="000000"/>
          <w:u w:val="single"/>
        </w:rPr>
        <w:fldChar w:fldCharType="separate"/>
      </w:r>
      <w:r w:rsidR="00BD758C">
        <w:t>1.</w:t>
      </w:r>
      <w:r w:rsidR="00BD758C">
        <w:tab/>
        <w:t>NASA OSDR: Open Science for Life in Space. https://osdr.nasa.gov/bio/repo/data/studies/OSD-102.</w:t>
      </w:r>
    </w:p>
    <w:p w14:paraId="1B9BF0F9" w14:textId="77777777" w:rsidR="00BD758C" w:rsidRDefault="00BD758C" w:rsidP="00BD758C">
      <w:pPr>
        <w:pStyle w:val="Bibliography"/>
      </w:pPr>
      <w:r>
        <w:t>2.</w:t>
      </w:r>
      <w:r>
        <w:tab/>
        <w:t xml:space="preserve">Silveira, W. A. da </w:t>
      </w:r>
      <w:r>
        <w:rPr>
          <w:i/>
          <w:iCs/>
        </w:rPr>
        <w:t>et al.</w:t>
      </w:r>
      <w:r>
        <w:t xml:space="preserve"> Comprehensive Multi-omics Analysis Reveals Mitochondrial Stress as a Central Biological Hub for Spaceflight Impact. </w:t>
      </w:r>
      <w:r>
        <w:rPr>
          <w:i/>
          <w:iCs/>
        </w:rPr>
        <w:t>Cell</w:t>
      </w:r>
      <w:r>
        <w:t xml:space="preserve"> </w:t>
      </w:r>
      <w:r>
        <w:rPr>
          <w:b/>
          <w:bCs/>
        </w:rPr>
        <w:t>183</w:t>
      </w:r>
      <w:r>
        <w:t>, 1185-1201.e20 (2020).</w:t>
      </w:r>
    </w:p>
    <w:p w14:paraId="48784DEF" w14:textId="77777777" w:rsidR="00BD758C" w:rsidRDefault="00BD758C" w:rsidP="00BD758C">
      <w:pPr>
        <w:pStyle w:val="Bibliography"/>
      </w:pPr>
      <w:r>
        <w:t>3.</w:t>
      </w:r>
      <w:r>
        <w:tab/>
        <w:t>NASA OSDR: Open Science for Life in Space. https://osdr.nasa.gov/bio/repo/data/studies/OSD-163.</w:t>
      </w:r>
    </w:p>
    <w:p w14:paraId="4A529C9F" w14:textId="77777777" w:rsidR="00BD758C" w:rsidRDefault="00BD758C" w:rsidP="00BD758C">
      <w:pPr>
        <w:pStyle w:val="Bibliography"/>
      </w:pPr>
      <w:r>
        <w:t>4.</w:t>
      </w:r>
      <w:r>
        <w:tab/>
        <w:t>NASA OSDR: Open Science for Life in Space. https://osdr.nasa.gov/bio/repo/data/studies/OSD-253.</w:t>
      </w:r>
    </w:p>
    <w:p w14:paraId="5E4F4E96" w14:textId="77777777" w:rsidR="00BD758C" w:rsidRDefault="00BD758C" w:rsidP="00BD758C">
      <w:pPr>
        <w:pStyle w:val="Bibliography"/>
      </w:pPr>
      <w:r>
        <w:t>5.</w:t>
      </w:r>
      <w:r>
        <w:tab/>
        <w:t>NASA OSDR: Open Science for Life in Space. https://osdr.nasa.gov/bio/repo/data/studies/OSD-462.</w:t>
      </w:r>
    </w:p>
    <w:p w14:paraId="2386ADA1" w14:textId="77777777" w:rsidR="00BD758C" w:rsidRDefault="00BD758C" w:rsidP="00BD758C">
      <w:pPr>
        <w:pStyle w:val="Bibliography"/>
      </w:pPr>
      <w:r>
        <w:t>6.</w:t>
      </w:r>
      <w:r>
        <w:tab/>
        <w:t>NASA OSDR: Open Science for Life in Space. https://osdr.nasa.gov/bio/repo/data/studies/OSD-513.</w:t>
      </w:r>
    </w:p>
    <w:p w14:paraId="00BFCADD" w14:textId="77777777" w:rsidR="00BD758C" w:rsidRDefault="00BD758C" w:rsidP="00BD758C">
      <w:pPr>
        <w:pStyle w:val="Bibliography"/>
      </w:pPr>
      <w:r>
        <w:t>7.</w:t>
      </w:r>
      <w:r>
        <w:tab/>
        <w:t xml:space="preserve">Suzuki, T. </w:t>
      </w:r>
      <w:r>
        <w:rPr>
          <w:i/>
          <w:iCs/>
        </w:rPr>
        <w:t>et al.</w:t>
      </w:r>
      <w:r>
        <w:t xml:space="preserve"> Nrf2 contributes to the weight gain of mice during space travel. </w:t>
      </w:r>
      <w:r>
        <w:rPr>
          <w:i/>
          <w:iCs/>
        </w:rPr>
        <w:t>Commun. Biol.</w:t>
      </w:r>
      <w:r>
        <w:t xml:space="preserve"> </w:t>
      </w:r>
      <w:r>
        <w:rPr>
          <w:b/>
          <w:bCs/>
        </w:rPr>
        <w:t>3</w:t>
      </w:r>
      <w:r>
        <w:t>, 1–14 (2020).</w:t>
      </w:r>
    </w:p>
    <w:p w14:paraId="58D63DCD" w14:textId="77777777" w:rsidR="00BD758C" w:rsidRDefault="00BD758C" w:rsidP="00BD758C">
      <w:pPr>
        <w:pStyle w:val="Bibliography"/>
      </w:pPr>
      <w:r>
        <w:t>8.</w:t>
      </w:r>
      <w:r>
        <w:tab/>
        <w:t>NASA OSDR: Open Science for Life in Space. https://osdr.nasa.gov/bio/repo/data/studies/OSD-457.</w:t>
      </w:r>
    </w:p>
    <w:p w14:paraId="2E0DC02F" w14:textId="77777777" w:rsidR="00BD758C" w:rsidRDefault="00BD758C" w:rsidP="00BD758C">
      <w:pPr>
        <w:pStyle w:val="Bibliography"/>
      </w:pPr>
      <w:r>
        <w:lastRenderedPageBreak/>
        <w:t>9.</w:t>
      </w:r>
      <w:r>
        <w:tab/>
        <w:t xml:space="preserve">Suzuki, N. </w:t>
      </w:r>
      <w:r>
        <w:rPr>
          <w:i/>
          <w:iCs/>
        </w:rPr>
        <w:t>et al.</w:t>
      </w:r>
      <w:r>
        <w:t xml:space="preserve"> Gene expression changes related to bone mineralization, blood pressure and lipid metabolism in mouse kidneys after space travel. </w:t>
      </w:r>
      <w:r>
        <w:rPr>
          <w:i/>
          <w:iCs/>
        </w:rPr>
        <w:t>Kidney Int.</w:t>
      </w:r>
      <w:r>
        <w:t xml:space="preserve"> </w:t>
      </w:r>
      <w:r>
        <w:rPr>
          <w:b/>
          <w:bCs/>
        </w:rPr>
        <w:t>101</w:t>
      </w:r>
      <w:r>
        <w:t>, 92–105 (2022).</w:t>
      </w:r>
    </w:p>
    <w:p w14:paraId="6092A0CA" w14:textId="77777777" w:rsidR="00BD758C" w:rsidRDefault="00BD758C" w:rsidP="00BD758C">
      <w:pPr>
        <w:pStyle w:val="Bibliography"/>
      </w:pPr>
      <w:r>
        <w:t>10.</w:t>
      </w:r>
      <w:r>
        <w:tab/>
        <w:t>GEO Accession viewer. https://www.ncbi.nlm.nih.gov/geo/query/acc.cgi?acc=GSE152382.</w:t>
      </w:r>
    </w:p>
    <w:p w14:paraId="742F5DCA" w14:textId="77777777" w:rsidR="00BD758C" w:rsidRDefault="00BD758C" w:rsidP="00BD758C">
      <w:pPr>
        <w:pStyle w:val="Bibliography"/>
      </w:pPr>
      <w:r>
        <w:t>11.</w:t>
      </w:r>
      <w:r>
        <w:tab/>
        <w:t xml:space="preserve">Shiba, D. </w:t>
      </w:r>
      <w:r>
        <w:rPr>
          <w:i/>
          <w:iCs/>
        </w:rPr>
        <w:t>et al.</w:t>
      </w:r>
      <w:r>
        <w:t xml:space="preserve"> Development of new experimental platform ‘MARS’—Multiple Artificial-gravity Research System—to elucidate the impacts of micro/partial gravity on mice. </w:t>
      </w:r>
      <w:r>
        <w:rPr>
          <w:i/>
          <w:iCs/>
        </w:rPr>
        <w:t>Sci. Rep.</w:t>
      </w:r>
      <w:r>
        <w:t xml:space="preserve"> </w:t>
      </w:r>
      <w:r>
        <w:rPr>
          <w:b/>
          <w:bCs/>
        </w:rPr>
        <w:t>7</w:t>
      </w:r>
      <w:r>
        <w:t>, 10837 (2017).</w:t>
      </w:r>
    </w:p>
    <w:p w14:paraId="582E0A9D" w14:textId="77777777" w:rsidR="00BD758C" w:rsidRDefault="00BD758C" w:rsidP="00BD758C">
      <w:pPr>
        <w:pStyle w:val="Bibliography"/>
      </w:pPr>
      <w:r>
        <w:t>12.</w:t>
      </w:r>
      <w:r>
        <w:tab/>
        <w:t>NASA OSDR: Open Science for Life in Space. https://osdr.nasa.gov/bio/repo/data/studies/OSD-532.</w:t>
      </w:r>
    </w:p>
    <w:p w14:paraId="795A092A" w14:textId="77777777" w:rsidR="00BD758C" w:rsidRDefault="00BD758C" w:rsidP="00BD758C">
      <w:pPr>
        <w:pStyle w:val="Bibliography"/>
      </w:pPr>
      <w:r>
        <w:t>13.</w:t>
      </w:r>
      <w:r>
        <w:tab/>
        <w:t>Masafumi, M. GEO Accession viewer. https://www.ncbi.nlm.nih.gov/geo/query/acc.cgi?acc=GSE213808.</w:t>
      </w:r>
    </w:p>
    <w:p w14:paraId="0E1E9230" w14:textId="77777777" w:rsidR="00BD758C" w:rsidRDefault="00BD758C" w:rsidP="00BD758C">
      <w:pPr>
        <w:pStyle w:val="Bibliography"/>
      </w:pPr>
      <w:r>
        <w:t>14.</w:t>
      </w:r>
      <w:r>
        <w:tab/>
        <w:t>NASA OSDR: Open Science for Life in Space. https://osdr.nasa.gov/bio/repo/data/studies/OSD-530.</w:t>
      </w:r>
    </w:p>
    <w:p w14:paraId="45DAEDB7" w14:textId="77777777" w:rsidR="00BD758C" w:rsidRDefault="00BD758C" w:rsidP="00BD758C">
      <w:pPr>
        <w:pStyle w:val="Bibliography"/>
      </w:pPr>
      <w:r>
        <w:t>15.</w:t>
      </w:r>
      <w:r>
        <w:tab/>
        <w:t>Masafumi, M. CD36-associated extracellular mitochondria as a hallmark of space response.</w:t>
      </w:r>
    </w:p>
    <w:p w14:paraId="7ADE5ABF" w14:textId="77777777" w:rsidR="00BD758C" w:rsidRDefault="00BD758C" w:rsidP="00BD758C">
      <w:pPr>
        <w:pStyle w:val="Bibliography"/>
      </w:pPr>
      <w:r>
        <w:t>16.</w:t>
      </w:r>
      <w:r>
        <w:tab/>
        <w:t xml:space="preserve">Love, M. I., Huber, W. &amp; Anders, S. Moderated estimation of fold change and dispersion for RNA-seq data with DESeq2. </w:t>
      </w:r>
      <w:r>
        <w:rPr>
          <w:i/>
          <w:iCs/>
        </w:rPr>
        <w:t>Genome Biol.</w:t>
      </w:r>
      <w:r>
        <w:t xml:space="preserve"> </w:t>
      </w:r>
      <w:r>
        <w:rPr>
          <w:b/>
          <w:bCs/>
        </w:rPr>
        <w:t>15</w:t>
      </w:r>
      <w:r>
        <w:t>, 550 (2014).</w:t>
      </w:r>
    </w:p>
    <w:p w14:paraId="3F4C465A" w14:textId="77777777" w:rsidR="00BD758C" w:rsidRDefault="00BD758C" w:rsidP="00BD758C">
      <w:pPr>
        <w:pStyle w:val="Bibliography"/>
      </w:pPr>
      <w:r>
        <w:t>17.</w:t>
      </w:r>
      <w:r>
        <w:tab/>
        <w:t xml:space="preserve">Durinck, S., Spellman, P. T., Birney, E. &amp; Huber, W. Mapping identifiers for the integration of genomic datasets with the R/Bioconductor package biomaRt. </w:t>
      </w:r>
      <w:r>
        <w:rPr>
          <w:i/>
          <w:iCs/>
        </w:rPr>
        <w:t>Nat. Protoc.</w:t>
      </w:r>
      <w:r>
        <w:t xml:space="preserve"> </w:t>
      </w:r>
      <w:r>
        <w:rPr>
          <w:b/>
          <w:bCs/>
        </w:rPr>
        <w:t>4</w:t>
      </w:r>
      <w:r>
        <w:t>, 1184–1191 (2009).</w:t>
      </w:r>
    </w:p>
    <w:p w14:paraId="6C33B300" w14:textId="77777777" w:rsidR="00BD758C" w:rsidRDefault="00BD758C" w:rsidP="00BD758C">
      <w:pPr>
        <w:pStyle w:val="Bibliography"/>
      </w:pPr>
      <w:r>
        <w:t>18.</w:t>
      </w:r>
      <w:r>
        <w:tab/>
        <w:t xml:space="preserve">Durinck, S. </w:t>
      </w:r>
      <w:r>
        <w:rPr>
          <w:i/>
          <w:iCs/>
        </w:rPr>
        <w:t>et al.</w:t>
      </w:r>
      <w:r>
        <w:t xml:space="preserve"> BioMart and Bioconductor: a powerful link between biological databases and microarray data analysis. </w:t>
      </w:r>
      <w:r>
        <w:rPr>
          <w:i/>
          <w:iCs/>
        </w:rPr>
        <w:t>Bioinformatics</w:t>
      </w:r>
      <w:r>
        <w:t xml:space="preserve"> </w:t>
      </w:r>
      <w:r>
        <w:rPr>
          <w:b/>
          <w:bCs/>
        </w:rPr>
        <w:t>21</w:t>
      </w:r>
      <w:r>
        <w:t>, 3439–3440 (2005).</w:t>
      </w:r>
    </w:p>
    <w:p w14:paraId="1666EBB5" w14:textId="77777777" w:rsidR="00BD758C" w:rsidRDefault="00BD758C" w:rsidP="00BD758C">
      <w:pPr>
        <w:pStyle w:val="Bibliography"/>
      </w:pPr>
      <w:r>
        <w:t>19.</w:t>
      </w:r>
      <w:r>
        <w:tab/>
        <w:t xml:space="preserve">Malkani, S. </w:t>
      </w:r>
      <w:r>
        <w:rPr>
          <w:i/>
          <w:iCs/>
        </w:rPr>
        <w:t>et al.</w:t>
      </w:r>
      <w:r>
        <w:t xml:space="preserve"> Circulating miRNA Spaceflight Signature Reveals Targets for Countermeasure Development. </w:t>
      </w:r>
      <w:r>
        <w:rPr>
          <w:i/>
          <w:iCs/>
        </w:rPr>
        <w:t>Cell Rep.</w:t>
      </w:r>
      <w:r>
        <w:t xml:space="preserve"> </w:t>
      </w:r>
      <w:r>
        <w:rPr>
          <w:b/>
          <w:bCs/>
        </w:rPr>
        <w:t>33</w:t>
      </w:r>
      <w:r>
        <w:t>, 108448 (2020).</w:t>
      </w:r>
    </w:p>
    <w:p w14:paraId="056D3707" w14:textId="77777777" w:rsidR="00BD758C" w:rsidRDefault="00BD758C" w:rsidP="00BD758C">
      <w:pPr>
        <w:pStyle w:val="Bibliography"/>
      </w:pPr>
      <w:r>
        <w:t>20.</w:t>
      </w:r>
      <w:r>
        <w:tab/>
        <w:t>NASA OSDR: Open Science for Life in Space. https://osdr.nasa.gov/bio/repo/data/studies/OSD-336.</w:t>
      </w:r>
    </w:p>
    <w:p w14:paraId="49E4CAD4" w14:textId="77777777" w:rsidR="00BD758C" w:rsidRDefault="00BD758C" w:rsidP="00BD758C">
      <w:pPr>
        <w:pStyle w:val="Bibliography"/>
      </w:pPr>
      <w:r>
        <w:t>21.</w:t>
      </w:r>
      <w:r>
        <w:tab/>
        <w:t xml:space="preserve">Wuu, Y.-R. </w:t>
      </w:r>
      <w:r>
        <w:rPr>
          <w:i/>
          <w:iCs/>
        </w:rPr>
        <w:t>et al.</w:t>
      </w:r>
      <w:r>
        <w:t xml:space="preserve"> LET-Dependent Low Dose and Synergistic Inhibition of Human Angiogenesis by Charged Particles: Validation of miRNAs that Drive Inhibition. </w:t>
      </w:r>
      <w:r>
        <w:rPr>
          <w:i/>
          <w:iCs/>
        </w:rPr>
        <w:t>iScience</w:t>
      </w:r>
      <w:r>
        <w:t xml:space="preserve"> </w:t>
      </w:r>
      <w:r>
        <w:rPr>
          <w:b/>
          <w:bCs/>
        </w:rPr>
        <w:t>23</w:t>
      </w:r>
      <w:r>
        <w:t>, (2020).</w:t>
      </w:r>
    </w:p>
    <w:p w14:paraId="69460533" w14:textId="77777777" w:rsidR="00BD758C" w:rsidRDefault="00BD758C" w:rsidP="00BD758C">
      <w:pPr>
        <w:pStyle w:val="Bibliography"/>
      </w:pPr>
      <w:r>
        <w:lastRenderedPageBreak/>
        <w:t>22.</w:t>
      </w:r>
      <w:r>
        <w:tab/>
        <w:t xml:space="preserve">Langfelder, P. &amp; Horvath, S. WGCNA: an R package for weighted correlation network analysis. </w:t>
      </w:r>
      <w:r>
        <w:rPr>
          <w:i/>
          <w:iCs/>
        </w:rPr>
        <w:t>BMC Bioinformatics</w:t>
      </w:r>
      <w:r>
        <w:t xml:space="preserve"> </w:t>
      </w:r>
      <w:r>
        <w:rPr>
          <w:b/>
          <w:bCs/>
        </w:rPr>
        <w:t>9</w:t>
      </w:r>
      <w:r>
        <w:t>, 559 (2008).</w:t>
      </w:r>
    </w:p>
    <w:p w14:paraId="3E425BBB" w14:textId="77777777" w:rsidR="00BD758C" w:rsidRDefault="00BD758C" w:rsidP="00BD758C">
      <w:pPr>
        <w:pStyle w:val="Bibliography"/>
      </w:pPr>
      <w:r>
        <w:t>23.</w:t>
      </w:r>
      <w:r>
        <w:tab/>
        <w:t xml:space="preserve">Licursi, V., Conte, F., Fiscon, G. &amp; Paci, P. MIENTURNET: an interactive web tool for microRNA-target enrichment and network-based analysis. </w:t>
      </w:r>
      <w:r>
        <w:rPr>
          <w:i/>
          <w:iCs/>
        </w:rPr>
        <w:t>BMC Bioinformatics</w:t>
      </w:r>
      <w:r>
        <w:t xml:space="preserve"> </w:t>
      </w:r>
      <w:r>
        <w:rPr>
          <w:b/>
          <w:bCs/>
        </w:rPr>
        <w:t>20</w:t>
      </w:r>
      <w:r>
        <w:t>, 545 (2019).</w:t>
      </w:r>
    </w:p>
    <w:p w14:paraId="12C5E57C" w14:textId="77777777" w:rsidR="00BD758C" w:rsidRDefault="00BD758C" w:rsidP="00BD758C">
      <w:pPr>
        <w:pStyle w:val="Bibliography"/>
      </w:pPr>
      <w:r>
        <w:t>24.</w:t>
      </w:r>
      <w:r>
        <w:tab/>
        <w:t xml:space="preserve">Piñero, J. </w:t>
      </w:r>
      <w:r>
        <w:rPr>
          <w:i/>
          <w:iCs/>
        </w:rPr>
        <w:t>et al.</w:t>
      </w:r>
      <w:r>
        <w:t xml:space="preserve"> The DisGeNET knowledge platform for disease genomics: 2019 update. </w:t>
      </w:r>
      <w:r>
        <w:rPr>
          <w:i/>
          <w:iCs/>
        </w:rPr>
        <w:t>Nucleic Acids Res.</w:t>
      </w:r>
      <w:r>
        <w:t xml:space="preserve"> </w:t>
      </w:r>
      <w:r>
        <w:rPr>
          <w:b/>
          <w:bCs/>
        </w:rPr>
        <w:t>48</w:t>
      </w:r>
      <w:r>
        <w:t>, D845–D855 (2020).</w:t>
      </w:r>
    </w:p>
    <w:p w14:paraId="4D0183A3" w14:textId="77777777" w:rsidR="00BD758C" w:rsidRDefault="00BD758C" w:rsidP="00BD758C">
      <w:pPr>
        <w:pStyle w:val="Bibliography"/>
      </w:pPr>
      <w:r>
        <w:t>25.</w:t>
      </w:r>
      <w:r>
        <w:tab/>
        <w:t xml:space="preserve">Kanehisa, M. &amp; Goto, S. KEGG: Kyoto Encyclopedia of Genes and Genomes. </w:t>
      </w:r>
      <w:r>
        <w:rPr>
          <w:i/>
          <w:iCs/>
        </w:rPr>
        <w:t>Nucleic Acids Res.</w:t>
      </w:r>
      <w:r>
        <w:t xml:space="preserve"> </w:t>
      </w:r>
      <w:r>
        <w:rPr>
          <w:b/>
          <w:bCs/>
        </w:rPr>
        <w:t>28</w:t>
      </w:r>
      <w:r>
        <w:t>, 27–30 (2000).</w:t>
      </w:r>
    </w:p>
    <w:p w14:paraId="4E23E9E4" w14:textId="77777777" w:rsidR="00BD758C" w:rsidRDefault="00BD758C" w:rsidP="00BD758C">
      <w:pPr>
        <w:pStyle w:val="Bibliography"/>
      </w:pPr>
      <w:r>
        <w:t>26.</w:t>
      </w:r>
      <w:r>
        <w:tab/>
        <w:t xml:space="preserve">Zhou, Y. </w:t>
      </w:r>
      <w:r>
        <w:rPr>
          <w:i/>
          <w:iCs/>
        </w:rPr>
        <w:t>et al.</w:t>
      </w:r>
      <w:r>
        <w:t xml:space="preserve"> Metascape provides a biologist-oriented resource for the analysis of systems-level datasets. </w:t>
      </w:r>
      <w:r>
        <w:rPr>
          <w:i/>
          <w:iCs/>
        </w:rPr>
        <w:t>Nat. Commun.</w:t>
      </w:r>
      <w:r>
        <w:t xml:space="preserve"> </w:t>
      </w:r>
      <w:r>
        <w:rPr>
          <w:b/>
          <w:bCs/>
        </w:rPr>
        <w:t>10</w:t>
      </w:r>
      <w:r>
        <w:t>, 1523 (2019).</w:t>
      </w:r>
    </w:p>
    <w:p w14:paraId="52D0BC53" w14:textId="77777777" w:rsidR="00BD758C" w:rsidRDefault="00BD758C" w:rsidP="00BD758C">
      <w:pPr>
        <w:pStyle w:val="Bibliography"/>
      </w:pPr>
      <w:r>
        <w:t>27.</w:t>
      </w:r>
      <w:r>
        <w:tab/>
        <w:t xml:space="preserve">Stickels, R. R. </w:t>
      </w:r>
      <w:r>
        <w:rPr>
          <w:i/>
          <w:iCs/>
        </w:rPr>
        <w:t>et al.</w:t>
      </w:r>
      <w:r>
        <w:t xml:space="preserve"> Highly sensitive spatial transcriptomics at near-cellular resolution with Slide-seqV2. </w:t>
      </w:r>
      <w:r>
        <w:rPr>
          <w:i/>
          <w:iCs/>
        </w:rPr>
        <w:t>Nat. Biotechnol.</w:t>
      </w:r>
      <w:r>
        <w:t xml:space="preserve"> </w:t>
      </w:r>
      <w:r>
        <w:rPr>
          <w:b/>
          <w:bCs/>
        </w:rPr>
        <w:t>39</w:t>
      </w:r>
      <w:r>
        <w:t>, 313–319 (2021).</w:t>
      </w:r>
    </w:p>
    <w:p w14:paraId="2CD59698" w14:textId="77777777" w:rsidR="00BD758C" w:rsidRDefault="00BD758C" w:rsidP="00BD758C">
      <w:pPr>
        <w:pStyle w:val="Bibliography"/>
      </w:pPr>
      <w:r>
        <w:t>28.</w:t>
      </w:r>
      <w:r>
        <w:tab/>
        <w:t xml:space="preserve">Cable, D. M. </w:t>
      </w:r>
      <w:r>
        <w:rPr>
          <w:i/>
          <w:iCs/>
        </w:rPr>
        <w:t>et al.</w:t>
      </w:r>
      <w:r>
        <w:t xml:space="preserve"> Robust decomposition of cell type mixtures in spatial transcriptomics. </w:t>
      </w:r>
      <w:r>
        <w:rPr>
          <w:i/>
          <w:iCs/>
        </w:rPr>
        <w:t>Nat. Biotechnol.</w:t>
      </w:r>
      <w:r>
        <w:t xml:space="preserve"> </w:t>
      </w:r>
      <w:r>
        <w:rPr>
          <w:b/>
          <w:bCs/>
        </w:rPr>
        <w:t>40</w:t>
      </w:r>
      <w:r>
        <w:t>, 517–526 (2022).</w:t>
      </w:r>
    </w:p>
    <w:p w14:paraId="18FF01EA" w14:textId="77777777" w:rsidR="00BD758C" w:rsidRDefault="00BD758C" w:rsidP="00BD758C">
      <w:pPr>
        <w:pStyle w:val="Bibliography"/>
      </w:pPr>
      <w:r>
        <w:t>29.</w:t>
      </w:r>
      <w:r>
        <w:tab/>
        <w:t xml:space="preserve">Miao, Z. </w:t>
      </w:r>
      <w:r>
        <w:rPr>
          <w:i/>
          <w:iCs/>
        </w:rPr>
        <w:t>et al.</w:t>
      </w:r>
      <w:r>
        <w:t xml:space="preserve"> Single cell regulatory landscape of the mouse kidney highlights cellular differentiation programs and disease targets. </w:t>
      </w:r>
      <w:r>
        <w:rPr>
          <w:i/>
          <w:iCs/>
        </w:rPr>
        <w:t>Nat. Commun.</w:t>
      </w:r>
      <w:r>
        <w:t xml:space="preserve"> </w:t>
      </w:r>
      <w:r>
        <w:rPr>
          <w:b/>
          <w:bCs/>
        </w:rPr>
        <w:t>12</w:t>
      </w:r>
      <w:r>
        <w:t>, 2277 (2021).</w:t>
      </w:r>
    </w:p>
    <w:p w14:paraId="09F9266F" w14:textId="77777777" w:rsidR="00BD758C" w:rsidRDefault="00BD758C" w:rsidP="00BD758C">
      <w:pPr>
        <w:pStyle w:val="Bibliography"/>
      </w:pPr>
      <w:r>
        <w:t>30.</w:t>
      </w:r>
      <w:r>
        <w:tab/>
        <w:t xml:space="preserve">Xie, F., Wang, J. &amp; Zhang, B. RefFinder: a web-based tool for comprehensively analyzing and identifying reference genes. </w:t>
      </w:r>
      <w:r>
        <w:rPr>
          <w:i/>
          <w:iCs/>
        </w:rPr>
        <w:t>Funct. Integr. Genomics</w:t>
      </w:r>
      <w:r>
        <w:t xml:space="preserve"> </w:t>
      </w:r>
      <w:r>
        <w:rPr>
          <w:b/>
          <w:bCs/>
        </w:rPr>
        <w:t>23</w:t>
      </w:r>
      <w:r>
        <w:t>, 125 (2023).</w:t>
      </w:r>
    </w:p>
    <w:p w14:paraId="36441B2F" w14:textId="77777777" w:rsidR="00BD758C" w:rsidRDefault="00BD758C" w:rsidP="00BD758C">
      <w:pPr>
        <w:pStyle w:val="Bibliography"/>
      </w:pPr>
      <w:r>
        <w:t>31.</w:t>
      </w:r>
      <w:r>
        <w:tab/>
        <w:t xml:space="preserve">The UniProt Consortium. UniProt: the Universal Protein Knowledgebase in 2023. </w:t>
      </w:r>
      <w:r>
        <w:rPr>
          <w:i/>
          <w:iCs/>
        </w:rPr>
        <w:t>Nucleic Acids Res.</w:t>
      </w:r>
      <w:r>
        <w:t xml:space="preserve"> </w:t>
      </w:r>
      <w:r>
        <w:rPr>
          <w:b/>
          <w:bCs/>
        </w:rPr>
        <w:t>51</w:t>
      </w:r>
      <w:r>
        <w:t>, D523–D531 (2023).</w:t>
      </w:r>
    </w:p>
    <w:p w14:paraId="6DD3B004" w14:textId="77777777" w:rsidR="00BD758C" w:rsidRDefault="00BD758C" w:rsidP="00BD758C">
      <w:pPr>
        <w:pStyle w:val="Bibliography"/>
      </w:pPr>
      <w:r>
        <w:t>32.</w:t>
      </w:r>
      <w:r>
        <w:tab/>
        <w:t xml:space="preserve">Overbey &amp; Mason, C. E. In Review. Nature ID: 2022-12-20632:The Space Omics and Medical Atlas (SOMA): A comprehensive data resource and biobank for astronauts. </w:t>
      </w:r>
      <w:r>
        <w:rPr>
          <w:i/>
          <w:iCs/>
        </w:rPr>
        <w:t>Nature</w:t>
      </w:r>
      <w:r>
        <w:t xml:space="preserve"> (2023).</w:t>
      </w:r>
    </w:p>
    <w:p w14:paraId="6D147067" w14:textId="77777777" w:rsidR="00BD758C" w:rsidRDefault="00BD758C" w:rsidP="00BD758C">
      <w:pPr>
        <w:pStyle w:val="Bibliography"/>
      </w:pPr>
      <w:r>
        <w:t>33.</w:t>
      </w:r>
      <w:r>
        <w:tab/>
        <w:t xml:space="preserve">Szklarczyk, D. </w:t>
      </w:r>
      <w:r>
        <w:rPr>
          <w:i/>
          <w:iCs/>
        </w:rPr>
        <w:t>et al.</w:t>
      </w:r>
      <w:r>
        <w:t xml:space="preserve"> The STRING database in 2023: protein–protein association networks and functional enrichment analyses for any sequenced genome of interest. </w:t>
      </w:r>
      <w:r>
        <w:rPr>
          <w:i/>
          <w:iCs/>
        </w:rPr>
        <w:t>Nucleic Acids Res.</w:t>
      </w:r>
      <w:r>
        <w:t xml:space="preserve"> </w:t>
      </w:r>
      <w:r>
        <w:rPr>
          <w:b/>
          <w:bCs/>
        </w:rPr>
        <w:t>51</w:t>
      </w:r>
      <w:r>
        <w:t>, D638–D646 (2023).</w:t>
      </w:r>
    </w:p>
    <w:p w14:paraId="44290F70" w14:textId="77777777" w:rsidR="00BD758C" w:rsidRDefault="00BD758C" w:rsidP="00BD758C">
      <w:pPr>
        <w:pStyle w:val="Bibliography"/>
      </w:pPr>
      <w:r>
        <w:lastRenderedPageBreak/>
        <w:t>34.</w:t>
      </w:r>
      <w:r>
        <w:tab/>
        <w:t xml:space="preserve">Overbey &amp; Mason, C. E. In Review. NCOMMS-23-19167: Collection of Biospecimens from the Inspiration4 Mission Establishes the Standards for the Space Omics and Medical Atlas (SOMA). </w:t>
      </w:r>
      <w:r>
        <w:rPr>
          <w:i/>
          <w:iCs/>
        </w:rPr>
        <w:t>Nat. Commun.</w:t>
      </w:r>
      <w:r>
        <w:t xml:space="preserve"> (2023).</w:t>
      </w:r>
    </w:p>
    <w:p w14:paraId="76420471" w14:textId="77777777" w:rsidR="00BD758C" w:rsidRDefault="00BD758C" w:rsidP="00BD758C">
      <w:pPr>
        <w:pStyle w:val="Bibliography"/>
      </w:pPr>
      <w:r>
        <w:t>35.</w:t>
      </w:r>
      <w:r>
        <w:tab/>
        <w:t xml:space="preserve">Lee, S.-J. </w:t>
      </w:r>
      <w:r>
        <w:rPr>
          <w:i/>
          <w:iCs/>
        </w:rPr>
        <w:t>et al.</w:t>
      </w:r>
      <w:r>
        <w:t xml:space="preserve"> Targeting myostatin/activin A protects against skeletal muscle and bone loss during spaceflight. </w:t>
      </w:r>
      <w:r>
        <w:rPr>
          <w:i/>
          <w:iCs/>
        </w:rPr>
        <w:t>Proc. Natl. Acad. Sci.</w:t>
      </w:r>
      <w:r>
        <w:t xml:space="preserve"> </w:t>
      </w:r>
      <w:r>
        <w:rPr>
          <w:b/>
          <w:bCs/>
        </w:rPr>
        <w:t>117</w:t>
      </w:r>
      <w:r>
        <w:t>, 23942–23951 (2020).</w:t>
      </w:r>
    </w:p>
    <w:p w14:paraId="5DB14B33" w14:textId="77777777" w:rsidR="00BD758C" w:rsidRDefault="00BD758C" w:rsidP="00BD758C">
      <w:pPr>
        <w:pStyle w:val="Bibliography"/>
      </w:pPr>
      <w:r>
        <w:t>36.</w:t>
      </w:r>
      <w:r>
        <w:tab/>
        <w:t>NASA OSDR: Open Science for Life in Space. https://osdr.nasa.gov/bio/repo/data/studies/OSD-342.</w:t>
      </w:r>
    </w:p>
    <w:p w14:paraId="759ECFF2" w14:textId="77777777" w:rsidR="00BD758C" w:rsidRDefault="00BD758C" w:rsidP="00BD758C">
      <w:pPr>
        <w:pStyle w:val="Bibliography"/>
      </w:pPr>
      <w:r>
        <w:t>37.</w:t>
      </w:r>
      <w:r>
        <w:tab/>
        <w:t xml:space="preserve">Pastushkova, L. Kh. </w:t>
      </w:r>
      <w:r>
        <w:rPr>
          <w:i/>
          <w:iCs/>
        </w:rPr>
        <w:t>et al.</w:t>
      </w:r>
      <w:r>
        <w:t xml:space="preserve"> Changes of Protein Profile of Human Urine after Long-Term Orbital Flights. </w:t>
      </w:r>
      <w:r>
        <w:rPr>
          <w:i/>
          <w:iCs/>
        </w:rPr>
        <w:t>Bull. Exp. Biol. Med.</w:t>
      </w:r>
      <w:r>
        <w:t xml:space="preserve"> </w:t>
      </w:r>
      <w:r>
        <w:rPr>
          <w:b/>
          <w:bCs/>
        </w:rPr>
        <w:t>156</w:t>
      </w:r>
      <w:r>
        <w:t>, 201–204 (2013).</w:t>
      </w:r>
    </w:p>
    <w:p w14:paraId="689C70BF" w14:textId="77777777" w:rsidR="00BD758C" w:rsidRDefault="00BD758C" w:rsidP="00BD758C">
      <w:pPr>
        <w:pStyle w:val="Bibliography"/>
      </w:pPr>
      <w:r>
        <w:t>38.</w:t>
      </w:r>
      <w:r>
        <w:tab/>
        <w:t>View a PASSEL Dataset. https://db.systemsbiology.net/sbeams/cgi/PeptideAtlas/PASS_View?identifier=PASS00239.</w:t>
      </w:r>
    </w:p>
    <w:p w14:paraId="549E36B6" w14:textId="77777777" w:rsidR="00BD758C" w:rsidRDefault="00BD758C" w:rsidP="00BD758C">
      <w:pPr>
        <w:pStyle w:val="Bibliography"/>
      </w:pPr>
      <w:r>
        <w:t>39.</w:t>
      </w:r>
      <w:r>
        <w:tab/>
        <w:t xml:space="preserve">Doncheva, N. T., Morris, J. H., Gorodkin, J. &amp; Jensen, L. J. Cytoscape StringApp: Network Analysis and Visualization of Proteomics Data. </w:t>
      </w:r>
      <w:r>
        <w:rPr>
          <w:i/>
          <w:iCs/>
        </w:rPr>
        <w:t>J. Proteome Res.</w:t>
      </w:r>
      <w:r>
        <w:t xml:space="preserve"> </w:t>
      </w:r>
      <w:r>
        <w:rPr>
          <w:b/>
          <w:bCs/>
        </w:rPr>
        <w:t>18</w:t>
      </w:r>
      <w:r>
        <w:t>, 623–632 (2019).</w:t>
      </w:r>
    </w:p>
    <w:p w14:paraId="54A5D076" w14:textId="77777777" w:rsidR="00BD758C" w:rsidRDefault="00BD758C" w:rsidP="00BD758C">
      <w:pPr>
        <w:pStyle w:val="Bibliography"/>
      </w:pPr>
      <w:r>
        <w:t>40.</w:t>
      </w:r>
      <w:r>
        <w:tab/>
        <w:t xml:space="preserve">Hourebi &amp; Mason, C. E. Submitted. NATMETAB-A23069187.: Secretome profiling captures acute changes in oxidative stress, brain homeostasis and coagulation from spaceflight. </w:t>
      </w:r>
      <w:r>
        <w:rPr>
          <w:i/>
          <w:iCs/>
        </w:rPr>
        <w:t>Nat. Metab.</w:t>
      </w:r>
      <w:r>
        <w:t xml:space="preserve"> (2023).</w:t>
      </w:r>
    </w:p>
    <w:p w14:paraId="783B31BB" w14:textId="77777777" w:rsidR="00BD758C" w:rsidRDefault="00BD758C" w:rsidP="00BD758C">
      <w:pPr>
        <w:pStyle w:val="Bibliography"/>
      </w:pPr>
      <w:r>
        <w:t>41.</w:t>
      </w:r>
      <w:r>
        <w:tab/>
        <w:t xml:space="preserve">Uruno, A. </w:t>
      </w:r>
      <w:r>
        <w:rPr>
          <w:i/>
          <w:iCs/>
        </w:rPr>
        <w:t>et al.</w:t>
      </w:r>
      <w:r>
        <w:t xml:space="preserve"> Nrf2 plays a critical role in the metabolic response during and after spaceflight. </w:t>
      </w:r>
      <w:r>
        <w:rPr>
          <w:i/>
          <w:iCs/>
        </w:rPr>
        <w:t>Commun. Biol.</w:t>
      </w:r>
      <w:r>
        <w:t xml:space="preserve"> </w:t>
      </w:r>
      <w:r>
        <w:rPr>
          <w:b/>
          <w:bCs/>
        </w:rPr>
        <w:t>4</w:t>
      </w:r>
      <w:r>
        <w:t>, 1–18 (2021).</w:t>
      </w:r>
    </w:p>
    <w:p w14:paraId="11EFBE3C" w14:textId="77777777" w:rsidR="00BD758C" w:rsidRDefault="00BD758C" w:rsidP="00BD758C">
      <w:pPr>
        <w:pStyle w:val="Bibliography"/>
      </w:pPr>
      <w:r>
        <w:t>42.</w:t>
      </w:r>
      <w:r>
        <w:tab/>
        <w:t>ibSLS - Metabolite List -. https://ibsls.megabank.tohoku.ac.jp/metabolite-list.</w:t>
      </w:r>
    </w:p>
    <w:p w14:paraId="3561BB78" w14:textId="77777777" w:rsidR="00BD758C" w:rsidRDefault="00BD758C" w:rsidP="00BD758C">
      <w:pPr>
        <w:pStyle w:val="Bibliography"/>
      </w:pPr>
      <w:r>
        <w:t>43.</w:t>
      </w:r>
      <w:r>
        <w:tab/>
        <w:t xml:space="preserve">Zhang, H. </w:t>
      </w:r>
      <w:r>
        <w:rPr>
          <w:i/>
          <w:iCs/>
        </w:rPr>
        <w:t>et al.</w:t>
      </w:r>
      <w:r>
        <w:t xml:space="preserve"> Serum Metabolomics Associating With Circulating MicroRNA Profiles Reveal the Role of miR-383-5p in Rat Hippocampus Under Simulated Microgravity. </w:t>
      </w:r>
      <w:r>
        <w:rPr>
          <w:i/>
          <w:iCs/>
        </w:rPr>
        <w:t>Front. Physiol.</w:t>
      </w:r>
      <w:r>
        <w:t xml:space="preserve"> </w:t>
      </w:r>
      <w:r>
        <w:rPr>
          <w:b/>
          <w:bCs/>
        </w:rPr>
        <w:t>11</w:t>
      </w:r>
      <w:r>
        <w:t>, (2020).</w:t>
      </w:r>
    </w:p>
    <w:p w14:paraId="0161C2DD" w14:textId="77777777" w:rsidR="00BD758C" w:rsidRDefault="00BD758C" w:rsidP="00BD758C">
      <w:pPr>
        <w:pStyle w:val="Bibliography"/>
      </w:pPr>
      <w:r>
        <w:t>44.</w:t>
      </w:r>
      <w:r>
        <w:tab/>
        <w:t xml:space="preserve">Pang, Z. </w:t>
      </w:r>
      <w:r>
        <w:rPr>
          <w:i/>
          <w:iCs/>
        </w:rPr>
        <w:t>et al.</w:t>
      </w:r>
      <w:r>
        <w:t xml:space="preserve"> MetaboAnalyst 5.0: narrowing the gap between raw spectra and functional insights. </w:t>
      </w:r>
      <w:r>
        <w:rPr>
          <w:i/>
          <w:iCs/>
        </w:rPr>
        <w:t>Nucleic Acids Res.</w:t>
      </w:r>
      <w:r>
        <w:t xml:space="preserve"> </w:t>
      </w:r>
      <w:r>
        <w:rPr>
          <w:b/>
          <w:bCs/>
        </w:rPr>
        <w:t>49</w:t>
      </w:r>
      <w:r>
        <w:t>, W388–W396 (2021).</w:t>
      </w:r>
    </w:p>
    <w:p w14:paraId="1E7D4AB7" w14:textId="77777777" w:rsidR="00BD758C" w:rsidRDefault="00BD758C" w:rsidP="00BD758C">
      <w:pPr>
        <w:pStyle w:val="Bibliography"/>
      </w:pPr>
      <w:r>
        <w:t>45.</w:t>
      </w:r>
      <w:r>
        <w:tab/>
        <w:t>NASA OSDR: Open Science for Life in Space. https://osdr.nasa.gov/bio/repo/data/studies/OSD-249.</w:t>
      </w:r>
    </w:p>
    <w:p w14:paraId="47A80B53" w14:textId="77777777" w:rsidR="00BD758C" w:rsidRDefault="00BD758C" w:rsidP="00BD758C">
      <w:pPr>
        <w:pStyle w:val="Bibliography"/>
      </w:pPr>
      <w:r>
        <w:lastRenderedPageBreak/>
        <w:t>46.</w:t>
      </w:r>
      <w:r>
        <w:tab/>
        <w:t>NASA OSDR: Open Science for Life in Space. https://osdr.nasa.gov/bio/repo/data/studies/OSD-250.</w:t>
      </w:r>
    </w:p>
    <w:p w14:paraId="14C74104" w14:textId="77777777" w:rsidR="00BD758C" w:rsidRDefault="00BD758C" w:rsidP="00BD758C">
      <w:pPr>
        <w:pStyle w:val="Bibliography"/>
      </w:pPr>
      <w:r>
        <w:t>47.</w:t>
      </w:r>
      <w:r>
        <w:tab/>
        <w:t>NASA OSDR: Open Science for Life in Space. https://osdr.nasa.gov/bio/repo/data/studies/OSD-466.</w:t>
      </w:r>
    </w:p>
    <w:p w14:paraId="3B15E7C2" w14:textId="77777777" w:rsidR="00BD758C" w:rsidRDefault="00BD758C" w:rsidP="00BD758C">
      <w:pPr>
        <w:pStyle w:val="Bibliography"/>
      </w:pPr>
      <w:r>
        <w:t>48.</w:t>
      </w:r>
      <w:r>
        <w:tab/>
        <w:t>NASA OSDR: Open Science for Life in Space. https://osdr.nasa.gov/bio/repo/data/studies/OSD-465.</w:t>
      </w:r>
    </w:p>
    <w:p w14:paraId="5268C4E2" w14:textId="77777777" w:rsidR="00BD758C" w:rsidRDefault="00BD758C" w:rsidP="00BD758C">
      <w:pPr>
        <w:pStyle w:val="Bibliography"/>
      </w:pPr>
      <w:r>
        <w:t>49.</w:t>
      </w:r>
      <w:r>
        <w:tab/>
        <w:t xml:space="preserve">Jiang, P., Green, S. J., Chlipala, G. E., Turek, F. W. &amp; Vitaterna, M. H. Reproducible changes in the gut microbiome suggest a shift in microbial and host metabolism during spaceflight. </w:t>
      </w:r>
      <w:r>
        <w:rPr>
          <w:i/>
          <w:iCs/>
        </w:rPr>
        <w:t>Microbiome</w:t>
      </w:r>
      <w:r>
        <w:t xml:space="preserve"> </w:t>
      </w:r>
      <w:r>
        <w:rPr>
          <w:b/>
          <w:bCs/>
        </w:rPr>
        <w:t>7</w:t>
      </w:r>
      <w:r>
        <w:t>, 113 (2019).</w:t>
      </w:r>
    </w:p>
    <w:p w14:paraId="1855EFEA" w14:textId="77777777" w:rsidR="00BD758C" w:rsidRDefault="00BD758C" w:rsidP="00BD758C">
      <w:pPr>
        <w:pStyle w:val="Bibliography"/>
      </w:pPr>
      <w:r>
        <w:t>50.</w:t>
      </w:r>
      <w:r>
        <w:tab/>
        <w:t>NASA OSDR: Open Science for Life in Space. https://osdr.nasa.gov/bio/repo/data/studies/OSD-212.</w:t>
      </w:r>
    </w:p>
    <w:p w14:paraId="33E1A75F" w14:textId="77777777" w:rsidR="00BD758C" w:rsidRDefault="00BD758C" w:rsidP="00BD758C">
      <w:pPr>
        <w:pStyle w:val="Bibliography"/>
      </w:pPr>
      <w:r>
        <w:t>51.</w:t>
      </w:r>
      <w:r>
        <w:tab/>
        <w:t xml:space="preserve">Ritchie, L. E. </w:t>
      </w:r>
      <w:r>
        <w:rPr>
          <w:i/>
          <w:iCs/>
        </w:rPr>
        <w:t>et al.</w:t>
      </w:r>
      <w:r>
        <w:t xml:space="preserve"> Space Environmental Factor Impacts upon Murine Colon Microbiota and Mucosal Homeostasis. </w:t>
      </w:r>
      <w:r>
        <w:rPr>
          <w:i/>
          <w:iCs/>
        </w:rPr>
        <w:t>PLOS ONE</w:t>
      </w:r>
      <w:r>
        <w:t xml:space="preserve"> </w:t>
      </w:r>
      <w:r>
        <w:rPr>
          <w:b/>
          <w:bCs/>
        </w:rPr>
        <w:t>10</w:t>
      </w:r>
      <w:r>
        <w:t>, e0125792 (2015).</w:t>
      </w:r>
    </w:p>
    <w:p w14:paraId="72DEA64D" w14:textId="77777777" w:rsidR="00BD758C" w:rsidRDefault="00BD758C" w:rsidP="00BD758C">
      <w:pPr>
        <w:pStyle w:val="Bibliography"/>
      </w:pPr>
      <w:r>
        <w:t>52.</w:t>
      </w:r>
      <w:r>
        <w:tab/>
        <w:t>NASA OSDR: Open Science for Life in Space. https://osdr.nasa.gov/bio/repo/data/studies/OSD-72.</w:t>
      </w:r>
    </w:p>
    <w:p w14:paraId="629EBA0D" w14:textId="77777777" w:rsidR="00BD758C" w:rsidRDefault="00BD758C" w:rsidP="00BD758C">
      <w:pPr>
        <w:pStyle w:val="Bibliography"/>
      </w:pPr>
      <w:r>
        <w:t>53.</w:t>
      </w:r>
      <w:r>
        <w:tab/>
        <w:t xml:space="preserve">Weber, N. </w:t>
      </w:r>
      <w:r>
        <w:rPr>
          <w:i/>
          <w:iCs/>
        </w:rPr>
        <w:t>et al.</w:t>
      </w:r>
      <w:r>
        <w:t xml:space="preserve"> Nephele: a cloud platform for simplified, standardized and reproducible microbiome data analysis. </w:t>
      </w:r>
      <w:r>
        <w:rPr>
          <w:i/>
          <w:iCs/>
        </w:rPr>
        <w:t>Bioinformatics</w:t>
      </w:r>
      <w:r>
        <w:t xml:space="preserve"> </w:t>
      </w:r>
      <w:r>
        <w:rPr>
          <w:b/>
          <w:bCs/>
        </w:rPr>
        <w:t>34</w:t>
      </w:r>
      <w:r>
        <w:t>, 1411–1413 (2018).</w:t>
      </w:r>
    </w:p>
    <w:p w14:paraId="7E547C14" w14:textId="77777777" w:rsidR="00BD758C" w:rsidRDefault="00BD758C" w:rsidP="00BD758C">
      <w:pPr>
        <w:pStyle w:val="Bibliography"/>
      </w:pPr>
      <w:r>
        <w:t>54.</w:t>
      </w:r>
      <w:r>
        <w:tab/>
        <w:t>Bastiaanssen, T. F. S., Quinn, T. P. &amp; Loughman, A. Bugs as Features (Part I): Concepts and Foundations for the Compositional Data Analysis of the Microbiome-Gut-Brain Axis. (2022) doi:10.48550/arXiv.2207.12475.</w:t>
      </w:r>
    </w:p>
    <w:p w14:paraId="0A291909" w14:textId="77777777" w:rsidR="00BD758C" w:rsidRDefault="00BD758C" w:rsidP="00BD758C">
      <w:pPr>
        <w:pStyle w:val="Bibliography"/>
      </w:pPr>
      <w:r>
        <w:t>55.</w:t>
      </w:r>
      <w:r>
        <w:tab/>
        <w:t xml:space="preserve">Kim &amp; Mason, C. E. In Review. Nature ID: 2023-02-01822: Single-cell multi-ome and immune profiles of the Inspiration4 crew reveal variegated, cell-type, sex-specific differences to spaceflight and recovery. </w:t>
      </w:r>
      <w:r>
        <w:rPr>
          <w:i/>
          <w:iCs/>
        </w:rPr>
        <w:t>Nature</w:t>
      </w:r>
      <w:r>
        <w:t xml:space="preserve"> (2023).</w:t>
      </w:r>
    </w:p>
    <w:p w14:paraId="65B214DB" w14:textId="77777777" w:rsidR="00BD758C" w:rsidRDefault="00BD758C" w:rsidP="00BD758C">
      <w:pPr>
        <w:pStyle w:val="Bibliography"/>
      </w:pPr>
      <w:r>
        <w:t>56.</w:t>
      </w:r>
      <w:r>
        <w:tab/>
        <w:t xml:space="preserve">Douglas, G. L. </w:t>
      </w:r>
      <w:r>
        <w:rPr>
          <w:i/>
          <w:iCs/>
        </w:rPr>
        <w:t>et al.</w:t>
      </w:r>
      <w:r>
        <w:t xml:space="preserve"> Impact of diet on human nutrition, immune response, gut microbiome, and cognition in an isolated and confined mission environment. </w:t>
      </w:r>
      <w:r>
        <w:rPr>
          <w:i/>
          <w:iCs/>
        </w:rPr>
        <w:t>Sci. Rep.</w:t>
      </w:r>
      <w:r>
        <w:t xml:space="preserve"> </w:t>
      </w:r>
      <w:r>
        <w:rPr>
          <w:b/>
          <w:bCs/>
        </w:rPr>
        <w:t>12</w:t>
      </w:r>
      <w:r>
        <w:t>, 20847 (2022).</w:t>
      </w:r>
    </w:p>
    <w:p w14:paraId="7BD7044D" w14:textId="77777777" w:rsidR="00BD758C" w:rsidRDefault="00BD758C" w:rsidP="00BD758C">
      <w:pPr>
        <w:pStyle w:val="Bibliography"/>
      </w:pPr>
      <w:r>
        <w:lastRenderedPageBreak/>
        <w:t>57.</w:t>
      </w:r>
      <w:r>
        <w:tab/>
        <w:t xml:space="preserve">Inker, L. A. </w:t>
      </w:r>
      <w:r>
        <w:rPr>
          <w:i/>
          <w:iCs/>
        </w:rPr>
        <w:t>et al.</w:t>
      </w:r>
      <w:r>
        <w:t xml:space="preserve"> New Creatinine- and Cystatin C–Based Equations to Estimate GFR without Race. </w:t>
      </w:r>
      <w:r>
        <w:rPr>
          <w:i/>
          <w:iCs/>
        </w:rPr>
        <w:t>N. Engl. J. Med.</w:t>
      </w:r>
      <w:r>
        <w:t xml:space="preserve"> </w:t>
      </w:r>
      <w:r>
        <w:rPr>
          <w:b/>
          <w:bCs/>
        </w:rPr>
        <w:t>385</w:t>
      </w:r>
      <w:r>
        <w:t>, 1737–1749 (2021).</w:t>
      </w:r>
    </w:p>
    <w:p w14:paraId="02CCE9A6" w14:textId="77777777" w:rsidR="00BD758C" w:rsidRDefault="00BD758C" w:rsidP="00BD758C">
      <w:pPr>
        <w:pStyle w:val="Bibliography"/>
      </w:pPr>
      <w:r>
        <w:t>58.</w:t>
      </w:r>
      <w:r>
        <w:tab/>
        <w:t xml:space="preserve">Topf, J. M. &amp; Murray, P. T. Hypomagnesemia and Hypermagnesemia. </w:t>
      </w:r>
      <w:r>
        <w:rPr>
          <w:i/>
          <w:iCs/>
        </w:rPr>
        <w:t>Rev. Endocr. Metab. Disord.</w:t>
      </w:r>
      <w:r>
        <w:t xml:space="preserve"> </w:t>
      </w:r>
      <w:r>
        <w:rPr>
          <w:b/>
          <w:bCs/>
        </w:rPr>
        <w:t>4</w:t>
      </w:r>
      <w:r>
        <w:t>, 195–206 (2003).</w:t>
      </w:r>
    </w:p>
    <w:p w14:paraId="0A2C3989" w14:textId="77777777" w:rsidR="00BD758C" w:rsidRDefault="00BD758C" w:rsidP="00BD758C">
      <w:pPr>
        <w:pStyle w:val="Bibliography"/>
      </w:pPr>
      <w:r>
        <w:t>59.</w:t>
      </w:r>
      <w:r>
        <w:tab/>
        <w:t xml:space="preserve">Coulthard, M. G. &amp; Haycock, G. B. Distinguishing between salt poisoning and hypernatraemic dehydration in children. </w:t>
      </w:r>
      <w:r>
        <w:rPr>
          <w:i/>
          <w:iCs/>
        </w:rPr>
        <w:t>BMJ</w:t>
      </w:r>
      <w:r>
        <w:t xml:space="preserve"> </w:t>
      </w:r>
      <w:r>
        <w:rPr>
          <w:b/>
          <w:bCs/>
        </w:rPr>
        <w:t>326</w:t>
      </w:r>
      <w:r>
        <w:t>, 157–160 (2003).</w:t>
      </w:r>
    </w:p>
    <w:p w14:paraId="5DA7E109" w14:textId="77777777" w:rsidR="00BD758C" w:rsidRDefault="00BD758C" w:rsidP="00BD758C">
      <w:pPr>
        <w:pStyle w:val="Bibliography"/>
      </w:pPr>
      <w:r>
        <w:t>60.</w:t>
      </w:r>
      <w:r>
        <w:tab/>
        <w:t xml:space="preserve">Stark, H., Eisenstein, B., Tieder, M., Rachmel, A. &amp; Alpert, G. Direct Measurement of TP/GFR: A Simple and Reliable Parameter of Renal Phosphate Handling. </w:t>
      </w:r>
      <w:r>
        <w:rPr>
          <w:i/>
          <w:iCs/>
        </w:rPr>
        <w:t>Nephron</w:t>
      </w:r>
      <w:r>
        <w:t xml:space="preserve"> </w:t>
      </w:r>
      <w:r>
        <w:rPr>
          <w:b/>
          <w:bCs/>
        </w:rPr>
        <w:t>44</w:t>
      </w:r>
      <w:r>
        <w:t>, 125–128 (2008).</w:t>
      </w:r>
    </w:p>
    <w:p w14:paraId="0C7103CF" w14:textId="77777777" w:rsidR="00BD758C" w:rsidRDefault="00BD758C" w:rsidP="00BD758C">
      <w:pPr>
        <w:pStyle w:val="Bibliography"/>
      </w:pPr>
      <w:r>
        <w:t>61.</w:t>
      </w:r>
      <w:r>
        <w:tab/>
        <w:t xml:space="preserve">Choi, M. J. &amp; Ziyadeh, F. N. The Utility of the Transtubular Potassium Gradient in the Evaluation of Hyperkalemia. </w:t>
      </w:r>
      <w:r>
        <w:rPr>
          <w:i/>
          <w:iCs/>
        </w:rPr>
        <w:t>J. Am. Soc. Nephrol.</w:t>
      </w:r>
      <w:r>
        <w:t xml:space="preserve"> </w:t>
      </w:r>
      <w:r>
        <w:rPr>
          <w:b/>
          <w:bCs/>
        </w:rPr>
        <w:t>19</w:t>
      </w:r>
      <w:r>
        <w:t>, 424–426 (2008).</w:t>
      </w:r>
    </w:p>
    <w:p w14:paraId="66ABD5D1" w14:textId="77777777" w:rsidR="00BD758C" w:rsidRDefault="00BD758C" w:rsidP="00BD758C">
      <w:pPr>
        <w:pStyle w:val="Bibliography"/>
      </w:pPr>
      <w:r>
        <w:t>62.</w:t>
      </w:r>
      <w:r>
        <w:tab/>
        <w:t xml:space="preserve">Martín-Calderón, J. L. </w:t>
      </w:r>
      <w:r>
        <w:rPr>
          <w:i/>
          <w:iCs/>
        </w:rPr>
        <w:t>et al.</w:t>
      </w:r>
      <w:r>
        <w:t xml:space="preserve"> Choice of the best equation for plasma osmolality calculation: Comparison of fourteen formulae. </w:t>
      </w:r>
      <w:r>
        <w:rPr>
          <w:i/>
          <w:iCs/>
        </w:rPr>
        <w:t>Clin. Biochem.</w:t>
      </w:r>
      <w:r>
        <w:t xml:space="preserve"> </w:t>
      </w:r>
      <w:r>
        <w:rPr>
          <w:b/>
          <w:bCs/>
        </w:rPr>
        <w:t>48</w:t>
      </w:r>
      <w:r>
        <w:t>, 529–533 (2015).</w:t>
      </w:r>
    </w:p>
    <w:p w14:paraId="6936A6EA" w14:textId="77777777" w:rsidR="00BD758C" w:rsidRDefault="00BD758C" w:rsidP="00BD758C">
      <w:pPr>
        <w:pStyle w:val="Bibliography"/>
      </w:pPr>
      <w:r>
        <w:t>63.</w:t>
      </w:r>
      <w:r>
        <w:tab/>
        <w:t xml:space="preserve">Free water clearance. </w:t>
      </w:r>
      <w:r>
        <w:rPr>
          <w:i/>
          <w:iCs/>
        </w:rPr>
        <w:t>Wikipedia</w:t>
      </w:r>
      <w:r>
        <w:t xml:space="preserve"> (2021).</w:t>
      </w:r>
    </w:p>
    <w:p w14:paraId="70AE3FBD" w14:textId="77777777" w:rsidR="00BD758C" w:rsidRDefault="00BD758C" w:rsidP="00BD758C">
      <w:pPr>
        <w:pStyle w:val="Bibliography"/>
      </w:pPr>
      <w:r>
        <w:t>64.</w:t>
      </w:r>
      <w:r>
        <w:tab/>
        <w:t xml:space="preserve">The Gene Ontology Consortium. The Gene Ontology resource: enriching a GOld mine. </w:t>
      </w:r>
      <w:r>
        <w:rPr>
          <w:i/>
          <w:iCs/>
        </w:rPr>
        <w:t>Nucleic Acids Res.</w:t>
      </w:r>
      <w:r>
        <w:t xml:space="preserve"> </w:t>
      </w:r>
      <w:r>
        <w:rPr>
          <w:b/>
          <w:bCs/>
        </w:rPr>
        <w:t>49</w:t>
      </w:r>
      <w:r>
        <w:t>, D325–D334 (2021).</w:t>
      </w:r>
    </w:p>
    <w:p w14:paraId="67D0229B" w14:textId="77777777" w:rsidR="00BD758C" w:rsidRDefault="00BD758C" w:rsidP="00BD758C">
      <w:pPr>
        <w:pStyle w:val="Bibliography"/>
      </w:pPr>
      <w:r>
        <w:t>65.</w:t>
      </w:r>
      <w:r>
        <w:tab/>
        <w:t xml:space="preserve">Crowdis, J., He, M. X., Reardon, B. &amp; Van Allen, E. M. CoMut: visualizing integrated molecular information with comutation plots. </w:t>
      </w:r>
      <w:r>
        <w:rPr>
          <w:i/>
          <w:iCs/>
        </w:rPr>
        <w:t>Bioinformatics</w:t>
      </w:r>
      <w:r>
        <w:t xml:space="preserve"> </w:t>
      </w:r>
      <w:r>
        <w:rPr>
          <w:b/>
          <w:bCs/>
        </w:rPr>
        <w:t>36</w:t>
      </w:r>
      <w:r>
        <w:t>, 4348–4349 (2020).</w:t>
      </w:r>
    </w:p>
    <w:p w14:paraId="36CC7258" w14:textId="77777777" w:rsidR="00BD758C" w:rsidRDefault="00BD758C" w:rsidP="00BD758C">
      <w:pPr>
        <w:pStyle w:val="Bibliography"/>
      </w:pPr>
      <w:r>
        <w:t>66.</w:t>
      </w:r>
      <w:r>
        <w:tab/>
        <w:t xml:space="preserve">Morris, J. H. </w:t>
      </w:r>
      <w:r>
        <w:rPr>
          <w:i/>
          <w:iCs/>
        </w:rPr>
        <w:t>et al.</w:t>
      </w:r>
      <w:r>
        <w:t xml:space="preserve"> The scalable precision medicine open knowledge engine (SPOKE): a massive knowledge graph of biomedical information. </w:t>
      </w:r>
      <w:r>
        <w:rPr>
          <w:i/>
          <w:iCs/>
        </w:rPr>
        <w:t>Bioinformatics</w:t>
      </w:r>
      <w:r>
        <w:t xml:space="preserve"> </w:t>
      </w:r>
      <w:r>
        <w:rPr>
          <w:b/>
          <w:bCs/>
        </w:rPr>
        <w:t>39</w:t>
      </w:r>
      <w:r>
        <w:t>, btad080 (2023).</w:t>
      </w:r>
    </w:p>
    <w:p w14:paraId="5C4B723C" w14:textId="77777777" w:rsidR="00BD758C" w:rsidRDefault="00BD758C" w:rsidP="00BD758C">
      <w:pPr>
        <w:pStyle w:val="Bibliography"/>
      </w:pPr>
      <w:r>
        <w:t>67.</w:t>
      </w:r>
      <w:r>
        <w:tab/>
        <w:t xml:space="preserve">Berg, S. </w:t>
      </w:r>
      <w:r>
        <w:rPr>
          <w:i/>
          <w:iCs/>
        </w:rPr>
        <w:t>et al.</w:t>
      </w:r>
      <w:r>
        <w:t xml:space="preserve"> ilastik: interactive machine learning for (bio)image analysis. </w:t>
      </w:r>
      <w:r>
        <w:rPr>
          <w:i/>
          <w:iCs/>
        </w:rPr>
        <w:t>Nat. Methods</w:t>
      </w:r>
      <w:r>
        <w:t xml:space="preserve"> </w:t>
      </w:r>
      <w:r>
        <w:rPr>
          <w:b/>
          <w:bCs/>
        </w:rPr>
        <w:t>16</w:t>
      </w:r>
      <w:r>
        <w:t>, 1226–1232 (2019).</w:t>
      </w:r>
    </w:p>
    <w:p w14:paraId="556A4096" w14:textId="77777777" w:rsidR="00BD758C" w:rsidRDefault="00BD758C" w:rsidP="00BD758C">
      <w:pPr>
        <w:pStyle w:val="Bibliography"/>
      </w:pPr>
      <w:r>
        <w:t>68.</w:t>
      </w:r>
      <w:r>
        <w:tab/>
        <w:t xml:space="preserve">Park, Y.-G. </w:t>
      </w:r>
      <w:r>
        <w:rPr>
          <w:i/>
          <w:iCs/>
        </w:rPr>
        <w:t>et al.</w:t>
      </w:r>
      <w:r>
        <w:t xml:space="preserve"> Protection of tissue physicochemical properties using polyfunctional crosslinkers. </w:t>
      </w:r>
      <w:r>
        <w:rPr>
          <w:i/>
          <w:iCs/>
        </w:rPr>
        <w:t>Nat. Biotechnol.</w:t>
      </w:r>
      <w:r>
        <w:t xml:space="preserve"> </w:t>
      </w:r>
      <w:r>
        <w:rPr>
          <w:b/>
          <w:bCs/>
        </w:rPr>
        <w:t>37</w:t>
      </w:r>
      <w:r>
        <w:t>, 73–83 (2019).</w:t>
      </w:r>
    </w:p>
    <w:p w14:paraId="683C9DB2" w14:textId="77777777" w:rsidR="00BD758C" w:rsidRDefault="00BD758C" w:rsidP="00BD758C">
      <w:pPr>
        <w:pStyle w:val="Bibliography"/>
      </w:pPr>
      <w:r>
        <w:t>69.</w:t>
      </w:r>
      <w:r>
        <w:tab/>
        <w:t xml:space="preserve">Voigt, F. F. </w:t>
      </w:r>
      <w:r>
        <w:rPr>
          <w:i/>
          <w:iCs/>
        </w:rPr>
        <w:t>et al.</w:t>
      </w:r>
      <w:r>
        <w:t xml:space="preserve"> The mesoSPIM initiative: open-source light-sheet microscopes for imaging cleared tissue. </w:t>
      </w:r>
      <w:r>
        <w:rPr>
          <w:i/>
          <w:iCs/>
        </w:rPr>
        <w:t>Nat. Methods</w:t>
      </w:r>
      <w:r>
        <w:t xml:space="preserve"> </w:t>
      </w:r>
      <w:r>
        <w:rPr>
          <w:b/>
          <w:bCs/>
        </w:rPr>
        <w:t>16</w:t>
      </w:r>
      <w:r>
        <w:t>, 1105–1108 (2019).</w:t>
      </w:r>
    </w:p>
    <w:p w14:paraId="787AA262" w14:textId="77777777" w:rsidR="00BD758C" w:rsidRDefault="00BD758C" w:rsidP="00BD758C">
      <w:pPr>
        <w:pStyle w:val="Bibliography"/>
      </w:pPr>
      <w:r>
        <w:lastRenderedPageBreak/>
        <w:t>70.</w:t>
      </w:r>
      <w:r>
        <w:tab/>
        <w:t>Pidhorskyi, S., Morehead, M., Jones, Q., Spirou, G. &amp; Doretto, G. syGlass: Interactive Exploration of Multidimensional Images Using Virtual Reality Head-mounted Displays. Preprint at https://doi.org/10.48550/arXiv.1804.08197 (2018).</w:t>
      </w:r>
    </w:p>
    <w:p w14:paraId="13B478F3" w14:textId="77777777" w:rsidR="00BD758C" w:rsidRDefault="00BD758C" w:rsidP="00BD758C">
      <w:pPr>
        <w:pStyle w:val="Bibliography"/>
      </w:pPr>
      <w:r>
        <w:t>71.</w:t>
      </w:r>
      <w:r>
        <w:tab/>
        <w:t xml:space="preserve">Imaris Microscopy Image Analysis Software | Comparison - Imaris. </w:t>
      </w:r>
      <w:r>
        <w:rPr>
          <w:i/>
          <w:iCs/>
        </w:rPr>
        <w:t>Oxford Instruments</w:t>
      </w:r>
      <w:r>
        <w:t xml:space="preserve"> https://imaris.oxinst.com/packages.</w:t>
      </w:r>
    </w:p>
    <w:p w14:paraId="547273EA" w14:textId="77A132C8" w:rsidR="00AF211F" w:rsidRDefault="008F07BA" w:rsidP="009C7158">
      <w:pPr>
        <w:pStyle w:val="NormalWeb"/>
        <w:spacing w:before="240" w:beforeAutospacing="0" w:after="240" w:afterAutospacing="0" w:line="480" w:lineRule="auto"/>
        <w:ind w:left="-280"/>
        <w:jc w:val="both"/>
        <w:rPr>
          <w:rFonts w:ascii="Arial" w:hAnsi="Arial" w:cs="Arial"/>
          <w:color w:val="000000"/>
          <w:sz w:val="22"/>
          <w:szCs w:val="22"/>
        </w:rPr>
      </w:pPr>
      <w:r>
        <w:rPr>
          <w:rFonts w:ascii="Arial" w:hAnsi="Arial" w:cs="Arial"/>
          <w:b/>
          <w:bCs/>
          <w:color w:val="000000"/>
          <w:sz w:val="22"/>
          <w:szCs w:val="22"/>
          <w:u w:val="single"/>
        </w:rPr>
        <w:fldChar w:fldCharType="end"/>
      </w:r>
    </w:p>
    <w:p w14:paraId="4A37F6D7" w14:textId="637A3F15" w:rsidR="004244D9" w:rsidRPr="008F07BA" w:rsidRDefault="004244D9" w:rsidP="008F07BA">
      <w:pPr>
        <w:pStyle w:val="NormalWeb"/>
        <w:spacing w:before="240" w:beforeAutospacing="0" w:after="240" w:afterAutospacing="0" w:line="480" w:lineRule="auto"/>
        <w:ind w:left="-280"/>
        <w:jc w:val="both"/>
        <w:rPr>
          <w:rFonts w:ascii="Arial" w:hAnsi="Arial" w:cs="Arial"/>
          <w:b/>
          <w:bCs/>
          <w:color w:val="000000"/>
          <w:sz w:val="22"/>
          <w:szCs w:val="22"/>
          <w:u w:val="single"/>
        </w:rPr>
      </w:pPr>
    </w:p>
    <w:sectPr w:rsidR="004244D9" w:rsidRPr="008F07B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67CA1" w14:textId="77777777" w:rsidR="00B32029" w:rsidRDefault="00B32029" w:rsidP="00A04AE9">
      <w:pPr>
        <w:spacing w:after="0" w:line="240" w:lineRule="auto"/>
      </w:pPr>
      <w:r>
        <w:separator/>
      </w:r>
    </w:p>
  </w:endnote>
  <w:endnote w:type="continuationSeparator" w:id="0">
    <w:p w14:paraId="4694B211" w14:textId="77777777" w:rsidR="00B32029" w:rsidRDefault="00B32029" w:rsidP="00A04A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365A89" w14:textId="77777777" w:rsidR="00B32029" w:rsidRDefault="00B32029" w:rsidP="00A04AE9">
      <w:pPr>
        <w:spacing w:after="0" w:line="240" w:lineRule="auto"/>
      </w:pPr>
      <w:r>
        <w:separator/>
      </w:r>
    </w:p>
  </w:footnote>
  <w:footnote w:type="continuationSeparator" w:id="0">
    <w:p w14:paraId="5FF40BF8" w14:textId="77777777" w:rsidR="00B32029" w:rsidRDefault="00B32029" w:rsidP="00A04A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6A84"/>
    <w:multiLevelType w:val="hybridMultilevel"/>
    <w:tmpl w:val="82044954"/>
    <w:lvl w:ilvl="0" w:tplc="74D22882">
      <w:start w:val="1"/>
      <w:numFmt w:val="decimal"/>
      <w:lvlText w:val="%1)"/>
      <w:lvlJc w:val="left"/>
      <w:pPr>
        <w:ind w:left="80" w:hanging="360"/>
      </w:pPr>
      <w:rPr>
        <w:rFonts w:hint="default"/>
      </w:rPr>
    </w:lvl>
    <w:lvl w:ilvl="1" w:tplc="08090019" w:tentative="1">
      <w:start w:val="1"/>
      <w:numFmt w:val="lowerLetter"/>
      <w:lvlText w:val="%2."/>
      <w:lvlJc w:val="left"/>
      <w:pPr>
        <w:ind w:left="800" w:hanging="360"/>
      </w:pPr>
    </w:lvl>
    <w:lvl w:ilvl="2" w:tplc="0809001B" w:tentative="1">
      <w:start w:val="1"/>
      <w:numFmt w:val="lowerRoman"/>
      <w:lvlText w:val="%3."/>
      <w:lvlJc w:val="right"/>
      <w:pPr>
        <w:ind w:left="1520" w:hanging="180"/>
      </w:pPr>
    </w:lvl>
    <w:lvl w:ilvl="3" w:tplc="0809000F" w:tentative="1">
      <w:start w:val="1"/>
      <w:numFmt w:val="decimal"/>
      <w:lvlText w:val="%4."/>
      <w:lvlJc w:val="left"/>
      <w:pPr>
        <w:ind w:left="2240" w:hanging="360"/>
      </w:pPr>
    </w:lvl>
    <w:lvl w:ilvl="4" w:tplc="08090019" w:tentative="1">
      <w:start w:val="1"/>
      <w:numFmt w:val="lowerLetter"/>
      <w:lvlText w:val="%5."/>
      <w:lvlJc w:val="left"/>
      <w:pPr>
        <w:ind w:left="2960" w:hanging="360"/>
      </w:pPr>
    </w:lvl>
    <w:lvl w:ilvl="5" w:tplc="0809001B" w:tentative="1">
      <w:start w:val="1"/>
      <w:numFmt w:val="lowerRoman"/>
      <w:lvlText w:val="%6."/>
      <w:lvlJc w:val="right"/>
      <w:pPr>
        <w:ind w:left="3680" w:hanging="180"/>
      </w:pPr>
    </w:lvl>
    <w:lvl w:ilvl="6" w:tplc="0809000F" w:tentative="1">
      <w:start w:val="1"/>
      <w:numFmt w:val="decimal"/>
      <w:lvlText w:val="%7."/>
      <w:lvlJc w:val="left"/>
      <w:pPr>
        <w:ind w:left="4400" w:hanging="360"/>
      </w:pPr>
    </w:lvl>
    <w:lvl w:ilvl="7" w:tplc="08090019" w:tentative="1">
      <w:start w:val="1"/>
      <w:numFmt w:val="lowerLetter"/>
      <w:lvlText w:val="%8."/>
      <w:lvlJc w:val="left"/>
      <w:pPr>
        <w:ind w:left="5120" w:hanging="360"/>
      </w:pPr>
    </w:lvl>
    <w:lvl w:ilvl="8" w:tplc="0809001B" w:tentative="1">
      <w:start w:val="1"/>
      <w:numFmt w:val="lowerRoman"/>
      <w:lvlText w:val="%9."/>
      <w:lvlJc w:val="right"/>
      <w:pPr>
        <w:ind w:left="5840" w:hanging="180"/>
      </w:pPr>
    </w:lvl>
  </w:abstractNum>
  <w:abstractNum w:abstractNumId="1" w15:restartNumberingAfterBreak="0">
    <w:nsid w:val="13C47D30"/>
    <w:multiLevelType w:val="hybridMultilevel"/>
    <w:tmpl w:val="D5A00D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6D54F59"/>
    <w:multiLevelType w:val="hybridMultilevel"/>
    <w:tmpl w:val="7A904AFC"/>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 w15:restartNumberingAfterBreak="0">
    <w:nsid w:val="3AA20D8E"/>
    <w:multiLevelType w:val="hybridMultilevel"/>
    <w:tmpl w:val="C96CB71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3C5010BD"/>
    <w:multiLevelType w:val="hybridMultilevel"/>
    <w:tmpl w:val="6F3EFC2E"/>
    <w:lvl w:ilvl="0" w:tplc="27DA37E6">
      <w:start w:val="1"/>
      <w:numFmt w:val="decimal"/>
      <w:lvlText w:val="%1."/>
      <w:lvlJc w:val="left"/>
      <w:pPr>
        <w:ind w:left="360" w:hanging="360"/>
      </w:pPr>
      <w:rPr>
        <w:b w:val="0"/>
        <w:bCs w:val="0"/>
      </w:rPr>
    </w:lvl>
    <w:lvl w:ilvl="1" w:tplc="08090019" w:tentative="1">
      <w:start w:val="1"/>
      <w:numFmt w:val="lowerLetter"/>
      <w:lvlText w:val="%2."/>
      <w:lvlJc w:val="left"/>
      <w:pPr>
        <w:ind w:left="1160" w:hanging="360"/>
      </w:pPr>
    </w:lvl>
    <w:lvl w:ilvl="2" w:tplc="0809001B" w:tentative="1">
      <w:start w:val="1"/>
      <w:numFmt w:val="lowerRoman"/>
      <w:lvlText w:val="%3."/>
      <w:lvlJc w:val="right"/>
      <w:pPr>
        <w:ind w:left="1880" w:hanging="180"/>
      </w:pPr>
    </w:lvl>
    <w:lvl w:ilvl="3" w:tplc="0809000F" w:tentative="1">
      <w:start w:val="1"/>
      <w:numFmt w:val="decimal"/>
      <w:lvlText w:val="%4."/>
      <w:lvlJc w:val="left"/>
      <w:pPr>
        <w:ind w:left="2600" w:hanging="360"/>
      </w:pPr>
    </w:lvl>
    <w:lvl w:ilvl="4" w:tplc="08090019" w:tentative="1">
      <w:start w:val="1"/>
      <w:numFmt w:val="lowerLetter"/>
      <w:lvlText w:val="%5."/>
      <w:lvlJc w:val="left"/>
      <w:pPr>
        <w:ind w:left="3320" w:hanging="360"/>
      </w:pPr>
    </w:lvl>
    <w:lvl w:ilvl="5" w:tplc="0809001B" w:tentative="1">
      <w:start w:val="1"/>
      <w:numFmt w:val="lowerRoman"/>
      <w:lvlText w:val="%6."/>
      <w:lvlJc w:val="right"/>
      <w:pPr>
        <w:ind w:left="4040" w:hanging="180"/>
      </w:pPr>
    </w:lvl>
    <w:lvl w:ilvl="6" w:tplc="0809000F" w:tentative="1">
      <w:start w:val="1"/>
      <w:numFmt w:val="decimal"/>
      <w:lvlText w:val="%7."/>
      <w:lvlJc w:val="left"/>
      <w:pPr>
        <w:ind w:left="4760" w:hanging="360"/>
      </w:pPr>
    </w:lvl>
    <w:lvl w:ilvl="7" w:tplc="08090019" w:tentative="1">
      <w:start w:val="1"/>
      <w:numFmt w:val="lowerLetter"/>
      <w:lvlText w:val="%8."/>
      <w:lvlJc w:val="left"/>
      <w:pPr>
        <w:ind w:left="5480" w:hanging="360"/>
      </w:pPr>
    </w:lvl>
    <w:lvl w:ilvl="8" w:tplc="0809001B" w:tentative="1">
      <w:start w:val="1"/>
      <w:numFmt w:val="lowerRoman"/>
      <w:lvlText w:val="%9."/>
      <w:lvlJc w:val="right"/>
      <w:pPr>
        <w:ind w:left="6200" w:hanging="180"/>
      </w:pPr>
    </w:lvl>
  </w:abstractNum>
  <w:abstractNum w:abstractNumId="5" w15:restartNumberingAfterBreak="0">
    <w:nsid w:val="48842FA0"/>
    <w:multiLevelType w:val="hybridMultilevel"/>
    <w:tmpl w:val="CC00A998"/>
    <w:lvl w:ilvl="0" w:tplc="FFFFFFFF">
      <w:start w:val="1"/>
      <w:numFmt w:val="decimal"/>
      <w:lvlText w:val="%1."/>
      <w:lvlJc w:val="left"/>
      <w:pPr>
        <w:ind w:left="360" w:hanging="360"/>
      </w:pPr>
    </w:lvl>
    <w:lvl w:ilvl="1" w:tplc="08090001">
      <w:numFmt w:val="decimal"/>
      <w:lvlText w:val=""/>
      <w:lvlJc w:val="left"/>
      <w:pPr>
        <w:ind w:left="720" w:hanging="360"/>
      </w:pPr>
      <w:rPr>
        <w:rFonts w:ascii="Symbol" w:hAnsi="Symbol" w:hint="default"/>
      </w:r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6" w15:restartNumberingAfterBreak="0">
    <w:nsid w:val="5C5027F8"/>
    <w:multiLevelType w:val="hybridMultilevel"/>
    <w:tmpl w:val="21F4D4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704557457">
    <w:abstractNumId w:val="0"/>
  </w:num>
  <w:num w:numId="2" w16cid:durableId="2047295546">
    <w:abstractNumId w:val="2"/>
  </w:num>
  <w:num w:numId="3" w16cid:durableId="4814291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65215671">
    <w:abstractNumId w:val="5"/>
  </w:num>
  <w:num w:numId="5" w16cid:durableId="984049379">
    <w:abstractNumId w:val="1"/>
  </w:num>
  <w:num w:numId="6" w16cid:durableId="408768883">
    <w:abstractNumId w:val="6"/>
  </w:num>
  <w:num w:numId="7" w16cid:durableId="14764831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5BE"/>
    <w:rsid w:val="00004B8D"/>
    <w:rsid w:val="00006E63"/>
    <w:rsid w:val="00016C8D"/>
    <w:rsid w:val="000251A7"/>
    <w:rsid w:val="00027997"/>
    <w:rsid w:val="00032336"/>
    <w:rsid w:val="00032399"/>
    <w:rsid w:val="00033C71"/>
    <w:rsid w:val="00035F66"/>
    <w:rsid w:val="00037053"/>
    <w:rsid w:val="00045FCB"/>
    <w:rsid w:val="0005082C"/>
    <w:rsid w:val="00054BB9"/>
    <w:rsid w:val="0005581B"/>
    <w:rsid w:val="000601BF"/>
    <w:rsid w:val="00072929"/>
    <w:rsid w:val="0007655B"/>
    <w:rsid w:val="000765F2"/>
    <w:rsid w:val="00082A65"/>
    <w:rsid w:val="00083F96"/>
    <w:rsid w:val="0008579B"/>
    <w:rsid w:val="000857FF"/>
    <w:rsid w:val="00086686"/>
    <w:rsid w:val="00094A4C"/>
    <w:rsid w:val="0009583A"/>
    <w:rsid w:val="000B0724"/>
    <w:rsid w:val="000B301A"/>
    <w:rsid w:val="000B406F"/>
    <w:rsid w:val="000B5A17"/>
    <w:rsid w:val="000C2E60"/>
    <w:rsid w:val="000C37D7"/>
    <w:rsid w:val="000C483E"/>
    <w:rsid w:val="000C4A94"/>
    <w:rsid w:val="000C589D"/>
    <w:rsid w:val="000C6BD5"/>
    <w:rsid w:val="000D5F6B"/>
    <w:rsid w:val="000E1D7B"/>
    <w:rsid w:val="000E395B"/>
    <w:rsid w:val="000E4639"/>
    <w:rsid w:val="000F1BCF"/>
    <w:rsid w:val="000F1D7B"/>
    <w:rsid w:val="000F2C5D"/>
    <w:rsid w:val="000F40E0"/>
    <w:rsid w:val="000F7F8C"/>
    <w:rsid w:val="001011DE"/>
    <w:rsid w:val="001011EF"/>
    <w:rsid w:val="00102E7F"/>
    <w:rsid w:val="00104115"/>
    <w:rsid w:val="001120D6"/>
    <w:rsid w:val="00120532"/>
    <w:rsid w:val="00122DAB"/>
    <w:rsid w:val="00123AE3"/>
    <w:rsid w:val="001314EC"/>
    <w:rsid w:val="00141C04"/>
    <w:rsid w:val="001440CE"/>
    <w:rsid w:val="00145066"/>
    <w:rsid w:val="00145887"/>
    <w:rsid w:val="00145FE3"/>
    <w:rsid w:val="00147B0A"/>
    <w:rsid w:val="00151331"/>
    <w:rsid w:val="001532FA"/>
    <w:rsid w:val="00171FD6"/>
    <w:rsid w:val="00180805"/>
    <w:rsid w:val="00183ADC"/>
    <w:rsid w:val="001916C0"/>
    <w:rsid w:val="0019521B"/>
    <w:rsid w:val="001A0F82"/>
    <w:rsid w:val="001B2A6F"/>
    <w:rsid w:val="001B5B5A"/>
    <w:rsid w:val="001B77DC"/>
    <w:rsid w:val="001C23F1"/>
    <w:rsid w:val="001C5DA0"/>
    <w:rsid w:val="001C6066"/>
    <w:rsid w:val="001C6191"/>
    <w:rsid w:val="001D11DD"/>
    <w:rsid w:val="001D1D71"/>
    <w:rsid w:val="001D2CF5"/>
    <w:rsid w:val="001D2E23"/>
    <w:rsid w:val="001D6EA8"/>
    <w:rsid w:val="001E06B6"/>
    <w:rsid w:val="001E11D6"/>
    <w:rsid w:val="001E1DBD"/>
    <w:rsid w:val="001E3540"/>
    <w:rsid w:val="001E435E"/>
    <w:rsid w:val="001E4FEC"/>
    <w:rsid w:val="001E5389"/>
    <w:rsid w:val="001F4774"/>
    <w:rsid w:val="001F582C"/>
    <w:rsid w:val="001F7426"/>
    <w:rsid w:val="002013DC"/>
    <w:rsid w:val="002068D8"/>
    <w:rsid w:val="00212F18"/>
    <w:rsid w:val="00214BAD"/>
    <w:rsid w:val="0022135C"/>
    <w:rsid w:val="002213FA"/>
    <w:rsid w:val="00221465"/>
    <w:rsid w:val="00223746"/>
    <w:rsid w:val="002278E6"/>
    <w:rsid w:val="002321CD"/>
    <w:rsid w:val="002324C3"/>
    <w:rsid w:val="00237F32"/>
    <w:rsid w:val="0024011F"/>
    <w:rsid w:val="002428F2"/>
    <w:rsid w:val="00243103"/>
    <w:rsid w:val="00243722"/>
    <w:rsid w:val="00243F72"/>
    <w:rsid w:val="00244903"/>
    <w:rsid w:val="00251A90"/>
    <w:rsid w:val="00253B49"/>
    <w:rsid w:val="00261BC6"/>
    <w:rsid w:val="002632F8"/>
    <w:rsid w:val="002734F0"/>
    <w:rsid w:val="00275047"/>
    <w:rsid w:val="002809E7"/>
    <w:rsid w:val="00280BC2"/>
    <w:rsid w:val="0028286A"/>
    <w:rsid w:val="00283551"/>
    <w:rsid w:val="002939E5"/>
    <w:rsid w:val="0029404D"/>
    <w:rsid w:val="002A2FA9"/>
    <w:rsid w:val="002B104D"/>
    <w:rsid w:val="002C06D8"/>
    <w:rsid w:val="002C23D7"/>
    <w:rsid w:val="002C2F7F"/>
    <w:rsid w:val="002C3303"/>
    <w:rsid w:val="002C6977"/>
    <w:rsid w:val="002C6F8E"/>
    <w:rsid w:val="002D03BC"/>
    <w:rsid w:val="002D3F02"/>
    <w:rsid w:val="002E73F2"/>
    <w:rsid w:val="002E7A0F"/>
    <w:rsid w:val="002F0BB1"/>
    <w:rsid w:val="002F354C"/>
    <w:rsid w:val="002F5D0F"/>
    <w:rsid w:val="00302EED"/>
    <w:rsid w:val="00303735"/>
    <w:rsid w:val="003056F6"/>
    <w:rsid w:val="00305DD2"/>
    <w:rsid w:val="00322526"/>
    <w:rsid w:val="00322FAB"/>
    <w:rsid w:val="00331377"/>
    <w:rsid w:val="00337F46"/>
    <w:rsid w:val="00341E67"/>
    <w:rsid w:val="00343D34"/>
    <w:rsid w:val="003441DA"/>
    <w:rsid w:val="00346387"/>
    <w:rsid w:val="00350DD7"/>
    <w:rsid w:val="003519A2"/>
    <w:rsid w:val="00356A44"/>
    <w:rsid w:val="00360075"/>
    <w:rsid w:val="003609EA"/>
    <w:rsid w:val="0036382E"/>
    <w:rsid w:val="00375B43"/>
    <w:rsid w:val="0037676D"/>
    <w:rsid w:val="00376F21"/>
    <w:rsid w:val="0038053F"/>
    <w:rsid w:val="00383975"/>
    <w:rsid w:val="00385489"/>
    <w:rsid w:val="0039014D"/>
    <w:rsid w:val="003923EA"/>
    <w:rsid w:val="003A0E19"/>
    <w:rsid w:val="003A10DF"/>
    <w:rsid w:val="003A1A93"/>
    <w:rsid w:val="003A722F"/>
    <w:rsid w:val="003B36BB"/>
    <w:rsid w:val="003B4565"/>
    <w:rsid w:val="003C0353"/>
    <w:rsid w:val="003C3DE2"/>
    <w:rsid w:val="003C4645"/>
    <w:rsid w:val="003C5011"/>
    <w:rsid w:val="003C7022"/>
    <w:rsid w:val="003D1BB6"/>
    <w:rsid w:val="003D1DEE"/>
    <w:rsid w:val="003D3287"/>
    <w:rsid w:val="003D349F"/>
    <w:rsid w:val="003D53B7"/>
    <w:rsid w:val="003F4740"/>
    <w:rsid w:val="00406534"/>
    <w:rsid w:val="00411D41"/>
    <w:rsid w:val="00411F43"/>
    <w:rsid w:val="00413065"/>
    <w:rsid w:val="00415440"/>
    <w:rsid w:val="00416E46"/>
    <w:rsid w:val="0042083C"/>
    <w:rsid w:val="004244D9"/>
    <w:rsid w:val="0042698E"/>
    <w:rsid w:val="00435BBD"/>
    <w:rsid w:val="00444AFC"/>
    <w:rsid w:val="0044683B"/>
    <w:rsid w:val="00455050"/>
    <w:rsid w:val="00457F73"/>
    <w:rsid w:val="00463221"/>
    <w:rsid w:val="00465EF5"/>
    <w:rsid w:val="00466BAC"/>
    <w:rsid w:val="004723BD"/>
    <w:rsid w:val="00476436"/>
    <w:rsid w:val="00476A30"/>
    <w:rsid w:val="00484AD8"/>
    <w:rsid w:val="00490DC5"/>
    <w:rsid w:val="00493EDB"/>
    <w:rsid w:val="00495F52"/>
    <w:rsid w:val="004964F3"/>
    <w:rsid w:val="004A2709"/>
    <w:rsid w:val="004A3C2D"/>
    <w:rsid w:val="004B1E21"/>
    <w:rsid w:val="004B453F"/>
    <w:rsid w:val="004B5A2B"/>
    <w:rsid w:val="004C02C0"/>
    <w:rsid w:val="004C198A"/>
    <w:rsid w:val="004C36CD"/>
    <w:rsid w:val="004C6A15"/>
    <w:rsid w:val="004C6CF0"/>
    <w:rsid w:val="004C7DBE"/>
    <w:rsid w:val="004D331E"/>
    <w:rsid w:val="004D3627"/>
    <w:rsid w:val="004E1DE9"/>
    <w:rsid w:val="004E20F5"/>
    <w:rsid w:val="004F27BA"/>
    <w:rsid w:val="004F4F01"/>
    <w:rsid w:val="00502206"/>
    <w:rsid w:val="00503F50"/>
    <w:rsid w:val="00506FFD"/>
    <w:rsid w:val="00512C2B"/>
    <w:rsid w:val="00512F5D"/>
    <w:rsid w:val="005202A7"/>
    <w:rsid w:val="00523485"/>
    <w:rsid w:val="00527FFA"/>
    <w:rsid w:val="0053164C"/>
    <w:rsid w:val="00533FC4"/>
    <w:rsid w:val="00535540"/>
    <w:rsid w:val="00537360"/>
    <w:rsid w:val="00542210"/>
    <w:rsid w:val="00544E23"/>
    <w:rsid w:val="00545BDE"/>
    <w:rsid w:val="0054723E"/>
    <w:rsid w:val="00550BF2"/>
    <w:rsid w:val="00554AC1"/>
    <w:rsid w:val="00555182"/>
    <w:rsid w:val="00555D93"/>
    <w:rsid w:val="00561104"/>
    <w:rsid w:val="00561BF1"/>
    <w:rsid w:val="00563A77"/>
    <w:rsid w:val="00570C83"/>
    <w:rsid w:val="00571E96"/>
    <w:rsid w:val="00572F90"/>
    <w:rsid w:val="0057300B"/>
    <w:rsid w:val="005748EB"/>
    <w:rsid w:val="0057732F"/>
    <w:rsid w:val="00584786"/>
    <w:rsid w:val="00586DEA"/>
    <w:rsid w:val="0058745C"/>
    <w:rsid w:val="00594E5C"/>
    <w:rsid w:val="00595B22"/>
    <w:rsid w:val="005A3B98"/>
    <w:rsid w:val="005A78C8"/>
    <w:rsid w:val="005B1462"/>
    <w:rsid w:val="005B2763"/>
    <w:rsid w:val="005B38C1"/>
    <w:rsid w:val="005B4B29"/>
    <w:rsid w:val="005B5328"/>
    <w:rsid w:val="005B69D2"/>
    <w:rsid w:val="005C7411"/>
    <w:rsid w:val="005D036A"/>
    <w:rsid w:val="005D04EC"/>
    <w:rsid w:val="005D72B4"/>
    <w:rsid w:val="005D73EC"/>
    <w:rsid w:val="005E2735"/>
    <w:rsid w:val="005E2A47"/>
    <w:rsid w:val="005E4AEE"/>
    <w:rsid w:val="005F247A"/>
    <w:rsid w:val="005F4392"/>
    <w:rsid w:val="005F50E8"/>
    <w:rsid w:val="00610DEE"/>
    <w:rsid w:val="00630493"/>
    <w:rsid w:val="00631BF8"/>
    <w:rsid w:val="006414C2"/>
    <w:rsid w:val="00641B16"/>
    <w:rsid w:val="0064457A"/>
    <w:rsid w:val="0064604C"/>
    <w:rsid w:val="00646DB1"/>
    <w:rsid w:val="006500ED"/>
    <w:rsid w:val="0066658B"/>
    <w:rsid w:val="00667CF2"/>
    <w:rsid w:val="00675118"/>
    <w:rsid w:val="00676CA3"/>
    <w:rsid w:val="00680E11"/>
    <w:rsid w:val="00683705"/>
    <w:rsid w:val="00685DA5"/>
    <w:rsid w:val="00694798"/>
    <w:rsid w:val="006957B1"/>
    <w:rsid w:val="006973A9"/>
    <w:rsid w:val="00697564"/>
    <w:rsid w:val="006A3BEB"/>
    <w:rsid w:val="006A7339"/>
    <w:rsid w:val="006B08C1"/>
    <w:rsid w:val="006B5EDA"/>
    <w:rsid w:val="006C06FF"/>
    <w:rsid w:val="006D1953"/>
    <w:rsid w:val="006D36A5"/>
    <w:rsid w:val="006D44BB"/>
    <w:rsid w:val="006D4F39"/>
    <w:rsid w:val="006D7B62"/>
    <w:rsid w:val="006E2450"/>
    <w:rsid w:val="006E482C"/>
    <w:rsid w:val="006E6B65"/>
    <w:rsid w:val="006F3B6E"/>
    <w:rsid w:val="006F5369"/>
    <w:rsid w:val="006F5549"/>
    <w:rsid w:val="006F57E5"/>
    <w:rsid w:val="00700566"/>
    <w:rsid w:val="007025CD"/>
    <w:rsid w:val="00710F98"/>
    <w:rsid w:val="0071653C"/>
    <w:rsid w:val="00716639"/>
    <w:rsid w:val="00717346"/>
    <w:rsid w:val="0071763E"/>
    <w:rsid w:val="00717EF1"/>
    <w:rsid w:val="00726729"/>
    <w:rsid w:val="00727C49"/>
    <w:rsid w:val="00727FE5"/>
    <w:rsid w:val="007333E1"/>
    <w:rsid w:val="00733A97"/>
    <w:rsid w:val="00746D6F"/>
    <w:rsid w:val="00747514"/>
    <w:rsid w:val="007505BE"/>
    <w:rsid w:val="00753300"/>
    <w:rsid w:val="00757E55"/>
    <w:rsid w:val="0076207C"/>
    <w:rsid w:val="00763849"/>
    <w:rsid w:val="007702DF"/>
    <w:rsid w:val="007710D5"/>
    <w:rsid w:val="00771D59"/>
    <w:rsid w:val="00772EEC"/>
    <w:rsid w:val="007745A7"/>
    <w:rsid w:val="007747D3"/>
    <w:rsid w:val="00775288"/>
    <w:rsid w:val="00775DB4"/>
    <w:rsid w:val="007815BA"/>
    <w:rsid w:val="00782B84"/>
    <w:rsid w:val="0078461C"/>
    <w:rsid w:val="00795236"/>
    <w:rsid w:val="007960DB"/>
    <w:rsid w:val="007A3500"/>
    <w:rsid w:val="007A3AB3"/>
    <w:rsid w:val="007A3EE7"/>
    <w:rsid w:val="007B26CB"/>
    <w:rsid w:val="007B5629"/>
    <w:rsid w:val="007B7244"/>
    <w:rsid w:val="007C5C5E"/>
    <w:rsid w:val="007C685E"/>
    <w:rsid w:val="007D11C1"/>
    <w:rsid w:val="007D469B"/>
    <w:rsid w:val="007D5F92"/>
    <w:rsid w:val="007E11D1"/>
    <w:rsid w:val="007E4D09"/>
    <w:rsid w:val="007F16B4"/>
    <w:rsid w:val="008023E4"/>
    <w:rsid w:val="008066B4"/>
    <w:rsid w:val="008158F7"/>
    <w:rsid w:val="008207ED"/>
    <w:rsid w:val="00820C70"/>
    <w:rsid w:val="00830E61"/>
    <w:rsid w:val="00831F8A"/>
    <w:rsid w:val="00832C05"/>
    <w:rsid w:val="008352ED"/>
    <w:rsid w:val="0083703A"/>
    <w:rsid w:val="008404D5"/>
    <w:rsid w:val="008431F4"/>
    <w:rsid w:val="00844D4D"/>
    <w:rsid w:val="0084739A"/>
    <w:rsid w:val="00847E1C"/>
    <w:rsid w:val="00847E65"/>
    <w:rsid w:val="00863C61"/>
    <w:rsid w:val="00863CEF"/>
    <w:rsid w:val="00864A27"/>
    <w:rsid w:val="00873207"/>
    <w:rsid w:val="0087545A"/>
    <w:rsid w:val="00875E44"/>
    <w:rsid w:val="00880444"/>
    <w:rsid w:val="00884F4B"/>
    <w:rsid w:val="00890F5E"/>
    <w:rsid w:val="0089214D"/>
    <w:rsid w:val="00892B7B"/>
    <w:rsid w:val="0089459E"/>
    <w:rsid w:val="008A3F7F"/>
    <w:rsid w:val="008A7D82"/>
    <w:rsid w:val="008B0631"/>
    <w:rsid w:val="008B1078"/>
    <w:rsid w:val="008B251C"/>
    <w:rsid w:val="008C1909"/>
    <w:rsid w:val="008C3916"/>
    <w:rsid w:val="008C6F11"/>
    <w:rsid w:val="008D2EDE"/>
    <w:rsid w:val="008D48D2"/>
    <w:rsid w:val="008E2F1F"/>
    <w:rsid w:val="008E2F7A"/>
    <w:rsid w:val="008E3F16"/>
    <w:rsid w:val="008E4CCC"/>
    <w:rsid w:val="008F07BA"/>
    <w:rsid w:val="008F24B1"/>
    <w:rsid w:val="008F33DD"/>
    <w:rsid w:val="008F3FC0"/>
    <w:rsid w:val="008F644B"/>
    <w:rsid w:val="00900DF3"/>
    <w:rsid w:val="00904F54"/>
    <w:rsid w:val="00906CC4"/>
    <w:rsid w:val="00913979"/>
    <w:rsid w:val="00913A20"/>
    <w:rsid w:val="00915170"/>
    <w:rsid w:val="009162C5"/>
    <w:rsid w:val="00916C8D"/>
    <w:rsid w:val="00922C45"/>
    <w:rsid w:val="00931E29"/>
    <w:rsid w:val="009333C6"/>
    <w:rsid w:val="00934157"/>
    <w:rsid w:val="0093494E"/>
    <w:rsid w:val="00935E3E"/>
    <w:rsid w:val="009405C4"/>
    <w:rsid w:val="00941ABD"/>
    <w:rsid w:val="00942CA2"/>
    <w:rsid w:val="009515D3"/>
    <w:rsid w:val="009535E2"/>
    <w:rsid w:val="00963592"/>
    <w:rsid w:val="009637B3"/>
    <w:rsid w:val="00965AF3"/>
    <w:rsid w:val="00966D14"/>
    <w:rsid w:val="009727E8"/>
    <w:rsid w:val="00974C79"/>
    <w:rsid w:val="0097597B"/>
    <w:rsid w:val="0098081B"/>
    <w:rsid w:val="0098417F"/>
    <w:rsid w:val="00987BA8"/>
    <w:rsid w:val="00987D38"/>
    <w:rsid w:val="0099449E"/>
    <w:rsid w:val="0099724A"/>
    <w:rsid w:val="009A02BE"/>
    <w:rsid w:val="009A107C"/>
    <w:rsid w:val="009A20E2"/>
    <w:rsid w:val="009A76DB"/>
    <w:rsid w:val="009A7FCF"/>
    <w:rsid w:val="009B3EFB"/>
    <w:rsid w:val="009B4103"/>
    <w:rsid w:val="009B7968"/>
    <w:rsid w:val="009C20F0"/>
    <w:rsid w:val="009C25E3"/>
    <w:rsid w:val="009C6998"/>
    <w:rsid w:val="009C7158"/>
    <w:rsid w:val="009D0FC9"/>
    <w:rsid w:val="009D2C75"/>
    <w:rsid w:val="009F02EE"/>
    <w:rsid w:val="009F30BF"/>
    <w:rsid w:val="009F518D"/>
    <w:rsid w:val="009F6660"/>
    <w:rsid w:val="009F7402"/>
    <w:rsid w:val="00A04AE9"/>
    <w:rsid w:val="00A07464"/>
    <w:rsid w:val="00A2032D"/>
    <w:rsid w:val="00A22A7B"/>
    <w:rsid w:val="00A256C4"/>
    <w:rsid w:val="00A2574A"/>
    <w:rsid w:val="00A26A4F"/>
    <w:rsid w:val="00A30764"/>
    <w:rsid w:val="00A30BB8"/>
    <w:rsid w:val="00A30D1B"/>
    <w:rsid w:val="00A316B8"/>
    <w:rsid w:val="00A461A6"/>
    <w:rsid w:val="00A476D0"/>
    <w:rsid w:val="00A52FD1"/>
    <w:rsid w:val="00A57BAA"/>
    <w:rsid w:val="00A607C0"/>
    <w:rsid w:val="00A62133"/>
    <w:rsid w:val="00A625F6"/>
    <w:rsid w:val="00A6414D"/>
    <w:rsid w:val="00A67EE8"/>
    <w:rsid w:val="00A7105D"/>
    <w:rsid w:val="00A808A8"/>
    <w:rsid w:val="00A827B9"/>
    <w:rsid w:val="00A82EF2"/>
    <w:rsid w:val="00A8388C"/>
    <w:rsid w:val="00AA1856"/>
    <w:rsid w:val="00AA1F1B"/>
    <w:rsid w:val="00AB0C4E"/>
    <w:rsid w:val="00AC2510"/>
    <w:rsid w:val="00AD4634"/>
    <w:rsid w:val="00AD47C4"/>
    <w:rsid w:val="00AD562A"/>
    <w:rsid w:val="00AD6368"/>
    <w:rsid w:val="00AD6D46"/>
    <w:rsid w:val="00AE0007"/>
    <w:rsid w:val="00AE19AC"/>
    <w:rsid w:val="00AE3E02"/>
    <w:rsid w:val="00AF0E63"/>
    <w:rsid w:val="00AF13B9"/>
    <w:rsid w:val="00AF211F"/>
    <w:rsid w:val="00AF2276"/>
    <w:rsid w:val="00AF2E4C"/>
    <w:rsid w:val="00AF7F48"/>
    <w:rsid w:val="00B00B6E"/>
    <w:rsid w:val="00B03701"/>
    <w:rsid w:val="00B03C79"/>
    <w:rsid w:val="00B05247"/>
    <w:rsid w:val="00B12E75"/>
    <w:rsid w:val="00B17974"/>
    <w:rsid w:val="00B17D49"/>
    <w:rsid w:val="00B2680C"/>
    <w:rsid w:val="00B32029"/>
    <w:rsid w:val="00B33CA3"/>
    <w:rsid w:val="00B36387"/>
    <w:rsid w:val="00B4659D"/>
    <w:rsid w:val="00B549C7"/>
    <w:rsid w:val="00B61C2E"/>
    <w:rsid w:val="00B632C8"/>
    <w:rsid w:val="00B74F7A"/>
    <w:rsid w:val="00B75144"/>
    <w:rsid w:val="00B77592"/>
    <w:rsid w:val="00B800E0"/>
    <w:rsid w:val="00B8209D"/>
    <w:rsid w:val="00B90F50"/>
    <w:rsid w:val="00B93BBF"/>
    <w:rsid w:val="00B95452"/>
    <w:rsid w:val="00B96364"/>
    <w:rsid w:val="00BA2191"/>
    <w:rsid w:val="00BA6AEF"/>
    <w:rsid w:val="00BB0E5B"/>
    <w:rsid w:val="00BB3E1C"/>
    <w:rsid w:val="00BB522F"/>
    <w:rsid w:val="00BB5468"/>
    <w:rsid w:val="00BB7D68"/>
    <w:rsid w:val="00BC0BF9"/>
    <w:rsid w:val="00BC2D1D"/>
    <w:rsid w:val="00BC3400"/>
    <w:rsid w:val="00BD125C"/>
    <w:rsid w:val="00BD483F"/>
    <w:rsid w:val="00BD51D4"/>
    <w:rsid w:val="00BD5AA4"/>
    <w:rsid w:val="00BD758C"/>
    <w:rsid w:val="00BE0948"/>
    <w:rsid w:val="00BE5BFA"/>
    <w:rsid w:val="00BF4385"/>
    <w:rsid w:val="00BF70B6"/>
    <w:rsid w:val="00C01BE1"/>
    <w:rsid w:val="00C0277E"/>
    <w:rsid w:val="00C073A5"/>
    <w:rsid w:val="00C11DAE"/>
    <w:rsid w:val="00C17FB2"/>
    <w:rsid w:val="00C27554"/>
    <w:rsid w:val="00C3090C"/>
    <w:rsid w:val="00C329B7"/>
    <w:rsid w:val="00C35292"/>
    <w:rsid w:val="00C36FA5"/>
    <w:rsid w:val="00C46E60"/>
    <w:rsid w:val="00C60743"/>
    <w:rsid w:val="00C608C0"/>
    <w:rsid w:val="00C614BE"/>
    <w:rsid w:val="00C6463A"/>
    <w:rsid w:val="00C6623B"/>
    <w:rsid w:val="00C71751"/>
    <w:rsid w:val="00C7179A"/>
    <w:rsid w:val="00C71A9C"/>
    <w:rsid w:val="00C75C3C"/>
    <w:rsid w:val="00C7626E"/>
    <w:rsid w:val="00C763FC"/>
    <w:rsid w:val="00C81A94"/>
    <w:rsid w:val="00C81CA0"/>
    <w:rsid w:val="00C94304"/>
    <w:rsid w:val="00C94341"/>
    <w:rsid w:val="00C9489F"/>
    <w:rsid w:val="00CA0438"/>
    <w:rsid w:val="00CA178D"/>
    <w:rsid w:val="00CA3A5C"/>
    <w:rsid w:val="00CA4434"/>
    <w:rsid w:val="00CA55DB"/>
    <w:rsid w:val="00CB4235"/>
    <w:rsid w:val="00CC17F6"/>
    <w:rsid w:val="00CC4A1B"/>
    <w:rsid w:val="00CD7F67"/>
    <w:rsid w:val="00CE21FC"/>
    <w:rsid w:val="00CE2A67"/>
    <w:rsid w:val="00CE5119"/>
    <w:rsid w:val="00CE7A78"/>
    <w:rsid w:val="00CE7B4E"/>
    <w:rsid w:val="00CF10D2"/>
    <w:rsid w:val="00CF3067"/>
    <w:rsid w:val="00CF3920"/>
    <w:rsid w:val="00CF5C91"/>
    <w:rsid w:val="00D00355"/>
    <w:rsid w:val="00D02EEF"/>
    <w:rsid w:val="00D06EC0"/>
    <w:rsid w:val="00D162D6"/>
    <w:rsid w:val="00D17DFE"/>
    <w:rsid w:val="00D22A6E"/>
    <w:rsid w:val="00D375A6"/>
    <w:rsid w:val="00D40D5D"/>
    <w:rsid w:val="00D423D5"/>
    <w:rsid w:val="00D44454"/>
    <w:rsid w:val="00D45C45"/>
    <w:rsid w:val="00D5037C"/>
    <w:rsid w:val="00D6539D"/>
    <w:rsid w:val="00D67D06"/>
    <w:rsid w:val="00D72545"/>
    <w:rsid w:val="00D72E6E"/>
    <w:rsid w:val="00D74DC6"/>
    <w:rsid w:val="00D758B7"/>
    <w:rsid w:val="00D808E0"/>
    <w:rsid w:val="00D8528D"/>
    <w:rsid w:val="00D85CFD"/>
    <w:rsid w:val="00D95CAB"/>
    <w:rsid w:val="00DA24BE"/>
    <w:rsid w:val="00DA2594"/>
    <w:rsid w:val="00DA388C"/>
    <w:rsid w:val="00DA4473"/>
    <w:rsid w:val="00DA6F61"/>
    <w:rsid w:val="00DB2EC4"/>
    <w:rsid w:val="00DB4E21"/>
    <w:rsid w:val="00DB5A99"/>
    <w:rsid w:val="00DB703B"/>
    <w:rsid w:val="00DC12E5"/>
    <w:rsid w:val="00DC14EF"/>
    <w:rsid w:val="00DC42F2"/>
    <w:rsid w:val="00DD115F"/>
    <w:rsid w:val="00DE0128"/>
    <w:rsid w:val="00DE0227"/>
    <w:rsid w:val="00DE1CEB"/>
    <w:rsid w:val="00DE2A24"/>
    <w:rsid w:val="00DE2F31"/>
    <w:rsid w:val="00DE6EE1"/>
    <w:rsid w:val="00DF3DF7"/>
    <w:rsid w:val="00DF559F"/>
    <w:rsid w:val="00E03A15"/>
    <w:rsid w:val="00E03D37"/>
    <w:rsid w:val="00E126AC"/>
    <w:rsid w:val="00E1295D"/>
    <w:rsid w:val="00E14929"/>
    <w:rsid w:val="00E153C7"/>
    <w:rsid w:val="00E17422"/>
    <w:rsid w:val="00E20232"/>
    <w:rsid w:val="00E22160"/>
    <w:rsid w:val="00E2219C"/>
    <w:rsid w:val="00E22AA9"/>
    <w:rsid w:val="00E2589A"/>
    <w:rsid w:val="00E26FC8"/>
    <w:rsid w:val="00E336CB"/>
    <w:rsid w:val="00E435A1"/>
    <w:rsid w:val="00E44A35"/>
    <w:rsid w:val="00E45111"/>
    <w:rsid w:val="00E45ACF"/>
    <w:rsid w:val="00E50CC1"/>
    <w:rsid w:val="00E54C56"/>
    <w:rsid w:val="00E576A6"/>
    <w:rsid w:val="00E6073E"/>
    <w:rsid w:val="00E612B4"/>
    <w:rsid w:val="00E62C9E"/>
    <w:rsid w:val="00E63BD6"/>
    <w:rsid w:val="00E659A4"/>
    <w:rsid w:val="00E66748"/>
    <w:rsid w:val="00E671D7"/>
    <w:rsid w:val="00E67A1B"/>
    <w:rsid w:val="00E72B75"/>
    <w:rsid w:val="00E75C64"/>
    <w:rsid w:val="00E75F6C"/>
    <w:rsid w:val="00E812D9"/>
    <w:rsid w:val="00E817EF"/>
    <w:rsid w:val="00E83B12"/>
    <w:rsid w:val="00E85DB6"/>
    <w:rsid w:val="00EA349F"/>
    <w:rsid w:val="00EA522A"/>
    <w:rsid w:val="00EA70F5"/>
    <w:rsid w:val="00EB20B8"/>
    <w:rsid w:val="00EC4F8E"/>
    <w:rsid w:val="00ED6251"/>
    <w:rsid w:val="00EF265C"/>
    <w:rsid w:val="00EF2BB1"/>
    <w:rsid w:val="00EF6031"/>
    <w:rsid w:val="00F01959"/>
    <w:rsid w:val="00F06100"/>
    <w:rsid w:val="00F06938"/>
    <w:rsid w:val="00F07FC3"/>
    <w:rsid w:val="00F11029"/>
    <w:rsid w:val="00F16397"/>
    <w:rsid w:val="00F179C8"/>
    <w:rsid w:val="00F20B68"/>
    <w:rsid w:val="00F258F1"/>
    <w:rsid w:val="00F2747F"/>
    <w:rsid w:val="00F33E7C"/>
    <w:rsid w:val="00F345A2"/>
    <w:rsid w:val="00F4078A"/>
    <w:rsid w:val="00F4126F"/>
    <w:rsid w:val="00F4172C"/>
    <w:rsid w:val="00F45F8F"/>
    <w:rsid w:val="00F46724"/>
    <w:rsid w:val="00F507C2"/>
    <w:rsid w:val="00F5120B"/>
    <w:rsid w:val="00F5422D"/>
    <w:rsid w:val="00F679E0"/>
    <w:rsid w:val="00F821F7"/>
    <w:rsid w:val="00F84344"/>
    <w:rsid w:val="00F85C2B"/>
    <w:rsid w:val="00F862A2"/>
    <w:rsid w:val="00F87950"/>
    <w:rsid w:val="00FA13CF"/>
    <w:rsid w:val="00FA258A"/>
    <w:rsid w:val="00FA34D1"/>
    <w:rsid w:val="00FA54E4"/>
    <w:rsid w:val="00FB3713"/>
    <w:rsid w:val="00FC1285"/>
    <w:rsid w:val="00FC1FAB"/>
    <w:rsid w:val="00FC2370"/>
    <w:rsid w:val="00FC4C60"/>
    <w:rsid w:val="00FD15CB"/>
    <w:rsid w:val="00FD2D5E"/>
    <w:rsid w:val="00FD3050"/>
    <w:rsid w:val="00FD3B2C"/>
    <w:rsid w:val="00FD5E91"/>
    <w:rsid w:val="00FD63F8"/>
    <w:rsid w:val="00FD6CFA"/>
    <w:rsid w:val="00FE075B"/>
    <w:rsid w:val="00FE1A6E"/>
    <w:rsid w:val="00FE321B"/>
    <w:rsid w:val="00FF78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42430"/>
  <w15:docId w15:val="{21FF9CC2-4225-48F7-A64F-C21300670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E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505B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apple-tab-span">
    <w:name w:val="apple-tab-span"/>
    <w:basedOn w:val="DefaultParagraphFont"/>
    <w:rsid w:val="007505BE"/>
  </w:style>
  <w:style w:type="character" w:customStyle="1" w:styleId="Title1">
    <w:name w:val="Title1"/>
    <w:basedOn w:val="DefaultParagraphFont"/>
    <w:rsid w:val="0005581B"/>
  </w:style>
  <w:style w:type="character" w:customStyle="1" w:styleId="year">
    <w:name w:val="year"/>
    <w:basedOn w:val="DefaultParagraphFont"/>
    <w:rsid w:val="0005581B"/>
  </w:style>
  <w:style w:type="character" w:styleId="Hyperlink">
    <w:name w:val="Hyperlink"/>
    <w:basedOn w:val="DefaultParagraphFont"/>
    <w:uiPriority w:val="99"/>
    <w:unhideWhenUsed/>
    <w:rsid w:val="006957B1"/>
    <w:rPr>
      <w:color w:val="0563C1" w:themeColor="hyperlink"/>
      <w:u w:val="single"/>
    </w:rPr>
  </w:style>
  <w:style w:type="character" w:styleId="UnresolvedMention">
    <w:name w:val="Unresolved Mention"/>
    <w:basedOn w:val="DefaultParagraphFont"/>
    <w:uiPriority w:val="99"/>
    <w:semiHidden/>
    <w:unhideWhenUsed/>
    <w:rsid w:val="006957B1"/>
    <w:rPr>
      <w:color w:val="605E5C"/>
      <w:shd w:val="clear" w:color="auto" w:fill="E1DFDD"/>
    </w:rPr>
  </w:style>
  <w:style w:type="character" w:styleId="CommentReference">
    <w:name w:val="annotation reference"/>
    <w:basedOn w:val="DefaultParagraphFont"/>
    <w:uiPriority w:val="99"/>
    <w:semiHidden/>
    <w:unhideWhenUsed/>
    <w:rsid w:val="005B1462"/>
    <w:rPr>
      <w:sz w:val="16"/>
      <w:szCs w:val="16"/>
    </w:rPr>
  </w:style>
  <w:style w:type="paragraph" w:styleId="CommentText">
    <w:name w:val="annotation text"/>
    <w:basedOn w:val="Normal"/>
    <w:link w:val="CommentTextChar"/>
    <w:uiPriority w:val="99"/>
    <w:unhideWhenUsed/>
    <w:rsid w:val="005B1462"/>
    <w:pPr>
      <w:spacing w:line="240" w:lineRule="auto"/>
    </w:pPr>
    <w:rPr>
      <w:sz w:val="20"/>
      <w:szCs w:val="20"/>
    </w:rPr>
  </w:style>
  <w:style w:type="character" w:customStyle="1" w:styleId="CommentTextChar">
    <w:name w:val="Comment Text Char"/>
    <w:basedOn w:val="DefaultParagraphFont"/>
    <w:link w:val="CommentText"/>
    <w:uiPriority w:val="99"/>
    <w:rsid w:val="005B1462"/>
    <w:rPr>
      <w:sz w:val="20"/>
      <w:szCs w:val="20"/>
    </w:rPr>
  </w:style>
  <w:style w:type="paragraph" w:styleId="CommentSubject">
    <w:name w:val="annotation subject"/>
    <w:basedOn w:val="CommentText"/>
    <w:next w:val="CommentText"/>
    <w:link w:val="CommentSubjectChar"/>
    <w:uiPriority w:val="99"/>
    <w:semiHidden/>
    <w:unhideWhenUsed/>
    <w:rsid w:val="005B1462"/>
    <w:rPr>
      <w:b/>
      <w:bCs/>
    </w:rPr>
  </w:style>
  <w:style w:type="character" w:customStyle="1" w:styleId="CommentSubjectChar">
    <w:name w:val="Comment Subject Char"/>
    <w:basedOn w:val="CommentTextChar"/>
    <w:link w:val="CommentSubject"/>
    <w:uiPriority w:val="99"/>
    <w:semiHidden/>
    <w:rsid w:val="005B1462"/>
    <w:rPr>
      <w:b/>
      <w:bCs/>
      <w:sz w:val="20"/>
      <w:szCs w:val="20"/>
    </w:rPr>
  </w:style>
  <w:style w:type="paragraph" w:styleId="Bibliography">
    <w:name w:val="Bibliography"/>
    <w:basedOn w:val="Normal"/>
    <w:next w:val="Normal"/>
    <w:uiPriority w:val="37"/>
    <w:unhideWhenUsed/>
    <w:rsid w:val="005202A7"/>
    <w:pPr>
      <w:tabs>
        <w:tab w:val="left" w:pos="384"/>
      </w:tabs>
      <w:spacing w:after="0" w:line="480" w:lineRule="auto"/>
      <w:ind w:left="384" w:hanging="384"/>
    </w:pPr>
  </w:style>
  <w:style w:type="character" w:customStyle="1" w:styleId="markedcontent">
    <w:name w:val="markedcontent"/>
    <w:basedOn w:val="DefaultParagraphFont"/>
    <w:rsid w:val="00B632C8"/>
  </w:style>
  <w:style w:type="paragraph" w:styleId="ListParagraph">
    <w:name w:val="List Paragraph"/>
    <w:basedOn w:val="Normal"/>
    <w:uiPriority w:val="34"/>
    <w:qFormat/>
    <w:rsid w:val="00FC2370"/>
    <w:pPr>
      <w:ind w:left="720"/>
      <w:contextualSpacing/>
    </w:pPr>
  </w:style>
  <w:style w:type="paragraph" w:styleId="Revision">
    <w:name w:val="Revision"/>
    <w:hidden/>
    <w:uiPriority w:val="99"/>
    <w:semiHidden/>
    <w:rsid w:val="008E2F7A"/>
    <w:pPr>
      <w:spacing w:after="0" w:line="240" w:lineRule="auto"/>
    </w:pPr>
  </w:style>
  <w:style w:type="table" w:styleId="TableGrid">
    <w:name w:val="Table Grid"/>
    <w:basedOn w:val="TableNormal"/>
    <w:uiPriority w:val="39"/>
    <w:rsid w:val="00900DF3"/>
    <w:pPr>
      <w:spacing w:after="0" w:line="240" w:lineRule="auto"/>
    </w:pPr>
    <w:rPr>
      <w:rFonts w:eastAsiaTheme="minorEastAsia"/>
      <w:sz w:val="21"/>
      <w:szCs w:val="24"/>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900DF3"/>
    <w:pPr>
      <w:spacing w:after="0" w:line="240" w:lineRule="auto"/>
      <w:jc w:val="both"/>
    </w:pPr>
    <w:rPr>
      <w:rFonts w:ascii="Times New Roman" w:eastAsia="Times New Roman" w:hAnsi="Times New Roman" w:cs="Times New Roman"/>
      <w:kern w:val="0"/>
      <w:sz w:val="24"/>
      <w:szCs w:val="24"/>
    </w:rPr>
  </w:style>
  <w:style w:type="character" w:customStyle="1" w:styleId="BodyTextChar">
    <w:name w:val="Body Text Char"/>
    <w:basedOn w:val="DefaultParagraphFont"/>
    <w:link w:val="BodyText"/>
    <w:uiPriority w:val="99"/>
    <w:rsid w:val="00900DF3"/>
    <w:rPr>
      <w:rFonts w:ascii="Times New Roman" w:eastAsia="Times New Roman" w:hAnsi="Times New Roman" w:cs="Times New Roman"/>
      <w:kern w:val="0"/>
      <w:sz w:val="24"/>
      <w:szCs w:val="24"/>
    </w:rPr>
  </w:style>
  <w:style w:type="paragraph" w:styleId="NoSpacing">
    <w:name w:val="No Spacing"/>
    <w:uiPriority w:val="1"/>
    <w:qFormat/>
    <w:rsid w:val="00900DF3"/>
    <w:pPr>
      <w:spacing w:after="0" w:line="240" w:lineRule="auto"/>
    </w:pPr>
    <w:rPr>
      <w:rFonts w:ascii="Calibri" w:eastAsia="Calibri" w:hAnsi="Calibri" w:cs="Times New Roman"/>
      <w:kern w:val="0"/>
    </w:rPr>
  </w:style>
  <w:style w:type="character" w:customStyle="1" w:styleId="NormalJustifiedChar">
    <w:name w:val="Normal + Justified Char"/>
    <w:link w:val="NormalJustified"/>
    <w:semiHidden/>
    <w:locked/>
    <w:rsid w:val="00900DF3"/>
    <w:rPr>
      <w:rFonts w:ascii="Times New Roman" w:eastAsia="Times New Roman" w:hAnsi="Times New Roman" w:cs="Times New Roman"/>
      <w:kern w:val="0"/>
      <w:sz w:val="24"/>
      <w:szCs w:val="24"/>
      <w:lang w:eastAsia="en-GB"/>
    </w:rPr>
  </w:style>
  <w:style w:type="paragraph" w:customStyle="1" w:styleId="NormalJustified">
    <w:name w:val="Normal + Justified"/>
    <w:basedOn w:val="Normal"/>
    <w:link w:val="NormalJustifiedChar"/>
    <w:semiHidden/>
    <w:rsid w:val="00900DF3"/>
    <w:pPr>
      <w:spacing w:after="0" w:line="240" w:lineRule="auto"/>
      <w:jc w:val="both"/>
    </w:pPr>
    <w:rPr>
      <w:rFonts w:ascii="Times New Roman" w:eastAsia="Times New Roman" w:hAnsi="Times New Roman" w:cs="Times New Roman"/>
      <w:kern w:val="0"/>
      <w:sz w:val="24"/>
      <w:szCs w:val="24"/>
      <w:lang w:eastAsia="en-GB"/>
    </w:rPr>
  </w:style>
  <w:style w:type="paragraph" w:customStyle="1" w:styleId="xmsonormal">
    <w:name w:val="x_msonormal"/>
    <w:basedOn w:val="Normal"/>
    <w:uiPriority w:val="99"/>
    <w:semiHidden/>
    <w:rsid w:val="00900DF3"/>
    <w:pPr>
      <w:spacing w:after="0" w:line="240" w:lineRule="auto"/>
    </w:pPr>
    <w:rPr>
      <w:rFonts w:ascii="SimSun" w:eastAsia="SimSun" w:hAnsi="SimSun" w:cs="SimSun"/>
      <w:kern w:val="0"/>
      <w:sz w:val="24"/>
      <w:szCs w:val="24"/>
      <w:lang w:eastAsia="zh-CN"/>
    </w:rPr>
  </w:style>
  <w:style w:type="paragraph" w:styleId="Header">
    <w:name w:val="header"/>
    <w:basedOn w:val="Normal"/>
    <w:link w:val="HeaderChar"/>
    <w:uiPriority w:val="99"/>
    <w:unhideWhenUsed/>
    <w:rsid w:val="00A04A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4AE9"/>
  </w:style>
  <w:style w:type="paragraph" w:styleId="Footer">
    <w:name w:val="footer"/>
    <w:basedOn w:val="Normal"/>
    <w:link w:val="FooterChar"/>
    <w:uiPriority w:val="99"/>
    <w:unhideWhenUsed/>
    <w:rsid w:val="00A04A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4AE9"/>
  </w:style>
  <w:style w:type="paragraph" w:customStyle="1" w:styleId="pf0">
    <w:name w:val="pf0"/>
    <w:basedOn w:val="Normal"/>
    <w:rsid w:val="0087545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87545A"/>
    <w:rPr>
      <w:rFonts w:ascii="Segoe UI" w:hAnsi="Segoe UI" w:cs="Segoe UI" w:hint="default"/>
      <w:b/>
      <w:bCs/>
      <w:sz w:val="18"/>
      <w:szCs w:val="18"/>
      <w:shd w:val="clear" w:color="auto" w:fill="FFFFFF"/>
    </w:rPr>
  </w:style>
  <w:style w:type="character" w:customStyle="1" w:styleId="cf11">
    <w:name w:val="cf11"/>
    <w:basedOn w:val="DefaultParagraphFont"/>
    <w:rsid w:val="0087545A"/>
    <w:rPr>
      <w:rFonts w:ascii="Segoe UI" w:hAnsi="Segoe UI" w:cs="Segoe UI" w:hint="default"/>
      <w:b/>
      <w:bCs/>
      <w:i/>
      <w:iCs/>
      <w:sz w:val="18"/>
      <w:szCs w:val="18"/>
      <w:shd w:val="clear" w:color="auto" w:fill="FFFFFF"/>
    </w:rPr>
  </w:style>
  <w:style w:type="character" w:customStyle="1" w:styleId="cf21">
    <w:name w:val="cf21"/>
    <w:basedOn w:val="DefaultParagraphFont"/>
    <w:rsid w:val="0087545A"/>
    <w:rPr>
      <w:rFonts w:ascii="Segoe UI" w:hAnsi="Segoe UI" w:cs="Segoe UI" w:hint="default"/>
      <w:b/>
      <w:bCs/>
      <w:sz w:val="18"/>
      <w:szCs w:val="18"/>
      <w:shd w:val="clear" w:color="auto" w:fill="FFFFFF"/>
    </w:rPr>
  </w:style>
  <w:style w:type="character" w:customStyle="1" w:styleId="cf31">
    <w:name w:val="cf31"/>
    <w:basedOn w:val="DefaultParagraphFont"/>
    <w:rsid w:val="0087545A"/>
    <w:rPr>
      <w:rFonts w:ascii="Segoe UI" w:hAnsi="Segoe UI" w:cs="Segoe UI" w:hint="default"/>
      <w:sz w:val="18"/>
      <w:szCs w:val="18"/>
    </w:rPr>
  </w:style>
  <w:style w:type="character" w:styleId="FollowedHyperlink">
    <w:name w:val="FollowedHyperlink"/>
    <w:basedOn w:val="DefaultParagraphFont"/>
    <w:uiPriority w:val="99"/>
    <w:semiHidden/>
    <w:unhideWhenUsed/>
    <w:rsid w:val="00D72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740881">
      <w:bodyDiv w:val="1"/>
      <w:marLeft w:val="0"/>
      <w:marRight w:val="0"/>
      <w:marTop w:val="0"/>
      <w:marBottom w:val="0"/>
      <w:divBdr>
        <w:top w:val="none" w:sz="0" w:space="0" w:color="auto"/>
        <w:left w:val="none" w:sz="0" w:space="0" w:color="auto"/>
        <w:bottom w:val="none" w:sz="0" w:space="0" w:color="auto"/>
        <w:right w:val="none" w:sz="0" w:space="0" w:color="auto"/>
      </w:divBdr>
    </w:div>
    <w:div w:id="177693061">
      <w:bodyDiv w:val="1"/>
      <w:marLeft w:val="0"/>
      <w:marRight w:val="0"/>
      <w:marTop w:val="0"/>
      <w:marBottom w:val="0"/>
      <w:divBdr>
        <w:top w:val="none" w:sz="0" w:space="0" w:color="auto"/>
        <w:left w:val="none" w:sz="0" w:space="0" w:color="auto"/>
        <w:bottom w:val="none" w:sz="0" w:space="0" w:color="auto"/>
        <w:right w:val="none" w:sz="0" w:space="0" w:color="auto"/>
      </w:divBdr>
    </w:div>
    <w:div w:id="287207392">
      <w:bodyDiv w:val="1"/>
      <w:marLeft w:val="0"/>
      <w:marRight w:val="0"/>
      <w:marTop w:val="0"/>
      <w:marBottom w:val="0"/>
      <w:divBdr>
        <w:top w:val="none" w:sz="0" w:space="0" w:color="auto"/>
        <w:left w:val="none" w:sz="0" w:space="0" w:color="auto"/>
        <w:bottom w:val="none" w:sz="0" w:space="0" w:color="auto"/>
        <w:right w:val="none" w:sz="0" w:space="0" w:color="auto"/>
      </w:divBdr>
    </w:div>
    <w:div w:id="382875086">
      <w:bodyDiv w:val="1"/>
      <w:marLeft w:val="0"/>
      <w:marRight w:val="0"/>
      <w:marTop w:val="0"/>
      <w:marBottom w:val="0"/>
      <w:divBdr>
        <w:top w:val="none" w:sz="0" w:space="0" w:color="auto"/>
        <w:left w:val="none" w:sz="0" w:space="0" w:color="auto"/>
        <w:bottom w:val="none" w:sz="0" w:space="0" w:color="auto"/>
        <w:right w:val="none" w:sz="0" w:space="0" w:color="auto"/>
      </w:divBdr>
    </w:div>
    <w:div w:id="405105942">
      <w:bodyDiv w:val="1"/>
      <w:marLeft w:val="0"/>
      <w:marRight w:val="0"/>
      <w:marTop w:val="0"/>
      <w:marBottom w:val="0"/>
      <w:divBdr>
        <w:top w:val="none" w:sz="0" w:space="0" w:color="auto"/>
        <w:left w:val="none" w:sz="0" w:space="0" w:color="auto"/>
        <w:bottom w:val="none" w:sz="0" w:space="0" w:color="auto"/>
        <w:right w:val="none" w:sz="0" w:space="0" w:color="auto"/>
      </w:divBdr>
    </w:div>
    <w:div w:id="486945050">
      <w:bodyDiv w:val="1"/>
      <w:marLeft w:val="0"/>
      <w:marRight w:val="0"/>
      <w:marTop w:val="0"/>
      <w:marBottom w:val="0"/>
      <w:divBdr>
        <w:top w:val="none" w:sz="0" w:space="0" w:color="auto"/>
        <w:left w:val="none" w:sz="0" w:space="0" w:color="auto"/>
        <w:bottom w:val="none" w:sz="0" w:space="0" w:color="auto"/>
        <w:right w:val="none" w:sz="0" w:space="0" w:color="auto"/>
      </w:divBdr>
    </w:div>
    <w:div w:id="535970559">
      <w:bodyDiv w:val="1"/>
      <w:marLeft w:val="0"/>
      <w:marRight w:val="0"/>
      <w:marTop w:val="0"/>
      <w:marBottom w:val="0"/>
      <w:divBdr>
        <w:top w:val="none" w:sz="0" w:space="0" w:color="auto"/>
        <w:left w:val="none" w:sz="0" w:space="0" w:color="auto"/>
        <w:bottom w:val="none" w:sz="0" w:space="0" w:color="auto"/>
        <w:right w:val="none" w:sz="0" w:space="0" w:color="auto"/>
      </w:divBdr>
    </w:div>
    <w:div w:id="551813685">
      <w:bodyDiv w:val="1"/>
      <w:marLeft w:val="0"/>
      <w:marRight w:val="0"/>
      <w:marTop w:val="0"/>
      <w:marBottom w:val="0"/>
      <w:divBdr>
        <w:top w:val="none" w:sz="0" w:space="0" w:color="auto"/>
        <w:left w:val="none" w:sz="0" w:space="0" w:color="auto"/>
        <w:bottom w:val="none" w:sz="0" w:space="0" w:color="auto"/>
        <w:right w:val="none" w:sz="0" w:space="0" w:color="auto"/>
      </w:divBdr>
    </w:div>
    <w:div w:id="588276642">
      <w:bodyDiv w:val="1"/>
      <w:marLeft w:val="0"/>
      <w:marRight w:val="0"/>
      <w:marTop w:val="0"/>
      <w:marBottom w:val="0"/>
      <w:divBdr>
        <w:top w:val="none" w:sz="0" w:space="0" w:color="auto"/>
        <w:left w:val="none" w:sz="0" w:space="0" w:color="auto"/>
        <w:bottom w:val="none" w:sz="0" w:space="0" w:color="auto"/>
        <w:right w:val="none" w:sz="0" w:space="0" w:color="auto"/>
      </w:divBdr>
    </w:div>
    <w:div w:id="678579492">
      <w:bodyDiv w:val="1"/>
      <w:marLeft w:val="0"/>
      <w:marRight w:val="0"/>
      <w:marTop w:val="0"/>
      <w:marBottom w:val="0"/>
      <w:divBdr>
        <w:top w:val="none" w:sz="0" w:space="0" w:color="auto"/>
        <w:left w:val="none" w:sz="0" w:space="0" w:color="auto"/>
        <w:bottom w:val="none" w:sz="0" w:space="0" w:color="auto"/>
        <w:right w:val="none" w:sz="0" w:space="0" w:color="auto"/>
      </w:divBdr>
    </w:div>
    <w:div w:id="678965237">
      <w:bodyDiv w:val="1"/>
      <w:marLeft w:val="0"/>
      <w:marRight w:val="0"/>
      <w:marTop w:val="0"/>
      <w:marBottom w:val="0"/>
      <w:divBdr>
        <w:top w:val="none" w:sz="0" w:space="0" w:color="auto"/>
        <w:left w:val="none" w:sz="0" w:space="0" w:color="auto"/>
        <w:bottom w:val="none" w:sz="0" w:space="0" w:color="auto"/>
        <w:right w:val="none" w:sz="0" w:space="0" w:color="auto"/>
      </w:divBdr>
    </w:div>
    <w:div w:id="687832874">
      <w:bodyDiv w:val="1"/>
      <w:marLeft w:val="0"/>
      <w:marRight w:val="0"/>
      <w:marTop w:val="0"/>
      <w:marBottom w:val="0"/>
      <w:divBdr>
        <w:top w:val="none" w:sz="0" w:space="0" w:color="auto"/>
        <w:left w:val="none" w:sz="0" w:space="0" w:color="auto"/>
        <w:bottom w:val="none" w:sz="0" w:space="0" w:color="auto"/>
        <w:right w:val="none" w:sz="0" w:space="0" w:color="auto"/>
      </w:divBdr>
    </w:div>
    <w:div w:id="767386096">
      <w:bodyDiv w:val="1"/>
      <w:marLeft w:val="0"/>
      <w:marRight w:val="0"/>
      <w:marTop w:val="0"/>
      <w:marBottom w:val="0"/>
      <w:divBdr>
        <w:top w:val="none" w:sz="0" w:space="0" w:color="auto"/>
        <w:left w:val="none" w:sz="0" w:space="0" w:color="auto"/>
        <w:bottom w:val="none" w:sz="0" w:space="0" w:color="auto"/>
        <w:right w:val="none" w:sz="0" w:space="0" w:color="auto"/>
      </w:divBdr>
    </w:div>
    <w:div w:id="844327100">
      <w:bodyDiv w:val="1"/>
      <w:marLeft w:val="0"/>
      <w:marRight w:val="0"/>
      <w:marTop w:val="0"/>
      <w:marBottom w:val="0"/>
      <w:divBdr>
        <w:top w:val="none" w:sz="0" w:space="0" w:color="auto"/>
        <w:left w:val="none" w:sz="0" w:space="0" w:color="auto"/>
        <w:bottom w:val="none" w:sz="0" w:space="0" w:color="auto"/>
        <w:right w:val="none" w:sz="0" w:space="0" w:color="auto"/>
      </w:divBdr>
    </w:div>
    <w:div w:id="847599861">
      <w:bodyDiv w:val="1"/>
      <w:marLeft w:val="0"/>
      <w:marRight w:val="0"/>
      <w:marTop w:val="0"/>
      <w:marBottom w:val="0"/>
      <w:divBdr>
        <w:top w:val="none" w:sz="0" w:space="0" w:color="auto"/>
        <w:left w:val="none" w:sz="0" w:space="0" w:color="auto"/>
        <w:bottom w:val="none" w:sz="0" w:space="0" w:color="auto"/>
        <w:right w:val="none" w:sz="0" w:space="0" w:color="auto"/>
      </w:divBdr>
    </w:div>
    <w:div w:id="916355380">
      <w:bodyDiv w:val="1"/>
      <w:marLeft w:val="0"/>
      <w:marRight w:val="0"/>
      <w:marTop w:val="0"/>
      <w:marBottom w:val="0"/>
      <w:divBdr>
        <w:top w:val="none" w:sz="0" w:space="0" w:color="auto"/>
        <w:left w:val="none" w:sz="0" w:space="0" w:color="auto"/>
        <w:bottom w:val="none" w:sz="0" w:space="0" w:color="auto"/>
        <w:right w:val="none" w:sz="0" w:space="0" w:color="auto"/>
      </w:divBdr>
    </w:div>
    <w:div w:id="919144437">
      <w:bodyDiv w:val="1"/>
      <w:marLeft w:val="0"/>
      <w:marRight w:val="0"/>
      <w:marTop w:val="0"/>
      <w:marBottom w:val="0"/>
      <w:divBdr>
        <w:top w:val="none" w:sz="0" w:space="0" w:color="auto"/>
        <w:left w:val="none" w:sz="0" w:space="0" w:color="auto"/>
        <w:bottom w:val="none" w:sz="0" w:space="0" w:color="auto"/>
        <w:right w:val="none" w:sz="0" w:space="0" w:color="auto"/>
      </w:divBdr>
    </w:div>
    <w:div w:id="920943516">
      <w:bodyDiv w:val="1"/>
      <w:marLeft w:val="0"/>
      <w:marRight w:val="0"/>
      <w:marTop w:val="0"/>
      <w:marBottom w:val="0"/>
      <w:divBdr>
        <w:top w:val="none" w:sz="0" w:space="0" w:color="auto"/>
        <w:left w:val="none" w:sz="0" w:space="0" w:color="auto"/>
        <w:bottom w:val="none" w:sz="0" w:space="0" w:color="auto"/>
        <w:right w:val="none" w:sz="0" w:space="0" w:color="auto"/>
      </w:divBdr>
    </w:div>
    <w:div w:id="927075959">
      <w:bodyDiv w:val="1"/>
      <w:marLeft w:val="0"/>
      <w:marRight w:val="0"/>
      <w:marTop w:val="0"/>
      <w:marBottom w:val="0"/>
      <w:divBdr>
        <w:top w:val="none" w:sz="0" w:space="0" w:color="auto"/>
        <w:left w:val="none" w:sz="0" w:space="0" w:color="auto"/>
        <w:bottom w:val="none" w:sz="0" w:space="0" w:color="auto"/>
        <w:right w:val="none" w:sz="0" w:space="0" w:color="auto"/>
      </w:divBdr>
    </w:div>
    <w:div w:id="956251525">
      <w:bodyDiv w:val="1"/>
      <w:marLeft w:val="0"/>
      <w:marRight w:val="0"/>
      <w:marTop w:val="0"/>
      <w:marBottom w:val="0"/>
      <w:divBdr>
        <w:top w:val="none" w:sz="0" w:space="0" w:color="auto"/>
        <w:left w:val="none" w:sz="0" w:space="0" w:color="auto"/>
        <w:bottom w:val="none" w:sz="0" w:space="0" w:color="auto"/>
        <w:right w:val="none" w:sz="0" w:space="0" w:color="auto"/>
      </w:divBdr>
    </w:div>
    <w:div w:id="957764343">
      <w:bodyDiv w:val="1"/>
      <w:marLeft w:val="0"/>
      <w:marRight w:val="0"/>
      <w:marTop w:val="0"/>
      <w:marBottom w:val="0"/>
      <w:divBdr>
        <w:top w:val="none" w:sz="0" w:space="0" w:color="auto"/>
        <w:left w:val="none" w:sz="0" w:space="0" w:color="auto"/>
        <w:bottom w:val="none" w:sz="0" w:space="0" w:color="auto"/>
        <w:right w:val="none" w:sz="0" w:space="0" w:color="auto"/>
      </w:divBdr>
    </w:div>
    <w:div w:id="959603146">
      <w:bodyDiv w:val="1"/>
      <w:marLeft w:val="0"/>
      <w:marRight w:val="0"/>
      <w:marTop w:val="0"/>
      <w:marBottom w:val="0"/>
      <w:divBdr>
        <w:top w:val="none" w:sz="0" w:space="0" w:color="auto"/>
        <w:left w:val="none" w:sz="0" w:space="0" w:color="auto"/>
        <w:bottom w:val="none" w:sz="0" w:space="0" w:color="auto"/>
        <w:right w:val="none" w:sz="0" w:space="0" w:color="auto"/>
      </w:divBdr>
    </w:div>
    <w:div w:id="962737203">
      <w:bodyDiv w:val="1"/>
      <w:marLeft w:val="0"/>
      <w:marRight w:val="0"/>
      <w:marTop w:val="0"/>
      <w:marBottom w:val="0"/>
      <w:divBdr>
        <w:top w:val="none" w:sz="0" w:space="0" w:color="auto"/>
        <w:left w:val="none" w:sz="0" w:space="0" w:color="auto"/>
        <w:bottom w:val="none" w:sz="0" w:space="0" w:color="auto"/>
        <w:right w:val="none" w:sz="0" w:space="0" w:color="auto"/>
      </w:divBdr>
    </w:div>
    <w:div w:id="974212283">
      <w:bodyDiv w:val="1"/>
      <w:marLeft w:val="0"/>
      <w:marRight w:val="0"/>
      <w:marTop w:val="0"/>
      <w:marBottom w:val="0"/>
      <w:divBdr>
        <w:top w:val="none" w:sz="0" w:space="0" w:color="auto"/>
        <w:left w:val="none" w:sz="0" w:space="0" w:color="auto"/>
        <w:bottom w:val="none" w:sz="0" w:space="0" w:color="auto"/>
        <w:right w:val="none" w:sz="0" w:space="0" w:color="auto"/>
      </w:divBdr>
    </w:div>
    <w:div w:id="993145746">
      <w:bodyDiv w:val="1"/>
      <w:marLeft w:val="0"/>
      <w:marRight w:val="0"/>
      <w:marTop w:val="0"/>
      <w:marBottom w:val="0"/>
      <w:divBdr>
        <w:top w:val="none" w:sz="0" w:space="0" w:color="auto"/>
        <w:left w:val="none" w:sz="0" w:space="0" w:color="auto"/>
        <w:bottom w:val="none" w:sz="0" w:space="0" w:color="auto"/>
        <w:right w:val="none" w:sz="0" w:space="0" w:color="auto"/>
      </w:divBdr>
    </w:div>
    <w:div w:id="994651254">
      <w:bodyDiv w:val="1"/>
      <w:marLeft w:val="0"/>
      <w:marRight w:val="0"/>
      <w:marTop w:val="0"/>
      <w:marBottom w:val="0"/>
      <w:divBdr>
        <w:top w:val="none" w:sz="0" w:space="0" w:color="auto"/>
        <w:left w:val="none" w:sz="0" w:space="0" w:color="auto"/>
        <w:bottom w:val="none" w:sz="0" w:space="0" w:color="auto"/>
        <w:right w:val="none" w:sz="0" w:space="0" w:color="auto"/>
      </w:divBdr>
    </w:div>
    <w:div w:id="996113978">
      <w:bodyDiv w:val="1"/>
      <w:marLeft w:val="0"/>
      <w:marRight w:val="0"/>
      <w:marTop w:val="0"/>
      <w:marBottom w:val="0"/>
      <w:divBdr>
        <w:top w:val="none" w:sz="0" w:space="0" w:color="auto"/>
        <w:left w:val="none" w:sz="0" w:space="0" w:color="auto"/>
        <w:bottom w:val="none" w:sz="0" w:space="0" w:color="auto"/>
        <w:right w:val="none" w:sz="0" w:space="0" w:color="auto"/>
      </w:divBdr>
    </w:div>
    <w:div w:id="1006787895">
      <w:bodyDiv w:val="1"/>
      <w:marLeft w:val="0"/>
      <w:marRight w:val="0"/>
      <w:marTop w:val="0"/>
      <w:marBottom w:val="0"/>
      <w:divBdr>
        <w:top w:val="none" w:sz="0" w:space="0" w:color="auto"/>
        <w:left w:val="none" w:sz="0" w:space="0" w:color="auto"/>
        <w:bottom w:val="none" w:sz="0" w:space="0" w:color="auto"/>
        <w:right w:val="none" w:sz="0" w:space="0" w:color="auto"/>
      </w:divBdr>
    </w:div>
    <w:div w:id="1146358516">
      <w:bodyDiv w:val="1"/>
      <w:marLeft w:val="0"/>
      <w:marRight w:val="0"/>
      <w:marTop w:val="0"/>
      <w:marBottom w:val="0"/>
      <w:divBdr>
        <w:top w:val="none" w:sz="0" w:space="0" w:color="auto"/>
        <w:left w:val="none" w:sz="0" w:space="0" w:color="auto"/>
        <w:bottom w:val="none" w:sz="0" w:space="0" w:color="auto"/>
        <w:right w:val="none" w:sz="0" w:space="0" w:color="auto"/>
      </w:divBdr>
    </w:div>
    <w:div w:id="1184787703">
      <w:bodyDiv w:val="1"/>
      <w:marLeft w:val="0"/>
      <w:marRight w:val="0"/>
      <w:marTop w:val="0"/>
      <w:marBottom w:val="0"/>
      <w:divBdr>
        <w:top w:val="none" w:sz="0" w:space="0" w:color="auto"/>
        <w:left w:val="none" w:sz="0" w:space="0" w:color="auto"/>
        <w:bottom w:val="none" w:sz="0" w:space="0" w:color="auto"/>
        <w:right w:val="none" w:sz="0" w:space="0" w:color="auto"/>
      </w:divBdr>
    </w:div>
    <w:div w:id="1457867649">
      <w:bodyDiv w:val="1"/>
      <w:marLeft w:val="0"/>
      <w:marRight w:val="0"/>
      <w:marTop w:val="0"/>
      <w:marBottom w:val="0"/>
      <w:divBdr>
        <w:top w:val="none" w:sz="0" w:space="0" w:color="auto"/>
        <w:left w:val="none" w:sz="0" w:space="0" w:color="auto"/>
        <w:bottom w:val="none" w:sz="0" w:space="0" w:color="auto"/>
        <w:right w:val="none" w:sz="0" w:space="0" w:color="auto"/>
      </w:divBdr>
      <w:divsChild>
        <w:div w:id="1978684921">
          <w:marLeft w:val="0"/>
          <w:marRight w:val="0"/>
          <w:marTop w:val="0"/>
          <w:marBottom w:val="0"/>
          <w:divBdr>
            <w:top w:val="none" w:sz="0" w:space="0" w:color="auto"/>
            <w:left w:val="none" w:sz="0" w:space="0" w:color="auto"/>
            <w:bottom w:val="none" w:sz="0" w:space="0" w:color="auto"/>
            <w:right w:val="none" w:sz="0" w:space="0" w:color="auto"/>
          </w:divBdr>
        </w:div>
      </w:divsChild>
    </w:div>
    <w:div w:id="1500458822">
      <w:bodyDiv w:val="1"/>
      <w:marLeft w:val="0"/>
      <w:marRight w:val="0"/>
      <w:marTop w:val="0"/>
      <w:marBottom w:val="0"/>
      <w:divBdr>
        <w:top w:val="none" w:sz="0" w:space="0" w:color="auto"/>
        <w:left w:val="none" w:sz="0" w:space="0" w:color="auto"/>
        <w:bottom w:val="none" w:sz="0" w:space="0" w:color="auto"/>
        <w:right w:val="none" w:sz="0" w:space="0" w:color="auto"/>
      </w:divBdr>
    </w:div>
    <w:div w:id="1509127861">
      <w:bodyDiv w:val="1"/>
      <w:marLeft w:val="0"/>
      <w:marRight w:val="0"/>
      <w:marTop w:val="0"/>
      <w:marBottom w:val="0"/>
      <w:divBdr>
        <w:top w:val="none" w:sz="0" w:space="0" w:color="auto"/>
        <w:left w:val="none" w:sz="0" w:space="0" w:color="auto"/>
        <w:bottom w:val="none" w:sz="0" w:space="0" w:color="auto"/>
        <w:right w:val="none" w:sz="0" w:space="0" w:color="auto"/>
      </w:divBdr>
    </w:div>
    <w:div w:id="1586769260">
      <w:bodyDiv w:val="1"/>
      <w:marLeft w:val="0"/>
      <w:marRight w:val="0"/>
      <w:marTop w:val="0"/>
      <w:marBottom w:val="0"/>
      <w:divBdr>
        <w:top w:val="none" w:sz="0" w:space="0" w:color="auto"/>
        <w:left w:val="none" w:sz="0" w:space="0" w:color="auto"/>
        <w:bottom w:val="none" w:sz="0" w:space="0" w:color="auto"/>
        <w:right w:val="none" w:sz="0" w:space="0" w:color="auto"/>
      </w:divBdr>
    </w:div>
    <w:div w:id="1790197965">
      <w:bodyDiv w:val="1"/>
      <w:marLeft w:val="0"/>
      <w:marRight w:val="0"/>
      <w:marTop w:val="0"/>
      <w:marBottom w:val="0"/>
      <w:divBdr>
        <w:top w:val="none" w:sz="0" w:space="0" w:color="auto"/>
        <w:left w:val="none" w:sz="0" w:space="0" w:color="auto"/>
        <w:bottom w:val="none" w:sz="0" w:space="0" w:color="auto"/>
        <w:right w:val="none" w:sz="0" w:space="0" w:color="auto"/>
      </w:divBdr>
    </w:div>
    <w:div w:id="1808548404">
      <w:bodyDiv w:val="1"/>
      <w:marLeft w:val="0"/>
      <w:marRight w:val="0"/>
      <w:marTop w:val="0"/>
      <w:marBottom w:val="0"/>
      <w:divBdr>
        <w:top w:val="none" w:sz="0" w:space="0" w:color="auto"/>
        <w:left w:val="none" w:sz="0" w:space="0" w:color="auto"/>
        <w:bottom w:val="none" w:sz="0" w:space="0" w:color="auto"/>
        <w:right w:val="none" w:sz="0" w:space="0" w:color="auto"/>
      </w:divBdr>
    </w:div>
    <w:div w:id="1945067364">
      <w:bodyDiv w:val="1"/>
      <w:marLeft w:val="0"/>
      <w:marRight w:val="0"/>
      <w:marTop w:val="0"/>
      <w:marBottom w:val="0"/>
      <w:divBdr>
        <w:top w:val="none" w:sz="0" w:space="0" w:color="auto"/>
        <w:left w:val="none" w:sz="0" w:space="0" w:color="auto"/>
        <w:bottom w:val="none" w:sz="0" w:space="0" w:color="auto"/>
        <w:right w:val="none" w:sz="0" w:space="0" w:color="auto"/>
      </w:divBdr>
    </w:div>
    <w:div w:id="2058551393">
      <w:bodyDiv w:val="1"/>
      <w:marLeft w:val="0"/>
      <w:marRight w:val="0"/>
      <w:marTop w:val="0"/>
      <w:marBottom w:val="0"/>
      <w:divBdr>
        <w:top w:val="none" w:sz="0" w:space="0" w:color="auto"/>
        <w:left w:val="none" w:sz="0" w:space="0" w:color="auto"/>
        <w:bottom w:val="none" w:sz="0" w:space="0" w:color="auto"/>
        <w:right w:val="none" w:sz="0" w:space="0" w:color="auto"/>
      </w:divBdr>
    </w:div>
    <w:div w:id="21288880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D15F0-F046-4BFF-86D9-AABFCE66E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29</Pages>
  <Words>40625</Words>
  <Characters>231569</Characters>
  <Application>Microsoft Office Word</Application>
  <DocSecurity>0</DocSecurity>
  <Lines>1929</Lines>
  <Paragraphs>543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Wan</dc:creator>
  <cp:keywords/>
  <dc:description/>
  <cp:lastModifiedBy>Keith Siew</cp:lastModifiedBy>
  <cp:revision>10</cp:revision>
  <dcterms:created xsi:type="dcterms:W3CDTF">2023-08-04T10:42:00Z</dcterms:created>
  <dcterms:modified xsi:type="dcterms:W3CDTF">2023-08-15T21:37:00Z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id="6Dm2nRAY"/&gt;&lt;style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y fmtid="{D5CDD505-2E9C-101B-9397-08002B2CF9AE}" pid="4" name="_DocHome">
    <vt:i4>959626889</vt:i4>
  </property>
</Properties>
</file>