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9CD" w:rsidRPr="003759CD" w:rsidRDefault="003759CD" w:rsidP="003759CD">
      <w:pPr>
        <w:spacing w:before="240" w:line="48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759CD">
        <w:rPr>
          <w:rFonts w:ascii="Times New Roman" w:hAnsi="Times New Roman" w:cs="Times New Roman"/>
          <w:b/>
          <w:color w:val="000000"/>
          <w:sz w:val="24"/>
          <w:szCs w:val="24"/>
        </w:rPr>
        <w:t>Supporting Information</w:t>
      </w:r>
    </w:p>
    <w:p w:rsidR="003759CD" w:rsidRPr="003759CD" w:rsidRDefault="003759CD" w:rsidP="003759CD">
      <w:pPr>
        <w:spacing w:before="240" w:line="48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759CD" w:rsidRPr="003759CD" w:rsidRDefault="003759CD" w:rsidP="003759CD">
      <w:pPr>
        <w:spacing w:before="240" w:line="48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759C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Novel Potential Binding Sites for Selective Inhibitor Design of Human </w:t>
      </w:r>
      <w:r w:rsidR="001511B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Soluble </w:t>
      </w:r>
      <w:r w:rsidRPr="003759CD">
        <w:rPr>
          <w:rFonts w:ascii="Times New Roman" w:hAnsi="Times New Roman" w:cs="Times New Roman"/>
          <w:b/>
          <w:color w:val="000000"/>
          <w:sz w:val="24"/>
          <w:szCs w:val="24"/>
        </w:rPr>
        <w:t>Epoxide Hydrolase</w:t>
      </w:r>
    </w:p>
    <w:p w:rsidR="003759CD" w:rsidRPr="003759CD" w:rsidRDefault="003759CD" w:rsidP="003759CD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759CD">
        <w:rPr>
          <w:rFonts w:ascii="Times New Roman" w:eastAsia="Times New Roman" w:hAnsi="Times New Roman" w:cs="Times New Roman"/>
          <w:b/>
          <w:sz w:val="24"/>
          <w:szCs w:val="24"/>
        </w:rPr>
        <w:t>Authors’ Names</w:t>
      </w:r>
    </w:p>
    <w:p w:rsidR="003759CD" w:rsidRPr="003759CD" w:rsidRDefault="003759CD" w:rsidP="003759CD">
      <w:pPr>
        <w:spacing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</w:pPr>
      <w:r w:rsidRPr="003759CD">
        <w:rPr>
          <w:rFonts w:ascii="Times New Roman" w:eastAsia="Times New Roman" w:hAnsi="Times New Roman" w:cs="Times New Roman"/>
          <w:bCs/>
          <w:sz w:val="24"/>
          <w:szCs w:val="24"/>
        </w:rPr>
        <w:t>Maria Bzówka</w:t>
      </w:r>
      <w:r w:rsidRPr="003759CD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1</w:t>
      </w:r>
      <w:r w:rsidRPr="003759CD">
        <w:rPr>
          <w:rFonts w:ascii="Times New Roman" w:eastAsia="Times New Roman" w:hAnsi="Times New Roman" w:cs="Times New Roman"/>
          <w:bCs/>
          <w:sz w:val="24"/>
          <w:szCs w:val="24"/>
        </w:rPr>
        <w:t>, Karolina Mitusińska</w:t>
      </w:r>
      <w:r w:rsidRPr="003759CD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1</w:t>
      </w:r>
      <w:r w:rsidRPr="003759CD">
        <w:rPr>
          <w:rFonts w:ascii="Times New Roman" w:eastAsia="Times New Roman" w:hAnsi="Times New Roman" w:cs="Times New Roman"/>
          <w:bCs/>
          <w:sz w:val="24"/>
          <w:szCs w:val="24"/>
        </w:rPr>
        <w:t>, Artur Góra</w:t>
      </w:r>
      <w:r w:rsidRPr="003759CD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1*</w:t>
      </w:r>
    </w:p>
    <w:p w:rsidR="003759CD" w:rsidRPr="003759CD" w:rsidRDefault="003759CD" w:rsidP="003759CD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759CD">
        <w:rPr>
          <w:rFonts w:ascii="Times New Roman" w:eastAsia="Times New Roman" w:hAnsi="Times New Roman" w:cs="Times New Roman"/>
          <w:b/>
          <w:sz w:val="24"/>
          <w:szCs w:val="24"/>
        </w:rPr>
        <w:t>Affiliations</w:t>
      </w:r>
    </w:p>
    <w:p w:rsidR="003759CD" w:rsidRPr="003759CD" w:rsidRDefault="003759CD" w:rsidP="003759CD">
      <w:pPr>
        <w:spacing w:line="48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759CD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1</w:t>
      </w:r>
      <w:r w:rsidRPr="003759CD">
        <w:rPr>
          <w:rFonts w:ascii="Times New Roman" w:eastAsia="Times New Roman" w:hAnsi="Times New Roman" w:cs="Times New Roman"/>
          <w:bCs/>
          <w:sz w:val="24"/>
          <w:szCs w:val="24"/>
        </w:rPr>
        <w:t>Tunneling Group, Biotechnology Centre, ul. Krzywoustego 8, Silesian University of Technology, Gliwice, 44-100, Poland</w:t>
      </w:r>
    </w:p>
    <w:p w:rsidR="003759CD" w:rsidRPr="003759CD" w:rsidRDefault="003759CD" w:rsidP="003759CD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3759CD">
        <w:rPr>
          <w:rFonts w:ascii="Times New Roman" w:hAnsi="Times New Roman" w:cs="Times New Roman"/>
          <w:sz w:val="24"/>
          <w:szCs w:val="24"/>
        </w:rPr>
        <w:br w:type="page"/>
      </w:r>
    </w:p>
    <w:p w:rsidR="00A31E6F" w:rsidRPr="003759CD" w:rsidRDefault="003759CD" w:rsidP="003759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759CD">
        <w:rPr>
          <w:rFonts w:ascii="Times New Roman" w:hAnsi="Times New Roman" w:cs="Times New Roman"/>
          <w:b/>
          <w:bCs/>
          <w:sz w:val="24"/>
          <w:szCs w:val="24"/>
        </w:rPr>
        <w:lastRenderedPageBreak/>
        <w:t>Contents:</w:t>
      </w:r>
    </w:p>
    <w:p w:rsidR="0022585A" w:rsidRPr="0022585A" w:rsidRDefault="0022585A" w:rsidP="003759CD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S1</w:t>
      </w:r>
      <w:r w:rsidR="00767424">
        <w:rPr>
          <w:rFonts w:ascii="Times New Roman" w:hAnsi="Times New Roman" w:cs="Times New Roman"/>
          <w:sz w:val="24"/>
          <w:szCs w:val="24"/>
        </w:rPr>
        <w:tab/>
        <w:t>S3</w:t>
      </w:r>
    </w:p>
    <w:p w:rsidR="0022585A" w:rsidRDefault="0022585A" w:rsidP="003759CD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</w:t>
      </w:r>
      <w:r w:rsidR="00767424">
        <w:rPr>
          <w:rFonts w:ascii="Times New Roman" w:hAnsi="Times New Roman" w:cs="Times New Roman"/>
          <w:sz w:val="24"/>
          <w:szCs w:val="24"/>
        </w:rPr>
        <w:tab/>
        <w:t>S3</w:t>
      </w:r>
    </w:p>
    <w:p w:rsidR="0022585A" w:rsidRDefault="0022585A" w:rsidP="003759CD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S2</w:t>
      </w:r>
      <w:r w:rsidR="00767424">
        <w:rPr>
          <w:rFonts w:ascii="Times New Roman" w:hAnsi="Times New Roman" w:cs="Times New Roman"/>
          <w:sz w:val="24"/>
          <w:szCs w:val="24"/>
        </w:rPr>
        <w:tab/>
        <w:t>S4</w:t>
      </w:r>
      <w:r w:rsidR="00767424">
        <w:rPr>
          <w:rFonts w:ascii="Times New Roman" w:hAnsi="Times New Roman" w:cs="Times New Roman"/>
          <w:sz w:val="24"/>
          <w:szCs w:val="24"/>
        </w:rPr>
        <w:tab/>
      </w:r>
    </w:p>
    <w:p w:rsidR="0022585A" w:rsidRDefault="0022585A" w:rsidP="003759CD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S2</w:t>
      </w:r>
      <w:r w:rsidR="00767424">
        <w:rPr>
          <w:rFonts w:ascii="Times New Roman" w:hAnsi="Times New Roman" w:cs="Times New Roman"/>
          <w:sz w:val="24"/>
          <w:szCs w:val="24"/>
        </w:rPr>
        <w:tab/>
        <w:t>S5</w:t>
      </w:r>
    </w:p>
    <w:p w:rsidR="0022585A" w:rsidRDefault="0022585A" w:rsidP="003759CD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S3</w:t>
      </w:r>
      <w:r w:rsidR="00767424">
        <w:rPr>
          <w:rFonts w:ascii="Times New Roman" w:hAnsi="Times New Roman" w:cs="Times New Roman"/>
          <w:sz w:val="24"/>
          <w:szCs w:val="24"/>
        </w:rPr>
        <w:tab/>
        <w:t>S6</w:t>
      </w:r>
    </w:p>
    <w:p w:rsidR="003759CD" w:rsidRDefault="003759CD" w:rsidP="003759CD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759CD" w:rsidRDefault="003759CD" w:rsidP="003759CD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-305435</wp:posOffset>
            </wp:positionH>
            <wp:positionV relativeFrom="paragraph">
              <wp:posOffset>1314450</wp:posOffset>
            </wp:positionV>
            <wp:extent cx="2811780" cy="3475355"/>
            <wp:effectExtent l="0" t="0" r="7620" b="0"/>
            <wp:wrapTight wrapText="bothSides">
              <wp:wrapPolygon edited="0">
                <wp:start x="0" y="0"/>
                <wp:lineTo x="0" y="21430"/>
                <wp:lineTo x="21512" y="21430"/>
                <wp:lineTo x="21512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s8o_ss2_ref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31" t="5688" r="15476" b="5688"/>
                    <a:stretch/>
                  </pic:blipFill>
                  <pic:spPr bwMode="auto">
                    <a:xfrm>
                      <a:off x="0" y="0"/>
                      <a:ext cx="2811780" cy="3475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t>Supplementary Table S1</w:t>
      </w:r>
      <w:r w:rsidR="0022585A">
        <w:rPr>
          <w:rFonts w:ascii="Times New Roman" w:hAnsi="Times New Roman" w:cs="Times New Roman"/>
          <w:noProof/>
          <w:sz w:val="24"/>
          <w:szCs w:val="24"/>
        </w:rPr>
        <w:t>.</w:t>
      </w:r>
      <w:r w:rsidR="000F038F">
        <w:rPr>
          <w:rFonts w:ascii="Times New Roman" w:hAnsi="Times New Roman" w:cs="Times New Roman"/>
          <w:noProof/>
          <w:sz w:val="24"/>
          <w:szCs w:val="24"/>
        </w:rPr>
        <w:t xml:space="preserve"> Secondary structures motifs of hsEH.</w:t>
      </w:r>
    </w:p>
    <w:p w:rsidR="000F038F" w:rsidRDefault="000F038F" w:rsidP="003759CD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  <w:sectPr w:rsidR="000F038F" w:rsidSect="000F038F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F038F" w:rsidRPr="003759CD" w:rsidRDefault="000F038F" w:rsidP="003759CD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3759CD" w:rsidRDefault="003759CD" w:rsidP="000F03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3759CD" w:rsidRPr="003759CD" w:rsidRDefault="003759CD" w:rsidP="000F03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Figure S1</w:t>
      </w:r>
      <w:r w:rsidR="0022585A">
        <w:rPr>
          <w:rFonts w:ascii="Times New Roman" w:hAnsi="Times New Roman" w:cs="Times New Roman"/>
          <w:sz w:val="24"/>
          <w:szCs w:val="24"/>
        </w:rPr>
        <w:t>.</w:t>
      </w:r>
      <w:r w:rsidR="000F038F">
        <w:rPr>
          <w:rFonts w:ascii="Times New Roman" w:hAnsi="Times New Roman" w:cs="Times New Roman"/>
          <w:sz w:val="24"/>
          <w:szCs w:val="24"/>
        </w:rPr>
        <w:t xml:space="preserve"> Secondary structure motifs showed on the protein structure</w:t>
      </w:r>
      <w:r w:rsidR="0022585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W w:w="0" w:type="auto"/>
        <w:tblInd w:w="99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126"/>
        <w:gridCol w:w="1835"/>
      </w:tblGrid>
      <w:tr w:rsidR="003759CD" w:rsidTr="00513B60">
        <w:trPr>
          <w:trHeight w:val="205"/>
        </w:trPr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lastRenderedPageBreak/>
              <w:t>Secondary structure name</w:t>
            </w:r>
          </w:p>
        </w:tc>
        <w:tc>
          <w:tcPr>
            <w:tcW w:w="1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Residues</w:t>
            </w:r>
          </w:p>
        </w:tc>
      </w:tr>
      <w:tr w:rsidR="003759CD" w:rsidTr="00513B60">
        <w:trPr>
          <w:trHeight w:val="205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Main domain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bookmarkStart w:id="0" w:name="docs-internal-guid-f53a26a0-7fff-77d3-01"/>
            <w:bookmarkEnd w:id="0"/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  <w:r w:rsidRPr="003759C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 w:rsidRPr="003759C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3759C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369 and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</w:r>
            <w:r w:rsidRPr="003759C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M469-M555</w:t>
            </w:r>
          </w:p>
        </w:tc>
      </w:tr>
      <w:tr w:rsidR="003759CD" w:rsidTr="00513B60">
        <w:trPr>
          <w:trHeight w:val="205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Cap domain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bookmarkStart w:id="1" w:name="docs-internal-guid-e2d4b83a-7fff-a984-68"/>
            <w:bookmarkEnd w:id="1"/>
            <w:r w:rsidRPr="003759C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S370-R46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</w:tr>
      <w:tr w:rsidR="003759CD" w:rsidTr="00513B60">
        <w:trPr>
          <w:trHeight w:val="214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NC-loop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bookmarkStart w:id="2" w:name="docs-internal-guid-a2df2b3a-7fff-09c8-7d"/>
            <w:bookmarkEnd w:id="2"/>
            <w:r w:rsidRPr="003759C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Y348-S370</w:t>
            </w:r>
          </w:p>
        </w:tc>
      </w:tr>
      <w:tr w:rsidR="003759CD" w:rsidTr="00513B60">
        <w:trPr>
          <w:trHeight w:val="205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Cap-loop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bookmarkStart w:id="3" w:name="docs-internal-guid-dedeafe6-7fff-d8cc-8b"/>
            <w:bookmarkEnd w:id="3"/>
            <w:r w:rsidRPr="003759C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F409-T443</w:t>
            </w:r>
          </w:p>
        </w:tc>
      </w:tr>
      <w:tr w:rsidR="003759CD" w:rsidTr="00513B60">
        <w:trPr>
          <w:trHeight w:val="214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rFonts w:cs="Liberation Serif"/>
                <w:sz w:val="18"/>
                <w:szCs w:val="18"/>
              </w:rPr>
              <w:t>β</w:t>
            </w:r>
            <w:r w:rsidRPr="003759CD">
              <w:rPr>
                <w:sz w:val="18"/>
                <w:szCs w:val="18"/>
              </w:rPr>
              <w:t>1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S238-K245</w:t>
            </w:r>
          </w:p>
        </w:tc>
      </w:tr>
      <w:tr w:rsidR="003759CD" w:rsidTr="00513B60">
        <w:trPr>
          <w:trHeight w:val="205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rFonts w:cs="Liberation Serif"/>
                <w:sz w:val="18"/>
                <w:szCs w:val="18"/>
              </w:rPr>
              <w:t>β2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V248-L255</w:t>
            </w:r>
          </w:p>
        </w:tc>
      </w:tr>
      <w:tr w:rsidR="003759CD" w:rsidTr="00513B60">
        <w:trPr>
          <w:trHeight w:val="205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rFonts w:cs="Liberation Serif"/>
                <w:sz w:val="18"/>
                <w:szCs w:val="18"/>
              </w:rPr>
              <w:t>β3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A260-C264</w:t>
            </w:r>
          </w:p>
        </w:tc>
      </w:tr>
      <w:tr w:rsidR="003759CD" w:rsidTr="00513B60">
        <w:trPr>
          <w:trHeight w:val="214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rFonts w:cs="Liberation Serif"/>
                <w:sz w:val="18"/>
                <w:szCs w:val="18"/>
              </w:rPr>
              <w:t>α1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S270-A284</w:t>
            </w:r>
          </w:p>
        </w:tc>
      </w:tr>
      <w:tr w:rsidR="003759CD" w:rsidTr="00513B60">
        <w:trPr>
          <w:trHeight w:val="205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rFonts w:cs="Liberation Serif"/>
                <w:sz w:val="18"/>
                <w:szCs w:val="18"/>
              </w:rPr>
              <w:t>β4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R287-D292</w:t>
            </w:r>
          </w:p>
        </w:tc>
      </w:tr>
      <w:tr w:rsidR="003759CD" w:rsidTr="00513B60">
        <w:trPr>
          <w:trHeight w:val="214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rFonts w:cs="Liberation Serif"/>
                <w:sz w:val="18"/>
                <w:szCs w:val="18"/>
              </w:rPr>
              <w:t>α2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E304-L324</w:t>
            </w:r>
          </w:p>
        </w:tc>
      </w:tr>
      <w:tr w:rsidR="003759CD" w:rsidTr="00513B60">
        <w:trPr>
          <w:trHeight w:val="205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rFonts w:cs="Liberation Serif"/>
                <w:sz w:val="18"/>
                <w:szCs w:val="18"/>
              </w:rPr>
              <w:t>β5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A329-H334</w:t>
            </w:r>
          </w:p>
        </w:tc>
      </w:tr>
      <w:tr w:rsidR="003759CD" w:rsidTr="00513B60">
        <w:trPr>
          <w:trHeight w:val="214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rFonts w:cs="Liberation Serif"/>
                <w:sz w:val="18"/>
                <w:szCs w:val="18"/>
              </w:rPr>
              <w:t>α3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D335-Y348</w:t>
            </w:r>
          </w:p>
        </w:tc>
      </w:tr>
      <w:tr w:rsidR="003759CD" w:rsidTr="00513B60">
        <w:trPr>
          <w:trHeight w:val="205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rFonts w:cs="Liberation Serif"/>
                <w:sz w:val="18"/>
                <w:szCs w:val="18"/>
              </w:rPr>
              <w:t>β6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V352-L358</w:t>
            </w:r>
          </w:p>
        </w:tc>
      </w:tr>
      <w:tr w:rsidR="003759CD" w:rsidTr="00513B60">
        <w:trPr>
          <w:trHeight w:val="205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rFonts w:cs="Liberation Serif"/>
                <w:sz w:val="18"/>
                <w:szCs w:val="18"/>
              </w:rPr>
              <w:t>α</w:t>
            </w:r>
            <w:r w:rsidRPr="003759CD">
              <w:rPr>
                <w:sz w:val="18"/>
                <w:szCs w:val="18"/>
              </w:rPr>
              <w:t>4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bookmarkStart w:id="4" w:name="docs-internal-guid-429e50e5-7fff-65ee-1e"/>
            <w:bookmarkEnd w:id="4"/>
            <w:r w:rsidRPr="003759C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S370-E389</w:t>
            </w:r>
          </w:p>
        </w:tc>
      </w:tr>
      <w:tr w:rsidR="003759CD" w:rsidTr="00513B60">
        <w:trPr>
          <w:trHeight w:val="214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rFonts w:cs="Liberation Serif"/>
                <w:sz w:val="18"/>
                <w:szCs w:val="18"/>
              </w:rPr>
              <w:t>α5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G391-F409</w:t>
            </w:r>
          </w:p>
        </w:tc>
      </w:tr>
      <w:tr w:rsidR="003759CD" w:rsidTr="00513B60">
        <w:trPr>
          <w:trHeight w:val="205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rFonts w:cs="Liberation Serif"/>
                <w:sz w:val="18"/>
                <w:szCs w:val="18"/>
              </w:rPr>
              <w:t>α6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r w:rsidRPr="003759C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K421-G426</w:t>
            </w:r>
          </w:p>
        </w:tc>
      </w:tr>
      <w:tr w:rsidR="003759CD" w:rsidTr="00513B60">
        <w:trPr>
          <w:trHeight w:val="214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rFonts w:cs="Liberation Serif"/>
                <w:sz w:val="18"/>
                <w:szCs w:val="18"/>
              </w:rPr>
              <w:t>α7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T443-K455</w:t>
            </w:r>
          </w:p>
        </w:tc>
      </w:tr>
      <w:tr w:rsidR="003759CD" w:rsidTr="00513B60">
        <w:trPr>
          <w:trHeight w:val="205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rFonts w:cs="Liberation Serif"/>
                <w:sz w:val="18"/>
                <w:szCs w:val="18"/>
              </w:rPr>
              <w:t>α8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F459-W465</w:t>
            </w:r>
          </w:p>
        </w:tc>
      </w:tr>
      <w:tr w:rsidR="003759CD" w:rsidTr="00513B60">
        <w:trPr>
          <w:trHeight w:val="214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rFonts w:cs="Liberation Serif"/>
                <w:sz w:val="18"/>
                <w:szCs w:val="18"/>
              </w:rPr>
              <w:t>α9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N468-L480</w:t>
            </w:r>
          </w:p>
        </w:tc>
      </w:tr>
      <w:tr w:rsidR="003759CD" w:rsidTr="00513B60">
        <w:trPr>
          <w:trHeight w:val="205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rFonts w:cs="Liberation Serif"/>
                <w:sz w:val="18"/>
                <w:szCs w:val="18"/>
              </w:rPr>
              <w:t>β7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A488-A493</w:t>
            </w:r>
          </w:p>
        </w:tc>
      </w:tr>
      <w:tr w:rsidR="003759CD" w:rsidTr="00513B60">
        <w:trPr>
          <w:trHeight w:val="214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rFonts w:cs="Liberation Serif"/>
                <w:sz w:val="18"/>
                <w:szCs w:val="18"/>
              </w:rPr>
              <w:t>α</w:t>
            </w:r>
            <w:r w:rsidRPr="003759CD">
              <w:rPr>
                <w:sz w:val="18"/>
                <w:szCs w:val="18"/>
              </w:rPr>
              <w:t>10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bookmarkStart w:id="5" w:name="docs-internal-guid-e22843fe-7fff-dd2d-90"/>
            <w:bookmarkEnd w:id="5"/>
            <w:r w:rsidRPr="003759C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V500-I511</w:t>
            </w:r>
          </w:p>
        </w:tc>
      </w:tr>
      <w:tr w:rsidR="003759CD" w:rsidTr="00513B60">
        <w:trPr>
          <w:trHeight w:val="205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rFonts w:cs="Liberation Serif"/>
                <w:sz w:val="18"/>
                <w:szCs w:val="18"/>
              </w:rPr>
              <w:t>β8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r w:rsidRPr="003759C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K515-I519</w:t>
            </w:r>
          </w:p>
        </w:tc>
      </w:tr>
      <w:tr w:rsidR="003759CD" w:rsidTr="00513B60">
        <w:trPr>
          <w:trHeight w:val="214"/>
        </w:trPr>
        <w:tc>
          <w:tcPr>
            <w:tcW w:w="2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3759CD" w:rsidRPr="003759CD" w:rsidRDefault="003759CD" w:rsidP="00513B60">
            <w:pPr>
              <w:pStyle w:val="TableContents"/>
              <w:spacing w:before="80" w:after="80"/>
              <w:rPr>
                <w:sz w:val="18"/>
                <w:szCs w:val="18"/>
              </w:rPr>
            </w:pPr>
            <w:r w:rsidRPr="003759CD">
              <w:rPr>
                <w:rFonts w:cs="Liberation Serif"/>
                <w:sz w:val="18"/>
                <w:szCs w:val="18"/>
              </w:rPr>
              <w:t>α11</w:t>
            </w:r>
          </w:p>
        </w:tc>
        <w:tc>
          <w:tcPr>
            <w:tcW w:w="183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3759CD" w:rsidRPr="003759CD" w:rsidRDefault="003759CD" w:rsidP="00513B60">
            <w:pPr>
              <w:spacing w:before="80" w:after="80" w:line="240" w:lineRule="auto"/>
              <w:rPr>
                <w:sz w:val="18"/>
                <w:szCs w:val="18"/>
              </w:rPr>
            </w:pPr>
            <w:r w:rsidRPr="003759CD">
              <w:rPr>
                <w:sz w:val="18"/>
                <w:szCs w:val="18"/>
              </w:rPr>
              <w:t>W525-A546</w:t>
            </w:r>
          </w:p>
        </w:tc>
      </w:tr>
    </w:tbl>
    <w:p w:rsidR="000F038F" w:rsidRDefault="000F038F" w:rsidP="003759CD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0F038F" w:rsidSect="000F038F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:rsidR="000F038F" w:rsidRDefault="000F038F" w:rsidP="003759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color w:val="000000"/>
          <w:bdr w:val="none" w:sz="0" w:space="0" w:color="auto" w:frame="1"/>
        </w:rPr>
        <w:lastRenderedPageBreak/>
        <w:drawing>
          <wp:inline distT="0" distB="0" distL="0" distR="0">
            <wp:extent cx="5730240" cy="2400300"/>
            <wp:effectExtent l="0" t="0" r="381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038F" w:rsidRDefault="000F038F" w:rsidP="000F03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F038F" w:rsidRDefault="000F038F" w:rsidP="000F038F">
      <w:pPr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F038F">
        <w:rPr>
          <w:rFonts w:ascii="Times New Roman" w:hAnsi="Times New Roman" w:cs="Times New Roman"/>
          <w:color w:val="000000"/>
          <w:sz w:val="24"/>
          <w:szCs w:val="24"/>
        </w:rPr>
        <w:t>Supplementary Figure S2. Localisation of areas of water/cosolvent molecule entry/egress (clusters) to the active site of hsEH – (a) MixMD simulation with water and acetonitrile molecules, (b) MixMD simulation with water and urea molecules, (c) MixMD simulation with water and methanol molecules. Small balls represent single inlets of water/cosolvent molecule entry/egress, colours correspond to identified tunnels (pink – Tm1, green – Tc/m, cyan – Tg, orange – Tm2, yellow – Tcap1, limon – Tm3). Different shades of colour within a given cluster makes it possible to distinguish the space occupied by water (light pink, deep green) or particular cosolvent (deep pink, light green – acetonitrile, urea, methanol). Newly opened Tcap1 and Tm3 tunnels are frequented by water molecules.</w:t>
      </w:r>
    </w:p>
    <w:p w:rsidR="000F038F" w:rsidRDefault="000F038F">
      <w:pPr>
        <w:spacing w:after="160" w:line="259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:rsidR="00513B60" w:rsidRDefault="00513B60" w:rsidP="000F03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  <w:sectPr w:rsidR="00513B60" w:rsidSect="00513B60">
          <w:pgSz w:w="11907" w:h="16839" w:code="9"/>
          <w:pgMar w:top="1417" w:right="1417" w:bottom="1417" w:left="1417" w:header="708" w:footer="708" w:gutter="0"/>
          <w:cols w:space="708"/>
          <w:docGrid w:linePitch="360"/>
        </w:sectPr>
      </w:pPr>
    </w:p>
    <w:p w:rsidR="0022585A" w:rsidRDefault="000F038F" w:rsidP="000F038F">
      <w:pPr>
        <w:spacing w:line="480" w:lineRule="auto"/>
        <w:jc w:val="both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Table S2</w:t>
      </w:r>
      <w:r w:rsidR="0022585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Complete list of interactions identified by Ligplot between hsEH and inhibitors in various crystal structures. Amino acids colour coding corresponds to the cluster analysis presented in the Figure 2</w:t>
      </w:r>
      <w:r w:rsidR="0022585A">
        <w:rPr>
          <w:rFonts w:ascii="Times New Roman" w:hAnsi="Times New Roman" w:cs="Times New Roman"/>
          <w:sz w:val="24"/>
          <w:szCs w:val="24"/>
        </w:rPr>
        <w:t xml:space="preserve">; </w:t>
      </w:r>
      <w:r w:rsidR="0022585A" w:rsidRPr="00227475">
        <w:rPr>
          <w:rFonts w:ascii="Times New Roman" w:eastAsia="Times New Roman" w:hAnsi="Times New Roman" w:cs="Times New Roman"/>
          <w:szCs w:val="24"/>
        </w:rPr>
        <w:t>C-1a (light pink), C-1b (deep pink), C-2 (cyan), C-3 (green), C-4 (yellow)</w:t>
      </w:r>
      <w:r w:rsidR="0022585A">
        <w:rPr>
          <w:rFonts w:ascii="Times New Roman" w:eastAsia="Times New Roman" w:hAnsi="Times New Roman" w:cs="Times New Roman"/>
          <w:szCs w:val="24"/>
        </w:rPr>
        <w:t>. NNB refers to non-bonded interactions, and HHB refers to hydrogen bonds.</w:t>
      </w:r>
      <w:bookmarkStart w:id="6" w:name="_GoBack"/>
      <w:bookmarkEnd w:id="6"/>
    </w:p>
    <w:p w:rsidR="00513B60" w:rsidRDefault="00513B60">
      <w:pPr>
        <w:spacing w:after="160" w:line="259" w:lineRule="auto"/>
        <w:rPr>
          <w:rFonts w:ascii="Times New Roman" w:eastAsia="Times New Roman" w:hAnsi="Times New Roman" w:cs="Times New Roman"/>
          <w:szCs w:val="24"/>
        </w:rPr>
      </w:pPr>
      <w:r w:rsidRPr="00513B60">
        <w:rPr>
          <w:rFonts w:ascii="Times New Roman" w:eastAsia="Times New Roman" w:hAnsi="Times New Roman" w:cs="Times New Roman"/>
          <w:noProof/>
          <w:szCs w:val="24"/>
        </w:rPr>
        <w:drawing>
          <wp:inline distT="0" distB="0" distL="0" distR="0">
            <wp:extent cx="8938260" cy="11381093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1085" cy="1138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B60" w:rsidRDefault="00513B60">
      <w:pPr>
        <w:spacing w:after="160" w:line="259" w:lineRule="auto"/>
        <w:rPr>
          <w:rFonts w:ascii="Times New Roman" w:eastAsia="Times New Roman" w:hAnsi="Times New Roman" w:cs="Times New Roman"/>
          <w:szCs w:val="24"/>
        </w:rPr>
      </w:pPr>
    </w:p>
    <w:p w:rsidR="00513B60" w:rsidRDefault="00513B60">
      <w:pPr>
        <w:spacing w:after="160" w:line="259" w:lineRule="auto"/>
        <w:rPr>
          <w:rFonts w:ascii="Times New Roman" w:eastAsia="Times New Roman" w:hAnsi="Times New Roman" w:cs="Times New Roman"/>
          <w:szCs w:val="24"/>
        </w:rPr>
        <w:sectPr w:rsidR="00513B60" w:rsidSect="00513B60">
          <w:pgSz w:w="16840" w:h="23814" w:code="8"/>
          <w:pgMar w:top="1418" w:right="1418" w:bottom="1418" w:left="1418" w:header="709" w:footer="709" w:gutter="0"/>
          <w:cols w:space="708"/>
          <w:docGrid w:linePitch="360"/>
        </w:sectPr>
      </w:pPr>
    </w:p>
    <w:p w:rsidR="0022585A" w:rsidRPr="0022585A" w:rsidRDefault="0022585A" w:rsidP="0022585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S3. </w:t>
      </w:r>
      <w:r w:rsidRPr="0022585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The number of added water molecules added for classical MD simulation, together with the number of added water and cosolvent molecules for mixed-solvent MD simulations and their percentage concentrations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22585A" w:rsidRPr="0022585A" w:rsidRDefault="0022585A" w:rsidP="0022585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4"/>
        <w:gridCol w:w="1980"/>
        <w:gridCol w:w="2913"/>
      </w:tblGrid>
      <w:tr w:rsidR="0022585A" w:rsidRPr="0022585A" w:rsidTr="0022585A">
        <w:trPr>
          <w:jc w:val="center"/>
        </w:trPr>
        <w:tc>
          <w:tcPr>
            <w:tcW w:w="0" w:type="auto"/>
            <w:tcBorders>
              <w:top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(Co)solvent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Concentration [%]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Number of added molecules</w:t>
            </w:r>
          </w:p>
        </w:tc>
      </w:tr>
      <w:tr w:rsidR="0022585A" w:rsidRPr="0022585A" w:rsidTr="0022585A">
        <w:trPr>
          <w:jc w:val="center"/>
        </w:trPr>
        <w:tc>
          <w:tcPr>
            <w:tcW w:w="0" w:type="auto"/>
            <w:tcBorders>
              <w:top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pl-PL"/>
              </w:rPr>
            </w:pP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WAT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pl-PL"/>
              </w:rPr>
            </w:pP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-</w:t>
            </w:r>
          </w:p>
        </w:tc>
        <w:tc>
          <w:tcPr>
            <w:tcW w:w="0" w:type="auto"/>
            <w:tcBorders>
              <w:top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pl-PL"/>
              </w:rPr>
            </w:pP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WAT: 9983</w:t>
            </w:r>
          </w:p>
        </w:tc>
      </w:tr>
      <w:tr w:rsidR="0022585A" w:rsidRPr="0022585A" w:rsidTr="0022585A">
        <w:trPr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pl-PL"/>
              </w:rPr>
            </w:pP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ACN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pl-PL"/>
              </w:rPr>
            </w:pP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15.58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pl-PL"/>
              </w:rPr>
            </w:pP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ACN: 800</w:t>
            </w: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br/>
              <w:t>WAT: 9980</w:t>
            </w:r>
          </w:p>
        </w:tc>
      </w:tr>
      <w:tr w:rsidR="0022585A" w:rsidRPr="0022585A" w:rsidTr="0022585A">
        <w:trPr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pl-PL"/>
              </w:rPr>
            </w:pP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DMSO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pl-PL"/>
              </w:rPr>
            </w:pP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13.45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pl-PL"/>
              </w:rPr>
            </w:pP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DMSO: 400</w:t>
            </w:r>
          </w:p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pl-PL"/>
              </w:rPr>
            </w:pP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WAT: 10980</w:t>
            </w:r>
          </w:p>
        </w:tc>
      </w:tr>
      <w:tr w:rsidR="0022585A" w:rsidRPr="0022585A" w:rsidTr="0022585A">
        <w:trPr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pl-PL"/>
              </w:rPr>
            </w:pP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MEO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pl-PL"/>
              </w:rPr>
            </w:pP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10.86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pl-PL"/>
              </w:rPr>
            </w:pP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MEO: 800</w:t>
            </w: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br/>
              <w:t>WAT: 9980</w:t>
            </w:r>
          </w:p>
        </w:tc>
      </w:tr>
      <w:tr w:rsidR="0022585A" w:rsidRPr="0022585A" w:rsidTr="0022585A">
        <w:trPr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pl-PL"/>
              </w:rPr>
            </w:pP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PHN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pl-PL"/>
              </w:rPr>
            </w:pP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0.60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pl-PL"/>
              </w:rPr>
            </w:pP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PHN: 15</w:t>
            </w: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br/>
              <w:t>WAT: 9980</w:t>
            </w:r>
          </w:p>
        </w:tc>
      </w:tr>
      <w:tr w:rsidR="0022585A" w:rsidRPr="0022585A" w:rsidTr="0022585A">
        <w:trPr>
          <w:jc w:val="center"/>
        </w:trPr>
        <w:tc>
          <w:tcPr>
            <w:tcW w:w="0" w:type="auto"/>
            <w:tcBorders>
              <w:bottom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pl-PL"/>
              </w:rPr>
            </w:pP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URE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pl-PL"/>
              </w:rPr>
            </w:pP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18.23</w:t>
            </w:r>
          </w:p>
        </w:tc>
        <w:tc>
          <w:tcPr>
            <w:tcW w:w="0" w:type="auto"/>
            <w:tcBorders>
              <w:bottom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22585A" w:rsidRPr="0022585A" w:rsidRDefault="0022585A" w:rsidP="0022585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 w:eastAsia="pl-PL"/>
              </w:rPr>
            </w:pP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t>URE: 800</w:t>
            </w:r>
            <w:r w:rsidRPr="002258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l-PL" w:eastAsia="pl-PL"/>
              </w:rPr>
              <w:br/>
              <w:t>WAT: 9980</w:t>
            </w:r>
          </w:p>
        </w:tc>
      </w:tr>
    </w:tbl>
    <w:p w:rsidR="0022585A" w:rsidRPr="000F038F" w:rsidRDefault="0022585A" w:rsidP="000F038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2585A" w:rsidRPr="000F038F" w:rsidSect="00513B60">
      <w:pgSz w:w="11907" w:h="16839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7266" w:rsidRDefault="00767266" w:rsidP="003759CD">
      <w:pPr>
        <w:spacing w:line="240" w:lineRule="auto"/>
      </w:pPr>
      <w:r>
        <w:separator/>
      </w:r>
    </w:p>
  </w:endnote>
  <w:endnote w:type="continuationSeparator" w:id="0">
    <w:p w:rsidR="00767266" w:rsidRDefault="00767266" w:rsidP="003759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ans CJK SC">
    <w:charset w:val="01"/>
    <w:family w:val="auto"/>
    <w:pitch w:val="variable"/>
  </w:font>
  <w:font w:name="Lohit Devanagari">
    <w:charset w:val="01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66762232"/>
      <w:docPartObj>
        <w:docPartGallery w:val="Page Numbers (Bottom of Page)"/>
        <w:docPartUnique/>
      </w:docPartObj>
    </w:sdtPr>
    <w:sdtEndPr/>
    <w:sdtContent>
      <w:p w:rsidR="003759CD" w:rsidRDefault="003759CD">
        <w:pPr>
          <w:pStyle w:val="Stopka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513B60" w:rsidRPr="00513B60">
          <w:rPr>
            <w:noProof/>
            <w:lang w:val="pl-PL"/>
          </w:rPr>
          <w:t>5</w:t>
        </w:r>
        <w:r>
          <w:fldChar w:fldCharType="end"/>
        </w:r>
      </w:p>
    </w:sdtContent>
  </w:sdt>
  <w:p w:rsidR="003759CD" w:rsidRDefault="003759C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7266" w:rsidRDefault="00767266" w:rsidP="003759CD">
      <w:pPr>
        <w:spacing w:line="240" w:lineRule="auto"/>
      </w:pPr>
      <w:r>
        <w:separator/>
      </w:r>
    </w:p>
  </w:footnote>
  <w:footnote w:type="continuationSeparator" w:id="0">
    <w:p w:rsidR="00767266" w:rsidRDefault="00767266" w:rsidP="003759C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9CD"/>
    <w:rsid w:val="000F038F"/>
    <w:rsid w:val="001511BA"/>
    <w:rsid w:val="0022585A"/>
    <w:rsid w:val="003759CD"/>
    <w:rsid w:val="00513B60"/>
    <w:rsid w:val="00767266"/>
    <w:rsid w:val="00767424"/>
    <w:rsid w:val="00A31E6F"/>
    <w:rsid w:val="00DB0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C2B358-F0A2-41B8-866B-35787447B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759CD"/>
    <w:pPr>
      <w:spacing w:after="0" w:line="276" w:lineRule="auto"/>
    </w:pPr>
    <w:rPr>
      <w:rFonts w:ascii="Arial" w:eastAsia="Arial" w:hAnsi="Arial" w:cs="Arial"/>
      <w:lang w:val="en-GB" w:eastAsia="en-GB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2585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759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759CD"/>
    <w:rPr>
      <w:rFonts w:ascii="Arial" w:eastAsia="Arial" w:hAnsi="Arial" w:cs="Arial"/>
      <w:lang w:val="en-GB" w:eastAsia="en-GB"/>
    </w:rPr>
  </w:style>
  <w:style w:type="paragraph" w:styleId="Stopka">
    <w:name w:val="footer"/>
    <w:basedOn w:val="Normalny"/>
    <w:link w:val="StopkaZnak"/>
    <w:uiPriority w:val="99"/>
    <w:unhideWhenUsed/>
    <w:rsid w:val="003759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759CD"/>
    <w:rPr>
      <w:rFonts w:ascii="Arial" w:eastAsia="Arial" w:hAnsi="Arial" w:cs="Arial"/>
      <w:lang w:val="en-GB" w:eastAsia="en-GB"/>
    </w:rPr>
  </w:style>
  <w:style w:type="paragraph" w:customStyle="1" w:styleId="TableContents">
    <w:name w:val="Table Contents"/>
    <w:basedOn w:val="Normalny"/>
    <w:rsid w:val="003759CD"/>
    <w:pPr>
      <w:suppressLineNumbers/>
      <w:suppressAutoHyphens/>
      <w:spacing w:line="240" w:lineRule="auto"/>
    </w:pPr>
    <w:rPr>
      <w:rFonts w:ascii="Liberation Serif" w:eastAsia="Noto Sans CJK SC" w:hAnsi="Liberation Serif" w:cs="Lohit Devanagari"/>
      <w:kern w:val="2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F038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38F"/>
    <w:rPr>
      <w:rFonts w:ascii="Segoe UI" w:eastAsia="Arial" w:hAnsi="Segoe UI" w:cs="Segoe UI"/>
      <w:sz w:val="18"/>
      <w:szCs w:val="18"/>
      <w:lang w:val="en-GB" w:eastAsia="en-GB"/>
    </w:rPr>
  </w:style>
  <w:style w:type="paragraph" w:styleId="NormalnyWeb">
    <w:name w:val="Normal (Web)"/>
    <w:basedOn w:val="Normalny"/>
    <w:uiPriority w:val="99"/>
    <w:semiHidden/>
    <w:unhideWhenUsed/>
    <w:rsid w:val="002258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22585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22585A"/>
    <w:pPr>
      <w:spacing w:line="259" w:lineRule="auto"/>
      <w:outlineLvl w:val="9"/>
    </w:pPr>
    <w:rPr>
      <w:lang w:val="pl-PL" w:eastAsia="pl-PL"/>
    </w:rPr>
  </w:style>
  <w:style w:type="paragraph" w:styleId="Spistreci2">
    <w:name w:val="toc 2"/>
    <w:basedOn w:val="Normalny"/>
    <w:next w:val="Normalny"/>
    <w:autoRedefine/>
    <w:uiPriority w:val="39"/>
    <w:unhideWhenUsed/>
    <w:rsid w:val="0022585A"/>
    <w:pPr>
      <w:spacing w:after="100" w:line="259" w:lineRule="auto"/>
      <w:ind w:left="220"/>
    </w:pPr>
    <w:rPr>
      <w:rFonts w:asciiTheme="minorHAnsi" w:eastAsiaTheme="minorEastAsia" w:hAnsiTheme="minorHAnsi" w:cs="Times New Roman"/>
      <w:lang w:val="pl-PL"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22585A"/>
    <w:pPr>
      <w:spacing w:after="100" w:line="259" w:lineRule="auto"/>
    </w:pPr>
    <w:rPr>
      <w:rFonts w:asciiTheme="minorHAnsi" w:eastAsiaTheme="minorEastAsia" w:hAnsiTheme="minorHAnsi" w:cs="Times New Roman"/>
      <w:lang w:val="pl-PL" w:eastAsia="pl-PL"/>
    </w:rPr>
  </w:style>
  <w:style w:type="paragraph" w:styleId="Spistreci3">
    <w:name w:val="toc 3"/>
    <w:basedOn w:val="Normalny"/>
    <w:next w:val="Normalny"/>
    <w:autoRedefine/>
    <w:uiPriority w:val="39"/>
    <w:unhideWhenUsed/>
    <w:rsid w:val="0022585A"/>
    <w:pPr>
      <w:spacing w:after="100" w:line="259" w:lineRule="auto"/>
      <w:ind w:left="440"/>
    </w:pPr>
    <w:rPr>
      <w:rFonts w:asciiTheme="minorHAnsi" w:eastAsiaTheme="minorEastAsia" w:hAnsiTheme="minorHAnsi" w:cs="Times New Roman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5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263750">
          <w:marLeft w:val="-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2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1252BB-CAC9-4390-AE60-62C02F88D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Bzówka</dc:creator>
  <cp:keywords/>
  <dc:description/>
  <cp:lastModifiedBy>Artur Góra</cp:lastModifiedBy>
  <cp:revision>2</cp:revision>
  <dcterms:created xsi:type="dcterms:W3CDTF">2020-05-01T12:24:00Z</dcterms:created>
  <dcterms:modified xsi:type="dcterms:W3CDTF">2020-05-01T12:24:00Z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http://www.zotero.org/styles/acs-medicinal-chemistry-letters</vt:lpwstr>
  </property>
  <property fmtid="{D5CDD505-2E9C-101B-9397-08002B2CF9AE}" pid="3" name="Mendeley Recent Style Name 0_1">
    <vt:lpwstr>ACS Medicinal Chemistry Letters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http://www.zotero.org/styles/bioinformatics</vt:lpwstr>
  </property>
  <property fmtid="{D5CDD505-2E9C-101B-9397-08002B2CF9AE}" pid="9" name="Mendeley Recent Style Name 3_1">
    <vt:lpwstr>Bioinformatics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http://www.zotero.org/styles/journal-of-medicinal-chemistry</vt:lpwstr>
  </property>
  <property fmtid="{D5CDD505-2E9C-101B-9397-08002B2CF9AE}" pid="17" name="Mendeley Recent Style Name 7_1">
    <vt:lpwstr>Journal of Medicinal Chemistry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