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0FF9F" w14:textId="4EBB5013" w:rsidR="009772AA" w:rsidRDefault="009772AA"/>
    <w:p w14:paraId="7B43C3D3" w14:textId="5072E074" w:rsidR="009772AA" w:rsidRDefault="009772AA">
      <w:r>
        <w:rPr>
          <w:noProof/>
        </w:rPr>
        <w:drawing>
          <wp:inline distT="0" distB="0" distL="0" distR="0" wp14:anchorId="632DC4E5" wp14:editId="0A84EFA5">
            <wp:extent cx="7461250" cy="3903345"/>
            <wp:effectExtent l="0" t="0" r="6350" b="190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39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9772AA" w14:paraId="17265BAF" w14:textId="77777777" w:rsidTr="009D43D6">
        <w:trPr>
          <w:trHeight w:val="924"/>
        </w:trPr>
        <w:tc>
          <w:tcPr>
            <w:tcW w:w="11740" w:type="dxa"/>
          </w:tcPr>
          <w:p w14:paraId="4667CCBD" w14:textId="77777777" w:rsidR="009772AA" w:rsidRPr="00541EC0" w:rsidRDefault="009772AA" w:rsidP="009D43D6">
            <w:pPr>
              <w:rPr>
                <w:rFonts w:hAnsi="Calibri"/>
                <w:color w:val="000000" w:themeColor="dark1"/>
                <w:kern w:val="24"/>
              </w:rPr>
            </w:pPr>
            <w:r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Supplementary Table 1. </w:t>
            </w:r>
            <w:r>
              <w:rPr>
                <w:rFonts w:hAnsi="Calibri"/>
                <w:color w:val="000000" w:themeColor="dark1"/>
                <w:kern w:val="24"/>
              </w:rPr>
              <w:t xml:space="preserve">Univariable Cox proportional hazard regression analysis to estimate Hazard Ratios (HR) and 95% confidence intervals (CI) for various treatments administered to patients post CNS metastasis/pre BC-LMD diagnosis. Treatments that were found to significantly prolong time between CNS metastasis and BC-LMD are highlighted in red. </w:t>
            </w:r>
          </w:p>
        </w:tc>
      </w:tr>
      <w:tr w:rsidR="009772AA" w14:paraId="2453DD63" w14:textId="77777777" w:rsidTr="009D43D6">
        <w:tc>
          <w:tcPr>
            <w:tcW w:w="11740" w:type="dxa"/>
          </w:tcPr>
          <w:p w14:paraId="35980711" w14:textId="77777777" w:rsidR="009772AA" w:rsidRPr="00AD7F5F" w:rsidRDefault="009772AA" w:rsidP="009D43D6">
            <w:r>
              <w:rPr>
                <w:b/>
                <w:bCs/>
              </w:rPr>
              <w:t xml:space="preserve">Abbreviations: </w:t>
            </w:r>
            <w:r w:rsidRPr="00541EC0">
              <w:rPr>
                <w:rFonts w:cstheme="minorHAnsi"/>
              </w:rPr>
              <w:t>Hormone Receptor Positive (HR+); Human Epidermal Growth Factor Receptor 2-Positive (HER2+); Triple Negative Breast Cancer (TNBC)</w:t>
            </w:r>
            <w:r>
              <w:rPr>
                <w:rFonts w:cstheme="minorHAnsi"/>
              </w:rPr>
              <w:t xml:space="preserve">; </w:t>
            </w:r>
            <w:r>
              <w:t>Whole Brain Radiation Therapy (WBRT); Hazard Ratio (HR); Confidence Interval (CI).</w:t>
            </w:r>
          </w:p>
        </w:tc>
      </w:tr>
    </w:tbl>
    <w:p w14:paraId="6219A558" w14:textId="48B84449" w:rsidR="009772AA" w:rsidRDefault="009772AA"/>
    <w:p w14:paraId="60208C38" w14:textId="5BB0292B" w:rsidR="009772AA" w:rsidRDefault="009772AA"/>
    <w:p w14:paraId="102834E2" w14:textId="718188E8" w:rsidR="009772AA" w:rsidRDefault="009772AA"/>
    <w:p w14:paraId="116E1F13" w14:textId="48AAD9DE" w:rsidR="009772AA" w:rsidRDefault="009772AA"/>
    <w:p w14:paraId="5D74FBCE" w14:textId="6BECE5B9" w:rsidR="009772AA" w:rsidRDefault="009772AA"/>
    <w:p w14:paraId="7A35ECE1" w14:textId="01CD6B8E" w:rsidR="009772AA" w:rsidRDefault="009772AA"/>
    <w:p w14:paraId="40A3C4C8" w14:textId="65C10E37" w:rsidR="009772AA" w:rsidRDefault="009772AA"/>
    <w:p w14:paraId="3A4B317E" w14:textId="71B67C9F" w:rsidR="009772AA" w:rsidRDefault="009772AA"/>
    <w:p w14:paraId="00D7D567" w14:textId="73228AC9" w:rsidR="009772AA" w:rsidRDefault="009772AA"/>
    <w:p w14:paraId="0F332DF8" w14:textId="39774628" w:rsidR="009772AA" w:rsidRDefault="009772AA"/>
    <w:p w14:paraId="2FCB35D0" w14:textId="21DC38C4" w:rsidR="009772AA" w:rsidRDefault="009772AA"/>
    <w:p w14:paraId="187A86A1" w14:textId="2F8B96A5" w:rsidR="009772AA" w:rsidRDefault="009772AA"/>
    <w:p w14:paraId="191F0EB6" w14:textId="57841CA1" w:rsidR="009772AA" w:rsidRDefault="009772AA"/>
    <w:p w14:paraId="024B3564" w14:textId="1A4BFC32" w:rsidR="009772AA" w:rsidRDefault="009772AA"/>
    <w:p w14:paraId="7016CCDA" w14:textId="35BDAB00" w:rsidR="009772AA" w:rsidRDefault="009772AA"/>
    <w:p w14:paraId="4855F6BE" w14:textId="24E7A567" w:rsidR="009772AA" w:rsidRDefault="009772AA"/>
    <w:p w14:paraId="65C113BE" w14:textId="3B1F4A1F" w:rsidR="009772AA" w:rsidRDefault="009772AA"/>
    <w:p w14:paraId="3A6B68E5" w14:textId="57BE172F" w:rsidR="009772AA" w:rsidRDefault="009772AA">
      <w:r>
        <w:rPr>
          <w:noProof/>
        </w:rPr>
        <w:drawing>
          <wp:inline distT="0" distB="0" distL="0" distR="0" wp14:anchorId="3BD500EB" wp14:editId="75910631">
            <wp:extent cx="7027408" cy="4790859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08" cy="4790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0"/>
      </w:tblGrid>
      <w:tr w:rsidR="009772AA" w14:paraId="513D8776" w14:textId="77777777" w:rsidTr="009D43D6">
        <w:trPr>
          <w:trHeight w:val="924"/>
        </w:trPr>
        <w:tc>
          <w:tcPr>
            <w:tcW w:w="11740" w:type="dxa"/>
          </w:tcPr>
          <w:p w14:paraId="7CD34CFD" w14:textId="77777777" w:rsidR="009772AA" w:rsidRPr="00541EC0" w:rsidRDefault="009772AA" w:rsidP="009D43D6">
            <w:pPr>
              <w:rPr>
                <w:rFonts w:hAnsi="Calibri"/>
                <w:color w:val="000000" w:themeColor="dark1"/>
                <w:kern w:val="24"/>
              </w:rPr>
            </w:pPr>
            <w:r>
              <w:rPr>
                <w:rFonts w:hAnsi="Calibri"/>
                <w:b/>
                <w:bCs/>
                <w:color w:val="000000" w:themeColor="dark1"/>
                <w:kern w:val="24"/>
              </w:rPr>
              <w:t xml:space="preserve">Supplementary Table 2. </w:t>
            </w:r>
            <w:r>
              <w:rPr>
                <w:rFonts w:hAnsi="Calibri"/>
                <w:color w:val="000000" w:themeColor="dark1"/>
                <w:kern w:val="24"/>
              </w:rPr>
              <w:t xml:space="preserve">Univariable Cox proportional hazard regression analysis to estimate Hazard Ratios (HR) and 95% confidence intervals (CI) for various treatments administered to patients post BC-LMD diagnosis. Treatments found to significantly enhance overall survival are highlighted in red. </w:t>
            </w:r>
          </w:p>
        </w:tc>
      </w:tr>
      <w:tr w:rsidR="009772AA" w14:paraId="6CBF948B" w14:textId="77777777" w:rsidTr="009D43D6">
        <w:tc>
          <w:tcPr>
            <w:tcW w:w="11740" w:type="dxa"/>
          </w:tcPr>
          <w:p w14:paraId="408295F4" w14:textId="77777777" w:rsidR="009772AA" w:rsidRPr="00AD7F5F" w:rsidRDefault="009772AA" w:rsidP="009D43D6">
            <w:r>
              <w:rPr>
                <w:b/>
                <w:bCs/>
              </w:rPr>
              <w:t xml:space="preserve">Abbreviations: </w:t>
            </w:r>
            <w:r w:rsidRPr="00541EC0">
              <w:rPr>
                <w:rFonts w:cstheme="minorHAnsi"/>
              </w:rPr>
              <w:t>Hormone Receptor Positive (HR+); Human Epidermal Growth Factor Receptor 2-Positive (HER2+); Triple Negative Breast Cancer (TNBC)</w:t>
            </w:r>
            <w:r>
              <w:rPr>
                <w:rFonts w:cstheme="minorHAnsi"/>
              </w:rPr>
              <w:t xml:space="preserve">; Immune Checkpoint Inhibitors (ICI); Intrathecal Therapy (IT); Systemic (sys); </w:t>
            </w:r>
            <w:r>
              <w:t xml:space="preserve">Whole Brain Radiation Therapy (WBRT); Hazard Ratio (HR); Confidence Interval (CI). </w:t>
            </w:r>
          </w:p>
        </w:tc>
      </w:tr>
    </w:tbl>
    <w:p w14:paraId="328C380C" w14:textId="77777777" w:rsidR="009772AA" w:rsidRDefault="009772AA"/>
    <w:sectPr w:rsidR="009772AA" w:rsidSect="009772AA">
      <w:pgSz w:w="12240" w:h="15840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AA"/>
    <w:rsid w:val="009034BA"/>
    <w:rsid w:val="009772AA"/>
    <w:rsid w:val="0099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F74CC"/>
  <w15:chartTrackingRefBased/>
  <w15:docId w15:val="{35E52133-1526-4365-8E30-82C473867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Kundalia, Ronak</dc:creator>
  <cp:keywords/>
  <dc:description/>
  <cp:lastModifiedBy>Yoly Pina</cp:lastModifiedBy>
  <cp:revision>2</cp:revision>
  <dcterms:created xsi:type="dcterms:W3CDTF">2023-05-25T10:53:00Z</dcterms:created>
  <dcterms:modified xsi:type="dcterms:W3CDTF">2023-05-25T10:53:00Z</dcterms:modified>
</cp:coreProperties>
</file>