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82CD9" w14:textId="69BD7B90" w:rsidR="00D22815" w:rsidRDefault="00D22815"/>
    <w:p w14:paraId="253A3189" w14:textId="765EB01E" w:rsidR="00D22815" w:rsidRDefault="00D22815">
      <w:r>
        <w:rPr>
          <w:noProof/>
        </w:rPr>
        <w:drawing>
          <wp:inline distT="0" distB="0" distL="0" distR="0" wp14:anchorId="25BAACAA" wp14:editId="4343FA08">
            <wp:extent cx="7461250" cy="4577080"/>
            <wp:effectExtent l="0" t="0" r="635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457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D22815" w:rsidRPr="00541EC0" w14:paraId="7E5A1756" w14:textId="77777777" w:rsidTr="009D43D6">
        <w:trPr>
          <w:trHeight w:val="3309"/>
        </w:trPr>
        <w:tc>
          <w:tcPr>
            <w:tcW w:w="11740" w:type="dxa"/>
          </w:tcPr>
          <w:p w14:paraId="5B1CE3C0" w14:textId="565FBCFA" w:rsidR="00D22815" w:rsidRPr="00541EC0" w:rsidRDefault="00830AD6" w:rsidP="009D43D6">
            <w:pPr>
              <w:rPr>
                <w:rFonts w:hAnsi="Calibri"/>
                <w:color w:val="000000" w:themeColor="dark1"/>
                <w:kern w:val="24"/>
              </w:rPr>
            </w:pPr>
            <w:r>
              <w:rPr>
                <w:b/>
                <w:bCs/>
              </w:rPr>
              <w:t>Supplementary Figure 1</w:t>
            </w:r>
            <w:r w:rsidR="00D22815" w:rsidRPr="00B237AA">
              <w:rPr>
                <w:b/>
                <w:bCs/>
              </w:rPr>
              <w:t>.</w:t>
            </w:r>
            <w:r w:rsidR="00D22815" w:rsidRPr="00B237AA"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>Kaplan-Meier estimates and multivariate analyses</w:t>
            </w:r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 for treatments </w:t>
            </w:r>
            <w:r w:rsidR="00D22815">
              <w:rPr>
                <w:rFonts w:hAnsi="Calibri"/>
                <w:color w:val="000000" w:themeColor="dark1"/>
                <w:kern w:val="24"/>
              </w:rPr>
              <w:t>that affect</w:t>
            </w:r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 time between CNS-metastasis diagnosis and BC-LMD diagnosis in HR+ BC patients. </w:t>
            </w:r>
            <w:r w:rsidR="00D22815" w:rsidRPr="00B237AA">
              <w:rPr>
                <w:rFonts w:hAnsi="Calibri"/>
                <w:b/>
                <w:bCs/>
                <w:color w:val="000000" w:themeColor="dark1"/>
                <w:kern w:val="24"/>
              </w:rPr>
              <w:t>A)</w:t>
            </w:r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 HR+ patients that received any hormone therapy experienced a significantly longer median time between breast cancer CNS-metastasis diagnosis and BC-LMD (25.6 months) compared to patients that did not (4.6 months). </w:t>
            </w:r>
            <w:proofErr w:type="gramStart"/>
            <w:r w:rsidR="00D22815" w:rsidRPr="00B237AA">
              <w:rPr>
                <w:rFonts w:hAnsi="Calibri"/>
                <w:color w:val="000000" w:themeColor="dark1"/>
                <w:kern w:val="24"/>
              </w:rPr>
              <w:t>In particular, HR</w:t>
            </w:r>
            <w:proofErr w:type="gramEnd"/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+ patients receiving the hormone therapy letrozole </w:t>
            </w:r>
            <w:r w:rsidR="00D22815" w:rsidRPr="00B237AA">
              <w:rPr>
                <w:rFonts w:hAnsi="Calibri"/>
                <w:b/>
                <w:bCs/>
                <w:color w:val="000000" w:themeColor="dark1"/>
                <w:kern w:val="24"/>
              </w:rPr>
              <w:t>(B)</w:t>
            </w:r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 had a longer median time between CNS-metastasis and BC-LMD compared to patients that did not (27.3 months vs 4.9 months, respectively). Patients receiving hormone therapy exemestane </w:t>
            </w:r>
            <w:r w:rsidR="00D22815" w:rsidRPr="00B237AA">
              <w:rPr>
                <w:rFonts w:hAnsi="Calibri"/>
                <w:b/>
                <w:bCs/>
                <w:color w:val="000000" w:themeColor="dark1"/>
                <w:kern w:val="24"/>
              </w:rPr>
              <w:t>(C)</w:t>
            </w:r>
            <w:r w:rsidR="00D22815" w:rsidRPr="00B237AA">
              <w:rPr>
                <w:rFonts w:hAnsi="Calibri"/>
                <w:color w:val="000000" w:themeColor="dark1"/>
                <w:kern w:val="24"/>
              </w:rPr>
              <w:t xml:space="preserve"> also experienced longer times between CNS metastasis and LMD (27.8 months) compared to those patients that did not (6.1 months). </w:t>
            </w:r>
            <w:r w:rsidR="00D22815" w:rsidRPr="00B237AA">
              <w:rPr>
                <w:rFonts w:hAnsi="Calibri"/>
                <w:b/>
                <w:bCs/>
                <w:color w:val="000000" w:themeColor="dark1"/>
                <w:kern w:val="24"/>
              </w:rPr>
              <w:t>D)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>HR+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patients receiving CDK4 and CDK6 selective inhibitor Palbociclib post CNS-metastasis experienced longer times between CNS metastasis and BC-LMD diagnoses compared to those that were not treated with Palbociclib (26.8 vs 7.2 months).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E)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HR+ patients receiving kinase inhibitor Everolimus experienced significantly longer times between CNS metastasis and BC-LMD (27.6 months) compared to those that did not (7.2 months).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F)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Multivariate analysis demonstrates that exemestane and Palbociclib are significant in delaying progression from CNS metastasis to BC-LMD in HR+ patients. </w:t>
            </w:r>
          </w:p>
        </w:tc>
      </w:tr>
      <w:tr w:rsidR="00D22815" w:rsidRPr="00AD7F5F" w14:paraId="29A6E757" w14:textId="77777777" w:rsidTr="009D43D6">
        <w:tc>
          <w:tcPr>
            <w:tcW w:w="11740" w:type="dxa"/>
          </w:tcPr>
          <w:p w14:paraId="613E2F3B" w14:textId="77777777" w:rsidR="00D22815" w:rsidRPr="00AD7F5F" w:rsidRDefault="00D22815" w:rsidP="009D43D6">
            <w:r>
              <w:rPr>
                <w:b/>
                <w:bCs/>
              </w:rPr>
              <w:t xml:space="preserve">Abbreviations: </w:t>
            </w:r>
            <w:r>
              <w:rPr>
                <w:rFonts w:cstheme="minorHAnsi"/>
              </w:rPr>
              <w:t xml:space="preserve">Leptomeningeal Disease (LMD); </w:t>
            </w:r>
            <w:r>
              <w:t>Hazard Ratio (HR); Confidence Interval (CI).</w:t>
            </w:r>
          </w:p>
        </w:tc>
      </w:tr>
    </w:tbl>
    <w:p w14:paraId="299767E9" w14:textId="0305C695" w:rsidR="00D22815" w:rsidRDefault="00D22815"/>
    <w:p w14:paraId="0F9FEAAB" w14:textId="04FA5FDE" w:rsidR="00D22815" w:rsidRDefault="00D22815"/>
    <w:p w14:paraId="143C858B" w14:textId="70DBDA51" w:rsidR="00D22815" w:rsidRDefault="00D22815"/>
    <w:p w14:paraId="3D5357CD" w14:textId="415C2F69" w:rsidR="00D22815" w:rsidRDefault="00D22815"/>
    <w:p w14:paraId="0893A41E" w14:textId="230BC5A1" w:rsidR="00D22815" w:rsidRDefault="00D22815"/>
    <w:p w14:paraId="15A963D8" w14:textId="1E680B58" w:rsidR="00D22815" w:rsidRDefault="00D22815"/>
    <w:p w14:paraId="1887F973" w14:textId="33797962" w:rsidR="00D22815" w:rsidRDefault="00D22815"/>
    <w:p w14:paraId="56327ED0" w14:textId="6A37E613" w:rsidR="00D22815" w:rsidRDefault="00D22815"/>
    <w:p w14:paraId="7D82520C" w14:textId="0B928CD3" w:rsidR="00D22815" w:rsidRDefault="00D22815"/>
    <w:p w14:paraId="103134E0" w14:textId="4AC62E05" w:rsidR="00D22815" w:rsidRDefault="00D22815"/>
    <w:p w14:paraId="2FE05BF2" w14:textId="6D7A3454" w:rsidR="00D22815" w:rsidRDefault="00D22815" w:rsidP="00D22815">
      <w:pPr>
        <w:jc w:val="center"/>
      </w:pPr>
      <w:r>
        <w:rPr>
          <w:noProof/>
        </w:rPr>
        <w:drawing>
          <wp:inline distT="0" distB="0" distL="0" distR="0" wp14:anchorId="1837F032" wp14:editId="350668FC">
            <wp:extent cx="4477282" cy="3875797"/>
            <wp:effectExtent l="0" t="0" r="6350" b="0"/>
            <wp:docPr id="1094" name="Picture 1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Picture 109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899" cy="393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D22815" w:rsidRPr="00541EC0" w14:paraId="55A3D85B" w14:textId="77777777" w:rsidTr="009D43D6">
        <w:trPr>
          <w:trHeight w:val="906"/>
        </w:trPr>
        <w:tc>
          <w:tcPr>
            <w:tcW w:w="11740" w:type="dxa"/>
          </w:tcPr>
          <w:p w14:paraId="32E9FD36" w14:textId="03BFBF05" w:rsidR="00D22815" w:rsidRPr="00745F55" w:rsidRDefault="00830AD6" w:rsidP="009D43D6">
            <w:r>
              <w:rPr>
                <w:b/>
                <w:bCs/>
              </w:rPr>
              <w:t>Supplementary Figure 2</w:t>
            </w:r>
            <w:r w:rsidR="00D22815" w:rsidRPr="00B237AA">
              <w:rPr>
                <w:b/>
                <w:bCs/>
              </w:rPr>
              <w:t>.</w:t>
            </w:r>
            <w:r w:rsidR="00D22815" w:rsidRPr="00B237AA"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Kaplan-Meier estimate for the efficacy of systemic lapatinib in delaying progression of CNS metastasis to BC-LMD in HER2+ positive BC-patients. HER2+ Patients receiving systemic lapatinib post CNS metastasis diagnosis had a median time of 20.9 months before BC-LMD diagnosis, compared to a median time of 5.7 months for patients of any BC subtype who did not receive systemic lapatinib.  </w:t>
            </w:r>
          </w:p>
        </w:tc>
      </w:tr>
      <w:tr w:rsidR="00D22815" w:rsidRPr="00AD7F5F" w14:paraId="425ADECC" w14:textId="77777777" w:rsidTr="009D43D6">
        <w:tc>
          <w:tcPr>
            <w:tcW w:w="11740" w:type="dxa"/>
          </w:tcPr>
          <w:p w14:paraId="09B00FCD" w14:textId="77777777" w:rsidR="00D22815" w:rsidRPr="00AD7F5F" w:rsidRDefault="00D22815" w:rsidP="009D43D6">
            <w:r>
              <w:rPr>
                <w:b/>
                <w:bCs/>
              </w:rPr>
              <w:t xml:space="preserve">Abbreviations: </w:t>
            </w:r>
            <w:r>
              <w:t>Breast Cancer (BC); Central Nervous System (CNS);</w:t>
            </w:r>
            <w:r>
              <w:rPr>
                <w:b/>
                <w:bCs/>
              </w:rPr>
              <w:t xml:space="preserve"> </w:t>
            </w:r>
            <w:r>
              <w:rPr>
                <w:rFonts w:cstheme="minorHAnsi"/>
              </w:rPr>
              <w:t>Leptomeningeal Disease (LMD)</w:t>
            </w:r>
            <w:r>
              <w:t xml:space="preserve"> </w:t>
            </w:r>
          </w:p>
        </w:tc>
      </w:tr>
    </w:tbl>
    <w:p w14:paraId="04365E79" w14:textId="3FD1CDF1" w:rsidR="00D22815" w:rsidRDefault="00D22815"/>
    <w:p w14:paraId="6ED66958" w14:textId="32944A28" w:rsidR="00D22815" w:rsidRDefault="00D22815"/>
    <w:p w14:paraId="7DEDBDAA" w14:textId="24921A7F" w:rsidR="00D22815" w:rsidRDefault="00D22815"/>
    <w:p w14:paraId="140F37CE" w14:textId="26DCA01F" w:rsidR="00D22815" w:rsidRDefault="00D22815"/>
    <w:p w14:paraId="78F78745" w14:textId="4B0D633E" w:rsidR="00D22815" w:rsidRDefault="00D22815"/>
    <w:p w14:paraId="5BA5210E" w14:textId="68F206A0" w:rsidR="00D22815" w:rsidRDefault="00D22815"/>
    <w:p w14:paraId="27F52196" w14:textId="02163BD5" w:rsidR="00D22815" w:rsidRDefault="00D22815"/>
    <w:p w14:paraId="2A0200AB" w14:textId="29E072FF" w:rsidR="00D22815" w:rsidRDefault="00D22815"/>
    <w:p w14:paraId="22A86712" w14:textId="3186ED7D" w:rsidR="00D22815" w:rsidRDefault="00D22815"/>
    <w:p w14:paraId="2051A6FC" w14:textId="777FCB77" w:rsidR="00D22815" w:rsidRDefault="00D22815"/>
    <w:p w14:paraId="7CAD7DBA" w14:textId="26BD3F2F" w:rsidR="00D22815" w:rsidRDefault="00D22815"/>
    <w:p w14:paraId="452DB63B" w14:textId="05B4CC34" w:rsidR="00D22815" w:rsidRDefault="00D22815"/>
    <w:p w14:paraId="040AA768" w14:textId="27C50352" w:rsidR="00D22815" w:rsidRDefault="00D22815"/>
    <w:p w14:paraId="4C1D1FA7" w14:textId="56B88138" w:rsidR="00D22815" w:rsidRDefault="00D22815"/>
    <w:p w14:paraId="7F4221FF" w14:textId="271F3FFB" w:rsidR="007A5BB8" w:rsidRDefault="007A5BB8"/>
    <w:p w14:paraId="74E63BE6" w14:textId="3F94DDD7" w:rsidR="007A5BB8" w:rsidRDefault="007A5BB8"/>
    <w:p w14:paraId="4D0F618A" w14:textId="621DBC34" w:rsidR="007A5BB8" w:rsidRDefault="007A5BB8"/>
    <w:p w14:paraId="29CA0543" w14:textId="4073C3F5" w:rsidR="007A5BB8" w:rsidRDefault="007A5BB8">
      <w:r>
        <w:rPr>
          <w:noProof/>
        </w:rPr>
        <w:drawing>
          <wp:inline distT="0" distB="0" distL="0" distR="0" wp14:anchorId="34317628" wp14:editId="32957C7D">
            <wp:extent cx="8025437" cy="2925495"/>
            <wp:effectExtent l="0" t="0" r="0" b="0"/>
            <wp:docPr id="1302" name="Picture 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" name="Picture 13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5437" cy="29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53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7A5BB8" w:rsidRPr="005F52FC" w14:paraId="56D0E219" w14:textId="77777777" w:rsidTr="00D02198">
        <w:trPr>
          <w:trHeight w:val="890"/>
        </w:trPr>
        <w:tc>
          <w:tcPr>
            <w:tcW w:w="11740" w:type="dxa"/>
          </w:tcPr>
          <w:p w14:paraId="343455EB" w14:textId="2F81C657" w:rsidR="007A5BB8" w:rsidRPr="00D02198" w:rsidRDefault="007A5BB8" w:rsidP="007A5BB8">
            <w:r>
              <w:rPr>
                <w:b/>
                <w:bCs/>
              </w:rPr>
              <w:t>Supplementary Figure 3</w:t>
            </w:r>
            <w:r w:rsidRPr="00B237AA">
              <w:rPr>
                <w:b/>
                <w:bCs/>
              </w:rPr>
              <w:t>.</w:t>
            </w:r>
            <w:r w:rsidRPr="00B237AA">
              <w:t xml:space="preserve"> </w:t>
            </w:r>
            <w:r>
              <w:rPr>
                <w:rFonts w:hAnsi="Calibri"/>
                <w:color w:val="000000" w:themeColor="dark1"/>
                <w:kern w:val="24"/>
              </w:rPr>
              <w:t xml:space="preserve">Kaplan-Meier estimate for surgery and radiosurgery affecting time between BC CNS metastasis and BC LMD.  Patients </w:t>
            </w:r>
            <w:r w:rsidR="00F004B9">
              <w:rPr>
                <w:rFonts w:hAnsi="Calibri"/>
                <w:color w:val="000000" w:themeColor="dark1"/>
                <w:kern w:val="24"/>
              </w:rPr>
              <w:t xml:space="preserve">who underwent </w:t>
            </w:r>
            <w:r w:rsidR="00D02198">
              <w:rPr>
                <w:rFonts w:hAnsi="Calibri"/>
                <w:color w:val="000000" w:themeColor="dark1"/>
                <w:kern w:val="24"/>
              </w:rPr>
              <w:t xml:space="preserve">tumor </w:t>
            </w:r>
            <w:r w:rsidR="00F004B9">
              <w:rPr>
                <w:rFonts w:hAnsi="Calibri"/>
                <w:color w:val="000000" w:themeColor="dark1"/>
                <w:kern w:val="24"/>
              </w:rPr>
              <w:t xml:space="preserve">resection </w:t>
            </w:r>
            <w:r>
              <w:rPr>
                <w:rFonts w:hAnsi="Calibri"/>
                <w:b/>
                <w:bCs/>
                <w:color w:val="000000" w:themeColor="dark1"/>
                <w:kern w:val="24"/>
              </w:rPr>
              <w:t>(A)</w:t>
            </w:r>
            <w:r>
              <w:rPr>
                <w:rFonts w:hAnsi="Calibri"/>
                <w:color w:val="000000" w:themeColor="dark1"/>
                <w:kern w:val="24"/>
              </w:rPr>
              <w:t xml:space="preserve"> </w:t>
            </w:r>
            <w:r w:rsidR="00D02198">
              <w:rPr>
                <w:rFonts w:hAnsi="Calibri"/>
                <w:color w:val="000000" w:themeColor="dark1"/>
                <w:kern w:val="24"/>
              </w:rPr>
              <w:t xml:space="preserve">or radiosurgery </w:t>
            </w:r>
            <w:r w:rsidR="00D02198">
              <w:rPr>
                <w:rFonts w:hAnsi="Calibri"/>
                <w:b/>
                <w:bCs/>
                <w:color w:val="000000" w:themeColor="dark1"/>
                <w:kern w:val="24"/>
              </w:rPr>
              <w:t>(B)</w:t>
            </w:r>
            <w:r w:rsidR="00D02198">
              <w:rPr>
                <w:rFonts w:hAnsi="Calibri"/>
                <w:color w:val="000000" w:themeColor="dark1"/>
                <w:kern w:val="24"/>
              </w:rPr>
              <w:t xml:space="preserve"> did not experience differences in time between CNS metastasis and LMD when compared to patients who did not undergo these respective treatments.</w:t>
            </w:r>
          </w:p>
        </w:tc>
      </w:tr>
      <w:tr w:rsidR="007A5BB8" w:rsidRPr="00AD7F5F" w14:paraId="69DBA8C7" w14:textId="77777777" w:rsidTr="007A5BB8">
        <w:tc>
          <w:tcPr>
            <w:tcW w:w="11740" w:type="dxa"/>
          </w:tcPr>
          <w:p w14:paraId="267ECF19" w14:textId="7CDF256D" w:rsidR="007A5BB8" w:rsidRPr="00AD7F5F" w:rsidRDefault="007A5BB8" w:rsidP="007A5BB8">
            <w:r>
              <w:rPr>
                <w:b/>
                <w:bCs/>
              </w:rPr>
              <w:t>Abbreviations</w:t>
            </w:r>
            <w:r w:rsidR="00D02198">
              <w:rPr>
                <w:b/>
                <w:bCs/>
              </w:rPr>
              <w:t xml:space="preserve">: </w:t>
            </w:r>
            <w:r w:rsidR="00D02198">
              <w:t xml:space="preserve">Breast Cancer (BC); Central Nervous System (CNS); </w:t>
            </w:r>
            <w:r>
              <w:t>Leptomeningeal Disease (LMD).</w:t>
            </w:r>
          </w:p>
        </w:tc>
      </w:tr>
    </w:tbl>
    <w:p w14:paraId="6B332D0B" w14:textId="2553F948" w:rsidR="007A5BB8" w:rsidRDefault="007A5BB8"/>
    <w:p w14:paraId="218F036B" w14:textId="0682E58F" w:rsidR="007A5BB8" w:rsidRDefault="007A5BB8"/>
    <w:p w14:paraId="66AD4F93" w14:textId="21D2B630" w:rsidR="007A5BB8" w:rsidRDefault="007A5BB8"/>
    <w:p w14:paraId="2BA4059D" w14:textId="4E781806" w:rsidR="007A5BB8" w:rsidRDefault="007A5BB8"/>
    <w:p w14:paraId="703E7CA9" w14:textId="28416179" w:rsidR="007A5BB8" w:rsidRDefault="007A5BB8"/>
    <w:p w14:paraId="6F451F05" w14:textId="49C3E845" w:rsidR="007A5BB8" w:rsidRDefault="007A5BB8"/>
    <w:p w14:paraId="7BB276CE" w14:textId="0884B194" w:rsidR="007A5BB8" w:rsidRDefault="007A5BB8"/>
    <w:p w14:paraId="659D2E3D" w14:textId="5A03D232" w:rsidR="007A5BB8" w:rsidRDefault="007A5BB8"/>
    <w:p w14:paraId="5FA3A18D" w14:textId="237992D0" w:rsidR="007A5BB8" w:rsidRDefault="007A5BB8"/>
    <w:p w14:paraId="0A020152" w14:textId="09F94C68" w:rsidR="007A5BB8" w:rsidRDefault="007A5BB8"/>
    <w:p w14:paraId="3BF4EC4D" w14:textId="3E1A1A7E" w:rsidR="007A5BB8" w:rsidRDefault="007A5BB8"/>
    <w:p w14:paraId="0A77296C" w14:textId="187CB8F4" w:rsidR="007A5BB8" w:rsidRDefault="007A5BB8"/>
    <w:p w14:paraId="03D01C45" w14:textId="61D93C4F" w:rsidR="007A5BB8" w:rsidRDefault="007A5BB8"/>
    <w:p w14:paraId="65EB9A35" w14:textId="1A87D898" w:rsidR="007A5BB8" w:rsidRDefault="007A5BB8"/>
    <w:p w14:paraId="688D03ED" w14:textId="04DC8A98" w:rsidR="007A5BB8" w:rsidRDefault="007A5BB8"/>
    <w:p w14:paraId="1BBDA77D" w14:textId="55CF17B6" w:rsidR="007A5BB8" w:rsidRDefault="007A5BB8"/>
    <w:p w14:paraId="04CD8EE4" w14:textId="5CEF7846" w:rsidR="007A5BB8" w:rsidRDefault="007A5BB8"/>
    <w:p w14:paraId="69E5FF27" w14:textId="377A6052" w:rsidR="007A5BB8" w:rsidRDefault="007A5BB8"/>
    <w:p w14:paraId="6CCE0BDE" w14:textId="37AA3AEF" w:rsidR="007A5BB8" w:rsidRDefault="007A5BB8"/>
    <w:p w14:paraId="18A3C342" w14:textId="5D868C0C" w:rsidR="007A5BB8" w:rsidRDefault="007A5BB8"/>
    <w:p w14:paraId="06C75A84" w14:textId="28E83F0A" w:rsidR="00D22815" w:rsidRDefault="00D22815"/>
    <w:p w14:paraId="26EBAE67" w14:textId="1068CC33" w:rsidR="00D22815" w:rsidRDefault="00D22815">
      <w:r>
        <w:rPr>
          <w:noProof/>
        </w:rPr>
        <w:drawing>
          <wp:inline distT="0" distB="0" distL="0" distR="0" wp14:anchorId="08E9301A" wp14:editId="6553DE54">
            <wp:extent cx="7461250" cy="3334385"/>
            <wp:effectExtent l="0" t="0" r="6350" b="0"/>
            <wp:docPr id="5" name="Picture 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D22815" w:rsidRPr="00541EC0" w14:paraId="0ECDC4E1" w14:textId="77777777" w:rsidTr="009D43D6">
        <w:trPr>
          <w:trHeight w:val="1167"/>
        </w:trPr>
        <w:tc>
          <w:tcPr>
            <w:tcW w:w="11740" w:type="dxa"/>
          </w:tcPr>
          <w:p w14:paraId="47C294A8" w14:textId="13A34720" w:rsidR="00D22815" w:rsidRPr="005F52FC" w:rsidRDefault="00830AD6" w:rsidP="009D43D6">
            <w:r>
              <w:rPr>
                <w:b/>
                <w:bCs/>
              </w:rPr>
              <w:t xml:space="preserve">Supplementary Figure </w:t>
            </w:r>
            <w:r w:rsidR="00D02198">
              <w:rPr>
                <w:b/>
                <w:bCs/>
              </w:rPr>
              <w:t>4</w:t>
            </w:r>
            <w:r w:rsidR="00D22815" w:rsidRPr="00B237AA">
              <w:rPr>
                <w:b/>
                <w:bCs/>
              </w:rPr>
              <w:t>.</w:t>
            </w:r>
            <w:r w:rsidR="00D22815" w:rsidRPr="00B237AA"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Kaplan-Meier estimate for treatments affecting overall survival in HR+ BC-LMD patients.  Patients receiving intrathecal therapy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>(A)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 had a significantly higher median overall survival time (9.9 months) when compared to HR+ patients that did not receive any intrathecal therapy (2.6 months). More specifically, HR+ patients receiving intrathecal methotrexate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>(B)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 had a higher median overall survival time (9.5 months) compared to those that did not (2.9 months).</w:t>
            </w:r>
          </w:p>
        </w:tc>
      </w:tr>
      <w:tr w:rsidR="00D22815" w:rsidRPr="00AD7F5F" w14:paraId="258F61B6" w14:textId="77777777" w:rsidTr="009D43D6">
        <w:tc>
          <w:tcPr>
            <w:tcW w:w="11740" w:type="dxa"/>
          </w:tcPr>
          <w:p w14:paraId="0706A909" w14:textId="77777777" w:rsidR="00D22815" w:rsidRPr="00AD7F5F" w:rsidRDefault="00D22815" w:rsidP="009D43D6">
            <w:r>
              <w:rPr>
                <w:b/>
                <w:bCs/>
              </w:rPr>
              <w:t xml:space="preserve">Abbreviations: </w:t>
            </w:r>
            <w:r w:rsidRPr="00541EC0">
              <w:rPr>
                <w:rFonts w:cstheme="minorHAnsi"/>
              </w:rPr>
              <w:t>Hormone Receptor Positive (HR+);</w:t>
            </w:r>
            <w:r>
              <w:rPr>
                <w:rFonts w:cstheme="minorHAnsi"/>
              </w:rPr>
              <w:t xml:space="preserve"> </w:t>
            </w:r>
            <w:r>
              <w:t>Breast Cancer Leptomeningeal Disease (BC-LMD).</w:t>
            </w:r>
          </w:p>
        </w:tc>
      </w:tr>
    </w:tbl>
    <w:p w14:paraId="1F6E8996" w14:textId="4C22B2D8" w:rsidR="00D22815" w:rsidRDefault="00D22815"/>
    <w:p w14:paraId="6A33E587" w14:textId="63F95CCF" w:rsidR="00D22815" w:rsidRDefault="00D22815"/>
    <w:p w14:paraId="706A5932" w14:textId="3AECD7DD" w:rsidR="00D22815" w:rsidRDefault="00D22815"/>
    <w:p w14:paraId="2B220723" w14:textId="537898FD" w:rsidR="00D22815" w:rsidRDefault="00D22815"/>
    <w:p w14:paraId="5492027E" w14:textId="00767AC9" w:rsidR="00D22815" w:rsidRDefault="00D22815"/>
    <w:p w14:paraId="5C5130C8" w14:textId="31C9589A" w:rsidR="00D22815" w:rsidRDefault="00D22815"/>
    <w:p w14:paraId="1458D920" w14:textId="2F8E578C" w:rsidR="00D22815" w:rsidRDefault="00D22815"/>
    <w:p w14:paraId="02C1752C" w14:textId="52B8CE42" w:rsidR="00D22815" w:rsidRDefault="00D22815"/>
    <w:p w14:paraId="16CD9971" w14:textId="688437E6" w:rsidR="00D22815" w:rsidRDefault="00D22815"/>
    <w:p w14:paraId="33616712" w14:textId="3ABBE253" w:rsidR="00D22815" w:rsidRDefault="00D22815"/>
    <w:p w14:paraId="54E65A40" w14:textId="242129C2" w:rsidR="00D22815" w:rsidRDefault="00D22815"/>
    <w:p w14:paraId="274BCF85" w14:textId="2264E534" w:rsidR="00D22815" w:rsidRDefault="00D22815"/>
    <w:p w14:paraId="13B9C519" w14:textId="58CB1551" w:rsidR="00D22815" w:rsidRDefault="00D22815"/>
    <w:p w14:paraId="01FD97FA" w14:textId="78BBF33C" w:rsidR="00D22815" w:rsidRDefault="00D22815"/>
    <w:p w14:paraId="5D6F4573" w14:textId="10C838E7" w:rsidR="00D22815" w:rsidRDefault="00D22815"/>
    <w:p w14:paraId="6C3BAD83" w14:textId="487C7240" w:rsidR="00D22815" w:rsidRDefault="00D22815"/>
    <w:p w14:paraId="6937DE3C" w14:textId="1F558D99" w:rsidR="00D22815" w:rsidRDefault="00D22815"/>
    <w:p w14:paraId="3025EC57" w14:textId="39E8A391" w:rsidR="00D22815" w:rsidRDefault="00D22815"/>
    <w:p w14:paraId="2CD7C2F9" w14:textId="6C5FA75E" w:rsidR="00D22815" w:rsidRDefault="00D22815"/>
    <w:p w14:paraId="2E468945" w14:textId="239B4170" w:rsidR="00D22815" w:rsidRDefault="00D22815">
      <w:r>
        <w:rPr>
          <w:noProof/>
        </w:rPr>
        <w:drawing>
          <wp:inline distT="0" distB="0" distL="0" distR="0" wp14:anchorId="01E3E6BC" wp14:editId="1F17715F">
            <wp:extent cx="7386673" cy="6604000"/>
            <wp:effectExtent l="0" t="0" r="5080" b="0"/>
            <wp:docPr id="13" name="Picture 13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1051" cy="661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D22815" w:rsidRPr="00541EC0" w14:paraId="387EDF42" w14:textId="77777777" w:rsidTr="009D43D6">
        <w:trPr>
          <w:trHeight w:val="1527"/>
        </w:trPr>
        <w:tc>
          <w:tcPr>
            <w:tcW w:w="11740" w:type="dxa"/>
          </w:tcPr>
          <w:p w14:paraId="7B933105" w14:textId="7BBAD865" w:rsidR="00D22815" w:rsidRPr="003214FF" w:rsidRDefault="00830AD6" w:rsidP="009D43D6">
            <w:r>
              <w:rPr>
                <w:b/>
                <w:bCs/>
              </w:rPr>
              <w:t xml:space="preserve">Supplementary Figure </w:t>
            </w:r>
            <w:r w:rsidR="00D02198">
              <w:rPr>
                <w:b/>
                <w:bCs/>
              </w:rPr>
              <w:t>5</w:t>
            </w:r>
            <w:r w:rsidR="00D22815" w:rsidRPr="00B237AA">
              <w:rPr>
                <w:b/>
                <w:bCs/>
              </w:rPr>
              <w:t>.</w:t>
            </w:r>
            <w:r w:rsidR="00D22815" w:rsidRPr="00B237AA"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Kaplan-Meier estimate for treatments affecting overall survival in HER2+ BC-LMD patients post BC-LMD diagnosis. 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A)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HER2+ patients receiving systemic therapy had a higher median overall survival time (12 months) compared to those that did not receive any systemic treatment (1.9 months).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B-C)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Specifically, overall median survival time was higher in patients receiving systemic trastuzumab (12.7 months) and/or systemic lapatinib (9.8 months) when compared to patients that did not (7.2 months; 7.4 months, respectively).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D)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HER2+ BC-LMD patients receiving intrathecal therapy had a higher median overall survival time (12.6 months) than those that did not (1.5 months). All HER2+ patients receiving IT therapy received IT trastuzumab.  </w:t>
            </w:r>
          </w:p>
          <w:p w14:paraId="58CC8107" w14:textId="77777777" w:rsidR="00D22815" w:rsidRPr="005F52FC" w:rsidRDefault="00D22815" w:rsidP="009D43D6"/>
        </w:tc>
      </w:tr>
      <w:tr w:rsidR="00D22815" w:rsidRPr="00AD7F5F" w14:paraId="360B2E26" w14:textId="77777777" w:rsidTr="009D43D6">
        <w:tc>
          <w:tcPr>
            <w:tcW w:w="11740" w:type="dxa"/>
          </w:tcPr>
          <w:p w14:paraId="7647A829" w14:textId="77777777" w:rsidR="00D22815" w:rsidRPr="00AD7F5F" w:rsidRDefault="00D22815" w:rsidP="009D43D6">
            <w:r>
              <w:rPr>
                <w:b/>
                <w:bCs/>
              </w:rPr>
              <w:t xml:space="preserve">Abbreviations: </w:t>
            </w:r>
            <w:r w:rsidRPr="00541EC0">
              <w:rPr>
                <w:rFonts w:cstheme="minorHAnsi"/>
              </w:rPr>
              <w:t xml:space="preserve">Human Epidermal Growth Factor Receptor 2-Positive (HER2+); </w:t>
            </w:r>
            <w:r>
              <w:rPr>
                <w:rFonts w:cstheme="minorHAnsi"/>
              </w:rPr>
              <w:t>Breast Cancer Leptomeningeal Disease (BC-LMD).</w:t>
            </w:r>
            <w:r>
              <w:t xml:space="preserve"> </w:t>
            </w:r>
          </w:p>
        </w:tc>
      </w:tr>
    </w:tbl>
    <w:p w14:paraId="162A3B09" w14:textId="651484C1" w:rsidR="00D22815" w:rsidRDefault="00D22815"/>
    <w:p w14:paraId="5F35CC88" w14:textId="2DF4773E" w:rsidR="00D22815" w:rsidRDefault="00D22815"/>
    <w:p w14:paraId="168F4657" w14:textId="118A2FA8" w:rsidR="00D22815" w:rsidRDefault="00D22815"/>
    <w:p w14:paraId="7D52EE69" w14:textId="71911CB1" w:rsidR="00D22815" w:rsidRDefault="00D22815"/>
    <w:p w14:paraId="67069787" w14:textId="02EFFF2C" w:rsidR="00D22815" w:rsidRDefault="00D22815"/>
    <w:p w14:paraId="4C1CE864" w14:textId="0C0C2105" w:rsidR="00D22815" w:rsidRDefault="00D22815"/>
    <w:p w14:paraId="09088B6A" w14:textId="5E238ADD" w:rsidR="00D22815" w:rsidRDefault="00D22815">
      <w:r>
        <w:rPr>
          <w:noProof/>
        </w:rPr>
        <w:drawing>
          <wp:inline distT="0" distB="0" distL="0" distR="0" wp14:anchorId="4E4056A2" wp14:editId="1548588D">
            <wp:extent cx="7439128" cy="3416300"/>
            <wp:effectExtent l="0" t="0" r="3175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3881" cy="3427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Y="-30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D22815" w:rsidRPr="00541EC0" w14:paraId="705749EB" w14:textId="77777777" w:rsidTr="009D43D6">
        <w:trPr>
          <w:trHeight w:val="1131"/>
        </w:trPr>
        <w:tc>
          <w:tcPr>
            <w:tcW w:w="11740" w:type="dxa"/>
          </w:tcPr>
          <w:p w14:paraId="0A2609EC" w14:textId="5F8B215A" w:rsidR="00D22815" w:rsidRPr="005F52FC" w:rsidRDefault="00830AD6" w:rsidP="009D43D6">
            <w:r>
              <w:rPr>
                <w:b/>
                <w:bCs/>
              </w:rPr>
              <w:t xml:space="preserve">Supplementary Figure </w:t>
            </w:r>
            <w:r w:rsidR="00D02198">
              <w:rPr>
                <w:b/>
                <w:bCs/>
              </w:rPr>
              <w:t>6</w:t>
            </w:r>
            <w:r w:rsidR="00D22815" w:rsidRPr="00B237AA">
              <w:rPr>
                <w:b/>
                <w:bCs/>
              </w:rPr>
              <w:t>.</w:t>
            </w:r>
            <w:r w:rsidR="00D22815" w:rsidRPr="00B237AA">
              <w:t xml:space="preserve">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Kaplan-Meier estimate for treatments affecting overall survival in TNBC-LMD patients post BC-LMD diagnosis. 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A) </w:t>
            </w:r>
            <w:r w:rsidR="00D22815">
              <w:rPr>
                <w:rFonts w:hAnsi="Calibri"/>
                <w:color w:val="000000" w:themeColor="dark1"/>
                <w:kern w:val="24"/>
              </w:rPr>
              <w:t xml:space="preserve">TNBC-LMD patients receiving systemic therapy had a higher median overall survival time (3.4 months) compared to those that did not receive any systemic treatment (1.2 months). </w:t>
            </w:r>
            <w:r w:rsidR="00D22815"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B) </w:t>
            </w:r>
            <w:r w:rsidR="00D22815">
              <w:rPr>
                <w:rFonts w:hAnsi="Calibri"/>
                <w:color w:val="000000" w:themeColor="dark1"/>
                <w:kern w:val="24"/>
              </w:rPr>
              <w:t>TNBC-LMD patients receiving intrathecal therapy had a higher median overall survival time (</w:t>
            </w:r>
            <w:r w:rsidR="00D22815" w:rsidRPr="00907874">
              <w:rPr>
                <w:rFonts w:hAnsi="Calibri"/>
                <w:color w:val="000000" w:themeColor="dark1"/>
                <w:kern w:val="24"/>
              </w:rPr>
              <w:t>8.9 months</w:t>
            </w:r>
            <w:r w:rsidR="00D22815">
              <w:rPr>
                <w:rFonts w:hAnsi="Calibri"/>
                <w:color w:val="000000" w:themeColor="dark1"/>
                <w:kern w:val="24"/>
              </w:rPr>
              <w:t>) than those that did not (1.1 months).</w:t>
            </w:r>
          </w:p>
        </w:tc>
      </w:tr>
      <w:tr w:rsidR="00D22815" w:rsidRPr="00AD7F5F" w14:paraId="403B455B" w14:textId="77777777" w:rsidTr="009D43D6">
        <w:tc>
          <w:tcPr>
            <w:tcW w:w="11740" w:type="dxa"/>
          </w:tcPr>
          <w:p w14:paraId="5FBBBC7F" w14:textId="77777777" w:rsidR="00D22815" w:rsidRPr="00AD7F5F" w:rsidRDefault="00D22815" w:rsidP="009D43D6">
            <w:r>
              <w:rPr>
                <w:b/>
                <w:bCs/>
              </w:rPr>
              <w:t xml:space="preserve">Abbreviations: </w:t>
            </w:r>
            <w:r>
              <w:rPr>
                <w:rFonts w:cstheme="minorHAnsi"/>
              </w:rPr>
              <w:t>Triple Negative Breast Cancer (TNBC);</w:t>
            </w:r>
            <w:r w:rsidRPr="00541EC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Breast Cancer Leptomeningeal Disease (BC-LMD).</w:t>
            </w:r>
            <w:r>
              <w:t xml:space="preserve"> </w:t>
            </w:r>
          </w:p>
        </w:tc>
      </w:tr>
    </w:tbl>
    <w:p w14:paraId="14932D3C" w14:textId="77777777" w:rsidR="00D22815" w:rsidRDefault="00D22815"/>
    <w:sectPr w:rsidR="00D22815" w:rsidSect="00D22815">
      <w:pgSz w:w="12240" w:h="15840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15"/>
    <w:rsid w:val="000B79B7"/>
    <w:rsid w:val="005D4C05"/>
    <w:rsid w:val="00762324"/>
    <w:rsid w:val="007928BA"/>
    <w:rsid w:val="007A5BB8"/>
    <w:rsid w:val="00830AD6"/>
    <w:rsid w:val="008B5DF8"/>
    <w:rsid w:val="009E2344"/>
    <w:rsid w:val="00AF19DA"/>
    <w:rsid w:val="00AF3AA6"/>
    <w:rsid w:val="00BE78E7"/>
    <w:rsid w:val="00CB2B26"/>
    <w:rsid w:val="00D02198"/>
    <w:rsid w:val="00D22815"/>
    <w:rsid w:val="00D86478"/>
    <w:rsid w:val="00F004B9"/>
    <w:rsid w:val="00FA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797FC"/>
  <w15:chartTrackingRefBased/>
  <w15:docId w15:val="{F69734E9-B281-4D4B-BB02-7B702F8A2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2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004B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004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04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04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04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04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DF10E-5FFE-48B4-AB0C-13FF7F345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Kundalia, Ronak</dc:creator>
  <cp:keywords/>
  <dc:description/>
  <cp:lastModifiedBy>Yoly Pina</cp:lastModifiedBy>
  <cp:revision>2</cp:revision>
  <dcterms:created xsi:type="dcterms:W3CDTF">2023-05-25T10:56:00Z</dcterms:created>
  <dcterms:modified xsi:type="dcterms:W3CDTF">2023-05-25T10:56:00Z</dcterms:modified>
</cp:coreProperties>
</file>