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932BD" w14:textId="77777777" w:rsidR="000961E0" w:rsidRDefault="000961E0" w:rsidP="000961E0">
      <w:pPr>
        <w:spacing w:line="360" w:lineRule="auto"/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029787D" wp14:editId="21FFFDE6">
            <wp:extent cx="5943600" cy="314404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4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Y="42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961E0" w:rsidRPr="00A638FB" w14:paraId="2E3C851D" w14:textId="77777777" w:rsidTr="00976805">
        <w:trPr>
          <w:trHeight w:val="1167"/>
        </w:trPr>
        <w:tc>
          <w:tcPr>
            <w:tcW w:w="11740" w:type="dxa"/>
          </w:tcPr>
          <w:p w14:paraId="632C365A" w14:textId="77777777" w:rsidR="000961E0" w:rsidRDefault="000961E0" w:rsidP="00976805">
            <w:pPr>
              <w:rPr>
                <w:rFonts w:hAnsi="Calibri"/>
                <w:color w:val="000000" w:themeColor="dark1"/>
                <w:kern w:val="24"/>
              </w:rPr>
            </w:pPr>
            <w:r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Table 1 (left). </w:t>
            </w:r>
            <w:r>
              <w:rPr>
                <w:rFonts w:hAnsi="Calibri"/>
                <w:color w:val="000000" w:themeColor="dark1"/>
                <w:kern w:val="24"/>
              </w:rPr>
              <w:t xml:space="preserve">Demographic data for all patients diagnosed with BC-LMD at Moffitt Cancer Center between 2011-2020. </w:t>
            </w:r>
          </w:p>
          <w:p w14:paraId="322E15A7" w14:textId="77777777" w:rsidR="000961E0" w:rsidRDefault="000961E0" w:rsidP="00976805">
            <w:pPr>
              <w:rPr>
                <w:rFonts w:hAnsi="Calibri"/>
                <w:color w:val="000000" w:themeColor="dark1"/>
                <w:kern w:val="24"/>
              </w:rPr>
            </w:pPr>
          </w:p>
          <w:p w14:paraId="2D018448" w14:textId="77777777" w:rsidR="000961E0" w:rsidRPr="00A638FB" w:rsidRDefault="000961E0" w:rsidP="00976805">
            <w:pPr>
              <w:rPr>
                <w:rFonts w:hAnsi="Calibri"/>
                <w:color w:val="000000" w:themeColor="dark1"/>
                <w:kern w:val="24"/>
              </w:rPr>
            </w:pPr>
            <w:r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Table 2 (right). </w:t>
            </w:r>
            <w:r>
              <w:rPr>
                <w:rFonts w:hAnsi="Calibri"/>
                <w:color w:val="000000" w:themeColor="dark1"/>
                <w:kern w:val="24"/>
              </w:rPr>
              <w:t xml:space="preserve">Demographic data for patients with at least one month between the CNS metastatic disease diagnosis and the BC-LMD diagnosis.  </w:t>
            </w:r>
          </w:p>
        </w:tc>
      </w:tr>
      <w:tr w:rsidR="000961E0" w:rsidRPr="00541EC0" w14:paraId="348FEAA5" w14:textId="77777777" w:rsidTr="00976805">
        <w:trPr>
          <w:trHeight w:val="627"/>
        </w:trPr>
        <w:tc>
          <w:tcPr>
            <w:tcW w:w="11740" w:type="dxa"/>
            <w:vAlign w:val="center"/>
          </w:tcPr>
          <w:p w14:paraId="62CB83E6" w14:textId="77777777" w:rsidR="000961E0" w:rsidRPr="00541EC0" w:rsidRDefault="000961E0" w:rsidP="00976805">
            <w:pPr>
              <w:rPr>
                <w:rFonts w:cstheme="minorHAnsi"/>
              </w:rPr>
            </w:pPr>
            <w:r w:rsidRPr="00541EC0">
              <w:rPr>
                <w:rFonts w:cstheme="minorHAnsi"/>
                <w:b/>
                <w:bCs/>
              </w:rPr>
              <w:t xml:space="preserve">Abbreviations: </w:t>
            </w:r>
            <w:r w:rsidRPr="00541EC0">
              <w:rPr>
                <w:rFonts w:cstheme="minorHAnsi"/>
              </w:rPr>
              <w:t>Breast Cancer (BC); Hormone Receptor Positive (HR+); Human Epidermal Growth Factor Receptor 2-Positive (HER2+); Triple Negative Breast Cancer (TNBC); Central Nervous System (CNS); Leptomeningeal Disease (LMD); Magnetic Resonance Imagining (MRI); Cerebrospinal Fluid (CSF)</w:t>
            </w:r>
            <w:r>
              <w:rPr>
                <w:rFonts w:cstheme="minorHAnsi"/>
              </w:rPr>
              <w:t>.</w:t>
            </w:r>
          </w:p>
        </w:tc>
      </w:tr>
    </w:tbl>
    <w:p w14:paraId="209A5D0D" w14:textId="77777777" w:rsidR="002F0F5E" w:rsidRDefault="000961E0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E0"/>
    <w:rsid w:val="000961E0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C0C91"/>
  <w15:chartTrackingRefBased/>
  <w15:docId w15:val="{6B4C568A-9873-4262-B13E-FC4D05F80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1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6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Springer Nature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2023-06-08T11:39:00Z</dcterms:created>
  <dcterms:modified xsi:type="dcterms:W3CDTF">2023-06-08T11:39:00Z</dcterms:modified>
</cp:coreProperties>
</file>