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6831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29371196"/>
      <w:r w:rsidRPr="00CF03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Fig. S1 Selection of study subjects matched for genetic background</w:t>
      </w:r>
    </w:p>
    <w:p w14:paraId="44AD087A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Based on the results of principal component analysis using 55,225 SNPs, 138,830 study participants were selected from a total of 174,696 individuals. The selected participants exhibited similar PCA component values to those of </w:t>
      </w:r>
      <w:r w:rsidRPr="00CF03F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Japanese individuals in the 1000 Genomes Project, thereby ensuring a genetically matched study cohort. </w:t>
      </w:r>
    </w:p>
    <w:bookmarkEnd w:id="0"/>
    <w:p w14:paraId="3D2B00B8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C768DD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29371263"/>
      <w:r w:rsidRPr="00CF03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Fig. S2 </w:t>
      </w:r>
      <w:bookmarkEnd w:id="1"/>
      <w:r w:rsidRPr="00CF03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of activated NK cells infiltrating HCC tissues</w:t>
      </w:r>
    </w:p>
    <w:p w14:paraId="3E0EADD8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proportion of activated </w:t>
      </w:r>
      <w:proofErr w:type="spellStart"/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t>intratumoral</w:t>
      </w:r>
      <w:proofErr w:type="spellEnd"/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NK cells was determined by analyzing RNA sequencing data from 160 HCC tissues using the </w:t>
      </w:r>
      <w:proofErr w:type="spellStart"/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t>CIBERSORTx</w:t>
      </w:r>
      <w:proofErr w:type="spellEnd"/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algorithm. The percentages of activated NK cells in HCCs that were associated with HBV infection, and in those not associated with HBV infection (NBNC-HCCs), are depicted in the figure.</w:t>
      </w:r>
    </w:p>
    <w:p w14:paraId="542FFCDA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0418AD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F03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Fig. S3 </w:t>
      </w:r>
      <w:bookmarkStart w:id="2" w:name="_Hlk129371436"/>
      <w:r w:rsidRPr="00CF03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Risk-associated HLA-class I alleles and antitumor immunity</w:t>
      </w:r>
    </w:p>
    <w:p w14:paraId="48338AC0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t>(A) The number of somatic mutation-derived peptides predicted to bind (i.e., predicted score &gt; 0.90) heterozygotes for B*52:01 or C*12:02 is presented. The number of binder peptides for B*52:01/C*12:02 molecules and non-B*52:01/C*12:02 allele-derived molecules in tumor specimens is also displayed. P-values, determined by the Mann–Whitney U test, are shown.</w:t>
      </w:r>
    </w:p>
    <w:p w14:paraId="7C5EC2C9" w14:textId="77777777" w:rsidR="00CF03FD" w:rsidRPr="00CF03FD" w:rsidRDefault="00CF03FD" w:rsidP="00CF03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(B)</w:t>
      </w:r>
      <w:r w:rsidRPr="00CF03FD" w:rsidDel="004257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Pr="00CF03FD">
        <w:rPr>
          <w:rFonts w:ascii="Times New Roman" w:hAnsi="Times New Roman" w:cs="Times New Roman"/>
          <w:sz w:val="24"/>
          <w:szCs w:val="24"/>
        </w:rPr>
        <w:t>Loss of HLA-class I alleles in HCC for the B*52:01 or C*12:02 alleles. Loss of heterozygosity of the risk associated class I alleles, B*52:01 and C*12:02, has infrequently occurred than the other alleles for these alleles.</w:t>
      </w:r>
    </w:p>
    <w:p w14:paraId="2D4402AE" w14:textId="77777777" w:rsidR="00E4339E" w:rsidRPr="00CF03FD" w:rsidRDefault="00E4339E">
      <w:pPr>
        <w:rPr>
          <w:rFonts w:ascii="Times New Roman" w:hAnsi="Times New Roman" w:cs="Times New Roman"/>
          <w:sz w:val="24"/>
          <w:szCs w:val="24"/>
        </w:rPr>
      </w:pPr>
    </w:p>
    <w:sectPr w:rsidR="00E4339E" w:rsidRPr="00CF03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FD"/>
    <w:rsid w:val="00CF03FD"/>
    <w:rsid w:val="00E4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359DF3"/>
  <w15:chartTrackingRefBased/>
  <w15:docId w15:val="{0009A058-BF58-42F0-82BE-AD1D74DF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3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篤 河村</dc:creator>
  <cp:keywords/>
  <dc:description/>
  <cp:lastModifiedBy>篤 河村</cp:lastModifiedBy>
  <cp:revision>1</cp:revision>
  <dcterms:created xsi:type="dcterms:W3CDTF">2023-06-07T12:37:00Z</dcterms:created>
  <dcterms:modified xsi:type="dcterms:W3CDTF">2023-06-07T12:40:00Z</dcterms:modified>
</cp:coreProperties>
</file>