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pBdr>
          <w:bottom w:val="single" w:color="DBE5F1" w:sz="8" w:space="0"/>
        </w:pBdr>
        <w:jc w:val="left"/>
        <w:outlineLvl w:val="0"/>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G</w:t>
      </w:r>
      <w:r>
        <w:rPr>
          <w:rFonts w:hint="default" w:ascii="Times New Roman" w:hAnsi="Times New Roman" w:cs="Times New Roman"/>
          <w:sz w:val="28"/>
          <w:szCs w:val="28"/>
          <w:lang w:val="en-US" w:eastAsia="zh-CN"/>
        </w:rPr>
        <w:t>raphics Abstract</w:t>
      </w:r>
    </w:p>
    <w:p>
      <w:pPr>
        <w:keepNext/>
        <w:keepLines/>
        <w:widowControl/>
        <w:pBdr>
          <w:bottom w:val="single" w:color="DBE5F1" w:sz="8" w:space="0"/>
        </w:pBdr>
        <w:jc w:val="left"/>
        <w:outlineLvl w:val="0"/>
        <w:rPr>
          <w:rFonts w:hint="default" w:ascii="Times New Roman" w:hAnsi="Times New Roman" w:cs="Times New Roman"/>
          <w:sz w:val="28"/>
          <w:szCs w:val="28"/>
          <w:lang w:val="en-US" w:eastAsia="ja-JP"/>
        </w:rPr>
      </w:pPr>
    </w:p>
    <w:p>
      <w:pPr>
        <w:jc w:val="both"/>
        <w:rPr>
          <w:rFonts w:hint="default" w:ascii="Times New Roman" w:hAnsi="Times New Roman" w:cs="Times New Roman"/>
          <w:b w:val="0"/>
          <w:bCs w:val="0"/>
          <w:sz w:val="28"/>
          <w:szCs w:val="28"/>
        </w:rPr>
      </w:pPr>
      <w:bookmarkStart w:id="0" w:name="_GoBack"/>
      <w:r>
        <w:rPr>
          <w:rFonts w:hint="default" w:ascii="Times New Roman" w:hAnsi="Times New Roman" w:cs="Times New Roman"/>
          <w:b w:val="0"/>
          <w:bCs w:val="0"/>
          <w:sz w:val="28"/>
          <w:szCs w:val="28"/>
        </w:rPr>
        <w:t>Hydrogen peroxide oxidation of o-vanillin fluorescence kinetic fluorescence method for the determination of Mn(II)</w:t>
      </w:r>
    </w:p>
    <w:bookmarkEnd w:id="0"/>
    <w:p>
      <w:pPr>
        <w:jc w:val="both"/>
        <w:rPr>
          <w:rFonts w:hint="default" w:ascii="Times New Roman" w:hAnsi="Times New Roman" w:cs="Times New Roman"/>
          <w:b w:val="0"/>
          <w:bCs w:val="0"/>
          <w:sz w:val="28"/>
          <w:szCs w:val="28"/>
        </w:rPr>
      </w:pPr>
    </w:p>
    <w:p>
      <w:pPr>
        <w:jc w:val="center"/>
      </w:pPr>
      <w:r>
        <w:object>
          <v:shape id="_x0000_i1028" o:spt="75" type="#_x0000_t75" style="height:50.15pt;width:226.75pt;" o:ole="t" filled="f" o:preferrelative="t" stroked="f" coordsize="21600,21600">
            <v:path/>
            <v:fill on="f" focussize="0,0"/>
            <v:stroke on="f"/>
            <v:imagedata r:id="rId5" o:title=""/>
            <o:lock v:ext="edit" aspectratio="t"/>
            <w10:wrap type="none"/>
            <w10:anchorlock/>
          </v:shape>
          <o:OLEObject Type="Embed" ProgID="ChemDraw.Document.6.0" ShapeID="_x0000_i1028" DrawAspect="Content" ObjectID="_1468075725" r:id="rId4">
            <o:LockedField>false</o:LockedField>
          </o:OLEObject>
        </w:object>
      </w:r>
    </w:p>
    <w:p>
      <w:pPr>
        <w:jc w:val="both"/>
        <w:rPr>
          <w:rFonts w:hint="default"/>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lang w:val="en-US" w:eastAsia="zh-CN"/>
        </w:rPr>
      </w:pPr>
      <w:r>
        <w:rPr>
          <w:rFonts w:hint="default" w:ascii="Times New Roman" w:hAnsi="Times New Roman" w:cs="Times New Roman"/>
        </w:rPr>
        <w:t xml:space="preserve">where HMOPF(Ox) is the oxidized form of the reagent. When the metal ion Mn(II) acts as a catalyst, it accelerates the formation of the product, which is then oxidized to a higher valence state, and in reaction (3), Mn(III) is again reduced to Mn(II), and even small amounts of catalyst at the nanogram level can affect the high conversion from reduction to oxidation. </w:t>
      </w:r>
      <w:r>
        <w:rPr>
          <w:rFonts w:hint="eastAsia" w:ascii="Times New Roman" w:hAnsi="Times New Roman" w:cs="Times New Roman"/>
          <w:lang w:val="en-US" w:eastAsia="zh-CN"/>
        </w:rPr>
        <w:t>W</w:t>
      </w:r>
      <w:r>
        <w:rPr>
          <w:rFonts w:hint="default" w:ascii="Times New Roman" w:hAnsi="Times New Roman" w:cs="Times New Roman"/>
        </w:rPr>
        <w:t>hen Mn(II) catalyzes the oxidation of the chromophore, Mn(II) forms with the chromophore The intermediate transition state, due to the tendency of Mn(II)(3d</w:t>
      </w:r>
      <w:r>
        <w:rPr>
          <w:rFonts w:hint="default" w:ascii="Times New Roman" w:hAnsi="Times New Roman" w:cs="Times New Roman"/>
          <w:vertAlign w:val="superscript"/>
        </w:rPr>
        <w:t>4</w:t>
      </w:r>
      <w:r>
        <w:rPr>
          <w:rFonts w:hint="default" w:ascii="Times New Roman" w:hAnsi="Times New Roman" w:cs="Times New Roman"/>
        </w:rPr>
        <w:t>) to form the electronically stable configuration Mn(II)(3d</w:t>
      </w:r>
      <w:r>
        <w:rPr>
          <w:rFonts w:hint="default" w:ascii="Times New Roman" w:hAnsi="Times New Roman" w:cs="Times New Roman"/>
          <w:vertAlign w:val="superscript"/>
        </w:rPr>
        <w:t>5</w:t>
      </w:r>
      <w:r>
        <w:rPr>
          <w:rFonts w:hint="default" w:ascii="Times New Roman" w:hAnsi="Times New Roman" w:cs="Times New Roman"/>
        </w:rPr>
        <w:t>), and thus the system large π-bonds are loosened, resulting in the fluorescence burst of the chromophore decomposition system</w:t>
      </w:r>
      <w:r>
        <w:rPr>
          <w:rFonts w:hint="eastAsia" w:ascii="Times New Roman" w:hAnsi="Times New Roman" w:cs="Times New Roman"/>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5N2YxYWUzNTI2MDUxMTMxNjBjNDZiMDRkZDdkZjAifQ=="/>
  </w:docVars>
  <w:rsids>
    <w:rsidRoot w:val="417D7442"/>
    <w:rsid w:val="417D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2023-05-25T06:08:00Z</dcterms:created>
  <dc:creator>橙子</dc:creator>
  <cp:lastModifiedBy>橙子</cp:lastModifiedBy>
  <dcterms:modified xsi:type="dcterms:W3CDTF">2023-05-25T06:18:26Z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AB88037F454E4A03A914F7D0684922C7_11</vt:lpwstr>
  </property>
</Properties>
</file>