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The 1H NMR spectrum of HMOPF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In this NMR hydrogen spectrum, the deuterated acetone peak at 2.05 ppm is shown in Fig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S1. To briefly summarize the hydrogen spectra, the NMR hydrogen spectra were organized as Table S1.</w:t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4126865" cy="2879725"/>
            <wp:effectExtent l="0" t="0" r="635" b="3175"/>
            <wp:docPr id="9928476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84766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27286" cy="2879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Fig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</w:rPr>
        <w:t xml:space="preserve"> S1</w:t>
      </w:r>
      <w:r>
        <w:rPr>
          <w:rFonts w:hint="default" w:ascii="Times New Roman" w:hAnsi="Times New Roman" w:cs="Times New Roman"/>
        </w:rPr>
        <w:t xml:space="preserve"> 1H NMR spectrum of HMOPF</w:t>
      </w:r>
    </w:p>
    <w:p>
      <w:pPr>
        <w:rPr>
          <w:rFonts w:hint="default" w:ascii="Times New Roman" w:hAnsi="Times New Roman" w:cs="Times New Roman"/>
          <w:b/>
          <w:bCs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Table S1</w:t>
      </w:r>
      <w:r>
        <w:rPr>
          <w:rFonts w:hint="default" w:ascii="Times New Roman" w:hAnsi="Times New Roman" w:cs="Times New Roman"/>
        </w:rPr>
        <w:t xml:space="preserve"> NMR hydrogen spectrum analysis of HMOPF</w:t>
      </w:r>
    </w:p>
    <w:tbl>
      <w:tblPr>
        <w:tblStyle w:val="4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3"/>
        <w:gridCol w:w="2420"/>
        <w:gridCol w:w="1394"/>
        <w:gridCol w:w="2919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3" w:type="dxa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adjustRightInd w:val="0"/>
              <w:snapToGrid w:val="0"/>
              <w:spacing w:line="30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Hydrogen Attributions</w:t>
            </w:r>
          </w:p>
        </w:tc>
        <w:tc>
          <w:tcPr>
            <w:tcW w:w="2420" w:type="dxa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adjustRightInd w:val="0"/>
              <w:snapToGrid w:val="0"/>
              <w:spacing w:line="300" w:lineRule="auto"/>
              <w:ind w:firstLine="4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Number of peaks</w:t>
            </w:r>
          </w:p>
        </w:tc>
        <w:tc>
          <w:tcPr>
            <w:tcW w:w="1394" w:type="dxa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adjustRightInd w:val="0"/>
              <w:snapToGrid w:val="0"/>
              <w:spacing w:line="30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Number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of hydrogen</w:t>
            </w:r>
          </w:p>
        </w:tc>
        <w:tc>
          <w:tcPr>
            <w:tcW w:w="2919" w:type="dxa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adjustRightInd w:val="0"/>
              <w:snapToGrid w:val="0"/>
              <w:spacing w:line="300" w:lineRule="auto"/>
              <w:ind w:firstLine="4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Chemical shifts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3" w:type="dxa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adjustRightInd w:val="0"/>
              <w:snapToGrid w:val="0"/>
              <w:spacing w:line="300" w:lineRule="auto"/>
              <w:ind w:firstLine="4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Ar-H</w:t>
            </w:r>
          </w:p>
        </w:tc>
        <w:tc>
          <w:tcPr>
            <w:tcW w:w="2420" w:type="dxa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adjustRightInd w:val="0"/>
              <w:snapToGrid w:val="0"/>
              <w:spacing w:line="300" w:lineRule="auto"/>
              <w:ind w:firstLine="4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Multiple peaks</w:t>
            </w:r>
          </w:p>
        </w:tc>
        <w:tc>
          <w:tcPr>
            <w:tcW w:w="1394" w:type="dxa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adjustRightInd w:val="0"/>
              <w:snapToGrid w:val="0"/>
              <w:spacing w:line="300" w:lineRule="auto"/>
              <w:ind w:firstLine="4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2919" w:type="dxa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adjustRightInd w:val="0"/>
              <w:snapToGrid w:val="0"/>
              <w:spacing w:line="300" w:lineRule="auto"/>
              <w:ind w:firstLine="4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6.88-7.33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3" w:type="dxa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adjustRightInd w:val="0"/>
              <w:snapToGrid w:val="0"/>
              <w:spacing w:line="300" w:lineRule="auto"/>
              <w:ind w:firstLine="4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-OH</w:t>
            </w:r>
          </w:p>
        </w:tc>
        <w:tc>
          <w:tcPr>
            <w:tcW w:w="2420" w:type="dxa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adjustRightInd w:val="0"/>
              <w:snapToGrid w:val="0"/>
              <w:spacing w:line="300" w:lineRule="auto"/>
              <w:ind w:firstLine="4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394" w:type="dxa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adjustRightInd w:val="0"/>
              <w:snapToGrid w:val="0"/>
              <w:spacing w:line="300" w:lineRule="auto"/>
              <w:ind w:firstLine="4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2919" w:type="dxa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adjustRightInd w:val="0"/>
              <w:snapToGrid w:val="0"/>
              <w:spacing w:line="300" w:lineRule="auto"/>
              <w:ind w:firstLine="4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7.70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7.14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6.87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3" w:type="dxa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adjustRightInd w:val="0"/>
              <w:snapToGrid w:val="0"/>
              <w:spacing w:line="300" w:lineRule="auto"/>
              <w:ind w:firstLine="4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C-H</w:t>
            </w:r>
          </w:p>
        </w:tc>
        <w:tc>
          <w:tcPr>
            <w:tcW w:w="2420" w:type="dxa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adjustRightInd w:val="0"/>
              <w:snapToGrid w:val="0"/>
              <w:spacing w:line="300" w:lineRule="auto"/>
              <w:ind w:firstLine="4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394" w:type="dxa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adjustRightInd w:val="0"/>
              <w:snapToGrid w:val="0"/>
              <w:spacing w:line="300" w:lineRule="auto"/>
              <w:ind w:firstLine="4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2919" w:type="dxa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adjustRightInd w:val="0"/>
              <w:snapToGrid w:val="0"/>
              <w:spacing w:line="300" w:lineRule="auto"/>
              <w:ind w:firstLine="4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7.17,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6.53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3" w:type="dxa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adjustRightInd w:val="0"/>
              <w:snapToGrid w:val="0"/>
              <w:spacing w:line="300" w:lineRule="auto"/>
              <w:ind w:firstLine="4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-OH</w:t>
            </w:r>
          </w:p>
        </w:tc>
        <w:tc>
          <w:tcPr>
            <w:tcW w:w="2420" w:type="dxa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adjustRightInd w:val="0"/>
              <w:snapToGrid w:val="0"/>
              <w:spacing w:line="300" w:lineRule="auto"/>
              <w:ind w:firstLine="4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394" w:type="dxa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adjustRightInd w:val="0"/>
              <w:snapToGrid w:val="0"/>
              <w:spacing w:line="300" w:lineRule="auto"/>
              <w:ind w:firstLine="4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919" w:type="dxa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adjustRightInd w:val="0"/>
              <w:snapToGrid w:val="0"/>
              <w:spacing w:line="300" w:lineRule="auto"/>
              <w:ind w:firstLine="4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9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.45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3" w:type="dxa"/>
            <w:tcBorders>
              <w:top w:val="single" w:color="auto" w:sz="8" w:space="0"/>
            </w:tcBorders>
          </w:tcPr>
          <w:p>
            <w:pPr>
              <w:adjustRightInd w:val="0"/>
              <w:snapToGrid w:val="0"/>
              <w:spacing w:line="300" w:lineRule="auto"/>
              <w:ind w:firstLine="4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C-H</w:t>
            </w:r>
          </w:p>
        </w:tc>
        <w:tc>
          <w:tcPr>
            <w:tcW w:w="2420" w:type="dxa"/>
            <w:tcBorders>
              <w:top w:val="single" w:color="auto" w:sz="8" w:space="0"/>
            </w:tcBorders>
          </w:tcPr>
          <w:p>
            <w:pPr>
              <w:adjustRightInd w:val="0"/>
              <w:snapToGrid w:val="0"/>
              <w:spacing w:line="300" w:lineRule="auto"/>
              <w:ind w:firstLine="4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394" w:type="dxa"/>
            <w:tcBorders>
              <w:top w:val="single" w:color="auto" w:sz="8" w:space="0"/>
            </w:tcBorders>
          </w:tcPr>
          <w:p>
            <w:pPr>
              <w:adjustRightInd w:val="0"/>
              <w:snapToGrid w:val="0"/>
              <w:spacing w:line="300" w:lineRule="auto"/>
              <w:ind w:firstLine="4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2919" w:type="dxa"/>
            <w:tcBorders>
              <w:top w:val="single" w:color="auto" w:sz="8" w:space="0"/>
            </w:tcBorders>
          </w:tcPr>
          <w:p>
            <w:pPr>
              <w:adjustRightInd w:val="0"/>
              <w:snapToGrid w:val="0"/>
              <w:spacing w:line="300" w:lineRule="auto"/>
              <w:ind w:firstLine="4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.85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Infrared spectrum of HMOPF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The IR spectrum of o-vanillin fluorescence ketone is shown in Fig</w:t>
      </w:r>
      <w:r>
        <w:rPr>
          <w:rFonts w:hint="eastAsia" w:ascii="Times New Roman" w:hAnsi="Times New Roman" w:cs="Times New Roman"/>
          <w:lang w:val="en-US" w:eastAsia="zh-CN"/>
        </w:rPr>
        <w:t>.</w:t>
      </w:r>
      <w:r>
        <w:rPr>
          <w:rFonts w:hint="default" w:ascii="Times New Roman" w:hAnsi="Times New Roman" w:cs="Times New Roman"/>
        </w:rPr>
        <w:t xml:space="preserve"> S2, which is resolved as follows: there is a strong and broad absorption peak at 3127 cm</w:t>
      </w:r>
      <w:r>
        <w:rPr>
          <w:rFonts w:hint="default" w:ascii="Times New Roman" w:hAnsi="Times New Roman" w:cs="Times New Roman"/>
          <w:vertAlign w:val="superscript"/>
        </w:rPr>
        <w:t>-1</w:t>
      </w:r>
      <w:r>
        <w:rPr>
          <w:rFonts w:hint="default" w:ascii="Times New Roman" w:hAnsi="Times New Roman" w:cs="Times New Roman"/>
        </w:rPr>
        <w:t>, which is generated by O-H stretching vibration; the moderately strong absorption peak at 1640 cm</w:t>
      </w:r>
      <w:r>
        <w:rPr>
          <w:rFonts w:hint="default" w:ascii="Times New Roman" w:hAnsi="Times New Roman" w:cs="Times New Roman"/>
          <w:vertAlign w:val="superscript"/>
        </w:rPr>
        <w:t>-1</w:t>
      </w:r>
      <w:r>
        <w:rPr>
          <w:rFonts w:hint="default" w:ascii="Times New Roman" w:hAnsi="Times New Roman" w:cs="Times New Roman"/>
        </w:rPr>
        <w:t xml:space="preserve"> is due to the stretching vibration of C=O double bond in the cyclic alkene; the absorption peak of C-C stretching vibration of aromatic ring skeleton is at 1500 cm</w:t>
      </w:r>
      <w:r>
        <w:rPr>
          <w:rFonts w:hint="default" w:ascii="Times New Roman" w:hAnsi="Times New Roman" w:cs="Times New Roman"/>
          <w:vertAlign w:val="superscript"/>
        </w:rPr>
        <w:t>-1</w:t>
      </w:r>
      <w:r>
        <w:rPr>
          <w:rFonts w:hint="default" w:ascii="Times New Roman" w:hAnsi="Times New Roman" w:cs="Times New Roman"/>
        </w:rPr>
        <w:t>; the absorption peak at 1400 cm</w:t>
      </w:r>
      <w:r>
        <w:rPr>
          <w:rFonts w:hint="default" w:ascii="Times New Roman" w:hAnsi="Times New Roman" w:cs="Times New Roman"/>
          <w:vertAlign w:val="superscript"/>
        </w:rPr>
        <w:t>-1</w:t>
      </w:r>
      <w:r>
        <w:rPr>
          <w:rFonts w:hint="default" w:ascii="Times New Roman" w:hAnsi="Times New Roman" w:cs="Times New Roman"/>
        </w:rPr>
        <w:t xml:space="preserve"> is generated by the bending vibration of methyl group on methoxy; the absorption peak at 1280 cm</w:t>
      </w:r>
      <w:r>
        <w:rPr>
          <w:rFonts w:hint="default" w:ascii="Times New Roman" w:hAnsi="Times New Roman" w:cs="Times New Roman"/>
          <w:vertAlign w:val="superscript"/>
        </w:rPr>
        <w:t>-1</w:t>
      </w:r>
      <w:r>
        <w:rPr>
          <w:rFonts w:hint="default" w:ascii="Times New Roman" w:hAnsi="Times New Roman" w:cs="Times New Roman"/>
        </w:rPr>
        <w:t xml:space="preserve"> belongs to the stretching vibration of C-O single bond in o-vanillin fluoresc</w:t>
      </w:r>
      <w:bookmarkStart w:id="0" w:name="_GoBack"/>
      <w:bookmarkEnd w:id="0"/>
      <w:r>
        <w:rPr>
          <w:rFonts w:hint="default" w:ascii="Times New Roman" w:hAnsi="Times New Roman" w:cs="Times New Roman"/>
        </w:rPr>
        <w:t>ence ketone molecule.</w:t>
      </w:r>
    </w:p>
    <w:p>
      <w:pPr>
        <w:jc w:val="center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drawing>
          <wp:inline distT="0" distB="0" distL="0" distR="0">
            <wp:extent cx="4714875" cy="3608705"/>
            <wp:effectExtent l="0" t="0" r="9525" b="10795"/>
            <wp:docPr id="14971513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15138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360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Fig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</w:rPr>
        <w:t xml:space="preserve"> S2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>Infrared spectrum of o-vanillin fluorescent ketone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5N2YxYWUzNTI2MDUxMTMxNjBjNDZiMDRkZDdkZjAifQ=="/>
  </w:docVars>
  <w:rsids>
    <w:rsidRoot w:val="7A1519C4"/>
    <w:rsid w:val="7A151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网格型1"/>
    <w:basedOn w:val="2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2023-05-22T11:10:00Z</dcterms:created>
  <dc:creator>橙子</dc:creator>
  <cp:lastModifiedBy>橙子</cp:lastModifiedBy>
  <dcterms:modified xsi:type="dcterms:W3CDTF">2023-05-22T11:23:47Z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D3E0935B8F6B449F8590A43798E48AC8_11</vt:lpwstr>
  </property>
</Properties>
</file>