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6D84D" w14:textId="0D92FE3E"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t>Supplement 1: Inclusion and exclusion criteria of study population</w:t>
      </w:r>
    </w:p>
    <w:p w14:paraId="26B4CCAE" w14:textId="77777777"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t xml:space="preserve"> 1.Inclusion criteria</w:t>
      </w:r>
    </w:p>
    <w:p w14:paraId="011CE65D" w14:textId="77777777"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t>1.1 Inclusion criteria for normal group: no previous history of diabetes, fasting venous glucose &lt;6.1 mmol/l, glycosylated hemoglobin ≤6.5%.</w:t>
      </w:r>
    </w:p>
    <w:p w14:paraId="4CBE2546" w14:textId="77777777"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t xml:space="preserve">1.2 Inclusion criteria for diabetic patients: </w:t>
      </w:r>
    </w:p>
    <w:p w14:paraId="35A8BDB5" w14:textId="77777777"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t>The criteria for type 2 diabetes was based on the criteria established by the World Health Organization in 2011.Diagnostic criteria</w:t>
      </w:r>
      <w:r>
        <w:rPr>
          <w:rFonts w:ascii="Times New Roman" w:hAnsi="Times New Roman"/>
          <w:sz w:val="24"/>
          <w:szCs w:val="24"/>
          <w:lang w:eastAsia="zh-Hans"/>
        </w:rPr>
        <w:t>：</w:t>
      </w:r>
      <w:r>
        <w:rPr>
          <w:rFonts w:ascii="Times New Roman" w:hAnsi="Times New Roman"/>
          <w:sz w:val="24"/>
          <w:szCs w:val="24"/>
          <w:lang w:eastAsia="zh-Hans"/>
        </w:rPr>
        <w:t>fasting venous plasma glucose ≥7.0 mmol/L and/or OGTT 2 hours or random glucose ≥11.1 mmol/L, the results were repeatedly confirmed ≥ 1 time; or glycated hemoglobin ≥ 6.5%.</w:t>
      </w:r>
    </w:p>
    <w:p w14:paraId="25828E70" w14:textId="77777777"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t>1.3 Diabetic foot ulcer grading criteria: foot ulcer was graded according to Wagner's classification: Grade 0, high- risk foot; Grade 1, superficial ulcer; Grade 2, deep ulcer penetrating to tendon, bone, or joint; Grade 3, deep ulcer with abscess or osteomyelitis; Grade 4, localized gangrene; and Grade 5, extensive gangrene requiring a major amputation.</w:t>
      </w:r>
    </w:p>
    <w:p w14:paraId="1C9F35AF" w14:textId="77777777" w:rsidR="004A61B7" w:rsidRDefault="00000000">
      <w:pPr>
        <w:spacing w:line="360" w:lineRule="auto"/>
        <w:ind w:firstLineChars="200" w:firstLine="480"/>
        <w:rPr>
          <w:rFonts w:ascii="Times New Roman" w:hAnsi="Times New Roman"/>
          <w:sz w:val="24"/>
          <w:lang w:eastAsia="zh-Hans"/>
        </w:rPr>
      </w:pPr>
      <w:r>
        <w:rPr>
          <w:rFonts w:ascii="Times New Roman" w:hAnsi="Times New Roman"/>
          <w:sz w:val="24"/>
          <w:szCs w:val="24"/>
          <w:lang w:eastAsia="zh-Hans"/>
        </w:rPr>
        <w:t xml:space="preserve">According to the Wagner grading criteria, the Wagner grading of the enrolled DFU patients was as follows: 20 specimens were designated as grade 1; 27 were grade 2; 14 were grade 3; 22 were grade 4; and 2 were grade 5 </w:t>
      </w:r>
      <w:proofErr w:type="gramStart"/>
      <w:r>
        <w:rPr>
          <w:rFonts w:ascii="Times New Roman" w:hAnsi="Times New Roman"/>
          <w:sz w:val="24"/>
          <w:szCs w:val="24"/>
          <w:lang w:eastAsia="zh-Hans"/>
        </w:rPr>
        <w:t>( the</w:t>
      </w:r>
      <w:proofErr w:type="gramEnd"/>
      <w:r>
        <w:rPr>
          <w:rFonts w:ascii="Times New Roman" w:hAnsi="Times New Roman"/>
          <w:sz w:val="24"/>
          <w:szCs w:val="24"/>
          <w:lang w:eastAsia="zh-Hans"/>
        </w:rPr>
        <w:t xml:space="preserve"> number of cases was too small to be included in the later statistical analysis).</w:t>
      </w:r>
    </w:p>
    <w:p w14:paraId="22DB29A2" w14:textId="77777777"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t>1.4 The diagnostic criteria for DPN are: (</w:t>
      </w:r>
      <w:proofErr w:type="spellStart"/>
      <w:r>
        <w:rPr>
          <w:rFonts w:ascii="Times New Roman" w:hAnsi="Times New Roman"/>
          <w:sz w:val="24"/>
          <w:szCs w:val="24"/>
          <w:lang w:eastAsia="zh-Hans"/>
        </w:rPr>
        <w:t>i</w:t>
      </w:r>
      <w:proofErr w:type="spellEnd"/>
      <w:r>
        <w:rPr>
          <w:rFonts w:ascii="Times New Roman" w:hAnsi="Times New Roman"/>
          <w:sz w:val="24"/>
          <w:szCs w:val="24"/>
          <w:lang w:eastAsia="zh-Hans"/>
        </w:rPr>
        <w:t>) definite history of diabetes; (ii) neuropathy that occurs at or after the diagnosis of diabetes; (iii) clinical symptoms (such as burning pain, electric shock-like pain, sharp pain, soreness, cold pain, induced pain, itching, numbness and abnormal position perception) and one abnormality among the following five examinations: ankle reflexes, pinprick sensation, vibration perception, temperature perception and pressure perception (or two abnormalities among the of five examinations in diabetic patients without clinical symptoms); and (iv) exclusion of neuropathy of other causes, including neurotoxic drugs (such as chemotherapy drugs), cervical and lumbar diseases (compression, stenosis, degeneration), cerebral infarction, chronic inflammatory demyelinating neuropathy, hereditary neuropathy and vasculitis, infections (such as acquired immune deficiency syndrome) and nerve damage caused by metabolic toxins caused by renal insufficiency.</w:t>
      </w:r>
    </w:p>
    <w:p w14:paraId="4CD8E206" w14:textId="77777777"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lastRenderedPageBreak/>
        <w:t>1.5 Diabetic kidney disease (DKD) is caused by diabetes mellitus, the diagnosis of which is still controversial and imperfect, mainly based on the recommendations of the Expert Consensus on the Prevention and Treatment of Diabetic Nephropathy (2014 edition), which mainly includes urinary albumin/creatinine ratio (ACR) &gt; 30 mg/g or glomerular filtration rate (GFR) &lt; 60 ml/min/1.73 m</w:t>
      </w:r>
      <w:r>
        <w:rPr>
          <w:rFonts w:ascii="Times New Roman" w:hAnsi="Times New Roman"/>
          <w:sz w:val="24"/>
          <w:szCs w:val="24"/>
          <w:vertAlign w:val="superscript"/>
          <w:lang w:eastAsia="zh-Hans"/>
        </w:rPr>
        <w:t>2</w:t>
      </w:r>
      <w:r>
        <w:rPr>
          <w:rFonts w:ascii="Times New Roman" w:hAnsi="Times New Roman"/>
          <w:sz w:val="24"/>
          <w:szCs w:val="24"/>
          <w:lang w:eastAsia="zh-Hans"/>
        </w:rPr>
        <w:t xml:space="preserve"> for more than 3 months.</w:t>
      </w:r>
    </w:p>
    <w:p w14:paraId="3763E688" w14:textId="77777777"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t xml:space="preserve"> 2. Exclusion criteria</w:t>
      </w:r>
    </w:p>
    <w:p w14:paraId="0E8FCDE5" w14:textId="77777777"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t>2.1 Exclusion criteria for the normal group: (1) peripheral vascular disease; (2) patients with long-term exogenous sex hormone supplementation; (3) patients with significant abnormalities in liver and kidney function (ghrelin or ghrelin &gt; 3 times the upper limit of normal and glomerular filtration rate &lt; 30 ml/min/1.73 m2); (4) patients with long-term systolic blood pressure higher than 160 mmHg or with malignant hypertension; (5) patients with thyroid disease or adrenal disease; (6) patients with tumor; (7) excessive alcohol consumption or smoking; (8) rheumatic immune diseases or other diseases affecting glucose metabolism; (9) recent use of anti-platelet aggregation and anticoagulation drugs; (10) pregnant and lactating women.</w:t>
      </w:r>
    </w:p>
    <w:p w14:paraId="3DDA7F8A" w14:textId="77777777" w:rsidR="004A61B7" w:rsidRDefault="004A61B7">
      <w:pPr>
        <w:spacing w:line="360" w:lineRule="auto"/>
        <w:rPr>
          <w:rFonts w:ascii="Times New Roman" w:hAnsi="Times New Roman"/>
          <w:sz w:val="24"/>
          <w:lang w:eastAsia="zh-Hans"/>
        </w:rPr>
      </w:pPr>
    </w:p>
    <w:p w14:paraId="025BB790" w14:textId="3521FA11" w:rsidR="004A61B7" w:rsidRDefault="00000000">
      <w:pPr>
        <w:spacing w:line="360" w:lineRule="auto"/>
        <w:rPr>
          <w:rFonts w:ascii="Times New Roman" w:hAnsi="Times New Roman"/>
          <w:sz w:val="24"/>
          <w:lang w:eastAsia="zh-Hans"/>
        </w:rPr>
      </w:pPr>
      <w:r>
        <w:rPr>
          <w:rFonts w:ascii="Times New Roman" w:hAnsi="Times New Roman"/>
          <w:sz w:val="24"/>
          <w:szCs w:val="24"/>
          <w:lang w:eastAsia="zh-Hans"/>
        </w:rPr>
        <w:t xml:space="preserve">2.2 Exclusion criteria for the diabetic group and diabetic foot ulcer group: (1) combined with other site infections, such as cellulitis and pneumonia; (2) combined with chronic inflammatory diseases, such as rheumatic immune diseases or other diseases affecting glucose metabolism; (3) combined with acute complications of diabetes; (4) patients with long-term use of diabetic corticosteroids; (5) patients with long-term exogenous hormone supplementation; (6) tumor (7) patients with significant abnormalities in liver and kidney function (glutathione or glutamic </w:t>
      </w:r>
      <w:proofErr w:type="spellStart"/>
      <w:r>
        <w:rPr>
          <w:rFonts w:ascii="Times New Roman" w:hAnsi="Times New Roman"/>
          <w:sz w:val="24"/>
          <w:szCs w:val="24"/>
          <w:lang w:eastAsia="zh-Hans"/>
        </w:rPr>
        <w:t>oxalacetic</w:t>
      </w:r>
      <w:proofErr w:type="spellEnd"/>
      <w:r>
        <w:rPr>
          <w:rFonts w:ascii="Times New Roman" w:hAnsi="Times New Roman"/>
          <w:sz w:val="24"/>
          <w:szCs w:val="24"/>
          <w:lang w:eastAsia="zh-Hans"/>
        </w:rPr>
        <w:t xml:space="preserve"> transaminase &gt; 3 times the upper limit of normal, glomerular filtration rate &lt; 30 ml/min/1.73 m2); (8) patients with systolic blood pressure higher than 160 mmHg for a long time or with malignant hypertension; (9) patients with thyroid disease or adrenal disease; (10) excessive alcohol consumption or smoking; (10) pregnant or lactating women.</w:t>
      </w:r>
    </w:p>
    <w:p w14:paraId="73833AEF" w14:textId="0C78DE16" w:rsidR="00E939F5" w:rsidRDefault="00E939F5">
      <w:pPr>
        <w:spacing w:line="360" w:lineRule="auto"/>
        <w:rPr>
          <w:rFonts w:ascii="Times New Roman" w:hAnsi="Times New Roman"/>
          <w:sz w:val="24"/>
          <w:lang w:eastAsia="zh-Hans"/>
        </w:rPr>
      </w:pPr>
    </w:p>
    <w:p w14:paraId="1F707556" w14:textId="77777777" w:rsidR="00E939F5" w:rsidRDefault="00E939F5" w:rsidP="00E939F5">
      <w:pPr>
        <w:rPr>
          <w:rFonts w:ascii="Times New Roman Regular" w:hAnsi="Times New Roman Regular"/>
          <w:sz w:val="20"/>
          <w:szCs w:val="20"/>
        </w:rPr>
      </w:pPr>
      <w:r>
        <w:rPr>
          <w:rFonts w:ascii="Times New Roman Regular" w:hAnsi="Times New Roman Regular"/>
          <w:sz w:val="20"/>
          <w:szCs w:val="20"/>
        </w:rPr>
        <w:lastRenderedPageBreak/>
        <w:t>Figure S1: GSEA gene sets.</w:t>
      </w:r>
    </w:p>
    <w:p w14:paraId="3852279B" w14:textId="771FBFF0" w:rsidR="00E939F5" w:rsidRDefault="00E939F5" w:rsidP="00E939F5">
      <w:pPr>
        <w:rPr>
          <w:rFonts w:ascii="Times New Roman Regular" w:hAnsi="Times New Roman Regular"/>
          <w:sz w:val="20"/>
          <w:szCs w:val="20"/>
        </w:rPr>
      </w:pPr>
      <w:r>
        <w:rPr>
          <w:rFonts w:ascii="Times New Roman Regular" w:hAnsi="Times New Roman Regular"/>
          <w:noProof/>
          <w:sz w:val="20"/>
          <w:szCs w:val="20"/>
        </w:rPr>
        <w:drawing>
          <wp:inline distT="0" distB="0" distL="0" distR="0" wp14:anchorId="18134018" wp14:editId="38D329C4">
            <wp:extent cx="5257800" cy="381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4">
                      <a:extLst>
                        <a:ext uri="{28A0092B-C50C-407E-A947-70E740481C1C}">
                          <a14:useLocalDpi xmlns:a14="http://schemas.microsoft.com/office/drawing/2010/main" val="0"/>
                        </a:ext>
                      </a:extLst>
                    </a:blip>
                    <a:stretch>
                      <a:fillRect/>
                    </a:stretch>
                  </pic:blipFill>
                  <pic:spPr>
                    <a:xfrm>
                      <a:off x="0" y="0"/>
                      <a:ext cx="5257800" cy="3810000"/>
                    </a:xfrm>
                    <a:prstGeom prst="rect">
                      <a:avLst/>
                    </a:prstGeom>
                  </pic:spPr>
                </pic:pic>
              </a:graphicData>
            </a:graphic>
          </wp:inline>
        </w:drawing>
      </w:r>
    </w:p>
    <w:p w14:paraId="42C62419" w14:textId="77777777" w:rsidR="00E939F5" w:rsidRDefault="00E939F5" w:rsidP="00E939F5">
      <w:pPr>
        <w:rPr>
          <w:rFonts w:ascii="Times New Roman Regular" w:hAnsi="Times New Roman Regular"/>
          <w:sz w:val="20"/>
          <w:szCs w:val="20"/>
        </w:rPr>
      </w:pPr>
      <w:r>
        <w:rPr>
          <w:rFonts w:ascii="Times New Roman Regular" w:hAnsi="Times New Roman Regular"/>
          <w:sz w:val="20"/>
          <w:szCs w:val="20"/>
        </w:rPr>
        <w:t>Fig S1. GSEA gene sets. Through the "GSEA" database, search for "inflammation" and download the "GOBP_ACUTE_INFLAMMATORY_RESPONSE" gene set, which contains 113 inflammation-related genes (A); search for "Coagulation" and download the "HALLMARK_COAGULATION" gene set (B), which contains 138 coagulation-related genes; search for "vessel" and download the "ANGIOGENESIS" gene set, which contains 48 angiogenesis-related genes (C); search for "healing" and download the "HP_POOR_WOUND_HEALING" gene set, which contains 27 genes related to poor wound healing (D).</w:t>
      </w:r>
    </w:p>
    <w:p w14:paraId="13EC9DD4" w14:textId="77777777" w:rsidR="00E939F5" w:rsidRPr="00E939F5" w:rsidRDefault="00E939F5">
      <w:pPr>
        <w:spacing w:line="360" w:lineRule="auto"/>
        <w:rPr>
          <w:rFonts w:ascii="Times New Roman" w:hAnsi="Times New Roman" w:hint="eastAsia"/>
          <w:sz w:val="24"/>
          <w:lang w:eastAsia="zh-Hans"/>
        </w:rPr>
      </w:pPr>
    </w:p>
    <w:sectPr w:rsidR="00E939F5" w:rsidRPr="00E939F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Regular">
    <w:altName w:val="Times New Roman"/>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doNotDisplayPageBoundaries/>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E1YTg3NDRjZGZkMmQ1ODU1Mzg1ZWI4NDc1YjI1MTYifQ=="/>
    <w:docVar w:name="KSO_WPS_MARK_KEY" w:val="ece1a197-7a35-4d9f-9f96-631e54323769"/>
  </w:docVars>
  <w:rsids>
    <w:rsidRoot w:val="D3A3B3EA"/>
    <w:rsid w:val="004A61B7"/>
    <w:rsid w:val="00E939F5"/>
    <w:rsid w:val="5B130F66"/>
    <w:rsid w:val="7B60188E"/>
    <w:rsid w:val="D3A3B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8041D03"/>
  <w15:docId w15:val="{D3F15206-BBB4-2744-B2AB-7B7FB5D3B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39F5"/>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579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734</Words>
  <Characters>4190</Characters>
  <Application>Microsoft Office Word</Application>
  <DocSecurity>0</DocSecurity>
  <Lines>34</Lines>
  <Paragraphs>9</Paragraphs>
  <ScaleCrop>false</ScaleCrop>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花开的方向</dc:creator>
  <cp:lastModifiedBy>翁 芷嫣</cp:lastModifiedBy>
  <cp:revision>2</cp:revision>
  <dcterms:created xsi:type="dcterms:W3CDTF">2022-10-11T16:50:00Z</dcterms:created>
  <dcterms:modified xsi:type="dcterms:W3CDTF">2023-05-25T05:40:00Z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2052-11.1.0.12644</vt:lpwstr>
  </property>
  <property fmtid="{D5CDD505-2E9C-101B-9397-08002B2CF9AE}" pid="3" name="ICV">
    <vt:lpwstr>05F3B9A19ACF4DF9BE3C91DE6FD25DF8</vt:lpwstr>
  </property>
</Properties>
</file>