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A95E6" w14:textId="23F14493" w:rsidR="00E90666" w:rsidRDefault="00E90666" w:rsidP="00E90666">
      <w:pPr>
        <w:pStyle w:val="Heading2"/>
      </w:pPr>
      <w:bookmarkStart w:id="0" w:name="_Toc116571561"/>
      <w:r>
        <w:t>Table S1: Mouse X-ray disease burden score</w:t>
      </w:r>
      <w:bookmarkEnd w:id="0"/>
    </w:p>
    <w:p w14:paraId="0347050A" w14:textId="48FFE3AC" w:rsidR="00E90666" w:rsidRPr="00281512" w:rsidRDefault="00E90666" w:rsidP="00E90666">
      <w:pPr>
        <w:ind w:left="1260"/>
        <w:rPr>
          <w:b/>
          <w:bCs/>
        </w:rPr>
      </w:pPr>
      <w:r>
        <w:tab/>
      </w:r>
      <w:r w:rsidRPr="00281512">
        <w:rPr>
          <w:b/>
          <w:bCs/>
        </w:rPr>
        <w:t>Mouse disease burden score = (left femur + left tibia-fibula + left calcaneus + left metatarsals + right femur + right tibia-fibula + right calcaneus + right metatarsals) / 8</w:t>
      </w:r>
    </w:p>
    <w:p w14:paraId="3976D749" w14:textId="56990FCC" w:rsidR="00631E2B" w:rsidRDefault="00320463"/>
    <w:p w14:paraId="1CAE6F8D" w14:textId="6AFA2C31" w:rsidR="00E90666" w:rsidRDefault="00E90666"/>
    <w:tbl>
      <w:tblPr>
        <w:tblpPr w:leftFromText="180" w:rightFromText="180" w:horzAnchor="margin" w:tblpY="611"/>
        <w:tblW w:w="5000" w:type="pct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1307"/>
        <w:gridCol w:w="2624"/>
        <w:gridCol w:w="2020"/>
        <w:gridCol w:w="1683"/>
        <w:gridCol w:w="2004"/>
        <w:gridCol w:w="1661"/>
        <w:gridCol w:w="1661"/>
      </w:tblGrid>
      <w:tr w:rsidR="00E90666" w:rsidRPr="008966DD" w14:paraId="0F20A4AE" w14:textId="77777777" w:rsidTr="00EE212A">
        <w:trPr>
          <w:trHeight w:val="630"/>
        </w:trPr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AB101" w14:textId="77777777" w:rsidR="00E90666" w:rsidRPr="002B52FA" w:rsidRDefault="00E90666" w:rsidP="00EE212A">
            <w:pPr>
              <w:pStyle w:val="NoSpacing"/>
              <w:rPr>
                <w:b/>
                <w:bCs/>
              </w:rPr>
            </w:pPr>
            <w:r w:rsidRPr="002B52FA">
              <w:rPr>
                <w:b/>
                <w:bCs/>
              </w:rPr>
              <w:t xml:space="preserve">Score </w:t>
            </w:r>
            <w:r w:rsidRPr="002B52FA">
              <w:rPr>
                <w:b/>
                <w:bCs/>
              </w:rPr>
              <w:sym w:font="Wingdings" w:char="F0E0"/>
            </w:r>
          </w:p>
          <w:p w14:paraId="3E856601" w14:textId="77777777" w:rsidR="00E90666" w:rsidRPr="002B52FA" w:rsidRDefault="00E90666" w:rsidP="00EE212A">
            <w:pPr>
              <w:pStyle w:val="NoSpacing"/>
              <w:rPr>
                <w:b/>
                <w:bCs/>
              </w:rPr>
            </w:pPr>
            <w:r w:rsidRPr="002B52FA">
              <w:rPr>
                <w:b/>
                <w:bCs/>
              </w:rPr>
              <w:t>Bone(s) ↓</w:t>
            </w:r>
          </w:p>
        </w:tc>
        <w:tc>
          <w:tcPr>
            <w:tcW w:w="1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A70AE8" w14:textId="77777777" w:rsidR="00E90666" w:rsidRPr="002B52FA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2B52FA">
              <w:rPr>
                <w:b/>
                <w:bCs/>
              </w:rPr>
              <w:t>1</w:t>
            </w:r>
          </w:p>
        </w:tc>
        <w:tc>
          <w:tcPr>
            <w:tcW w:w="7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5A3842" w14:textId="77777777" w:rsidR="00E90666" w:rsidRPr="002B52FA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2B52FA">
              <w:rPr>
                <w:b/>
                <w:bCs/>
              </w:rPr>
              <w:t>2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2CE483" w14:textId="77777777" w:rsidR="00E90666" w:rsidRPr="002B52FA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2B52FA">
              <w:rPr>
                <w:b/>
                <w:bCs/>
              </w:rPr>
              <w:t>3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4759B3" w14:textId="77777777" w:rsidR="00E90666" w:rsidRPr="002B52FA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2B52FA">
              <w:rPr>
                <w:b/>
                <w:bCs/>
              </w:rPr>
              <w:t>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48CEE9" w14:textId="77777777" w:rsidR="00E90666" w:rsidRPr="002B52FA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2B52FA">
              <w:rPr>
                <w:b/>
                <w:bCs/>
              </w:rPr>
              <w:t>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36CB43" w14:textId="77777777" w:rsidR="00E90666" w:rsidRPr="002B52FA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2B52FA">
              <w:rPr>
                <w:b/>
                <w:bCs/>
              </w:rPr>
              <w:t>6</w:t>
            </w:r>
          </w:p>
        </w:tc>
      </w:tr>
      <w:tr w:rsidR="00E90666" w:rsidRPr="008966DD" w14:paraId="662CD51B" w14:textId="77777777" w:rsidTr="00EE212A">
        <w:trPr>
          <w:trHeight w:val="64"/>
        </w:trPr>
        <w:tc>
          <w:tcPr>
            <w:tcW w:w="50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A6ACB" w14:textId="77777777" w:rsidR="00E90666" w:rsidRPr="002B52FA" w:rsidRDefault="00E90666" w:rsidP="00EE212A">
            <w:pPr>
              <w:pStyle w:val="NoSpacing"/>
              <w:rPr>
                <w:b/>
                <w:bCs/>
              </w:rPr>
            </w:pPr>
            <w:r w:rsidRPr="002B52FA">
              <w:rPr>
                <w:b/>
                <w:bCs/>
              </w:rPr>
              <w:t>Femur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FE7CF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Focal lytic areas covering &lt;10% of the femur</w:t>
            </w:r>
            <w:r w:rsidRPr="00281512">
              <w:rPr>
                <w:sz w:val="18"/>
                <w:szCs w:val="18"/>
              </w:rPr>
              <w:br/>
              <w:t>Typically just one spot in the distal metaphysis.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C9FA2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 xml:space="preserve">Extended lytic areas covering 10-25% of the femur. </w:t>
            </w:r>
            <w:r w:rsidRPr="00281512">
              <w:rPr>
                <w:sz w:val="18"/>
                <w:szCs w:val="18"/>
              </w:rPr>
              <w:br/>
              <w:t>OR</w:t>
            </w:r>
            <w:r w:rsidRPr="00281512">
              <w:rPr>
                <w:sz w:val="18"/>
                <w:szCs w:val="18"/>
              </w:rPr>
              <w:br/>
              <w:t xml:space="preserve">Focal </w:t>
            </w:r>
            <w:r w:rsidRPr="00281512">
              <w:rPr>
                <w:sz w:val="18"/>
                <w:szCs w:val="18"/>
                <w:u w:val="single"/>
              </w:rPr>
              <w:t>sclerotic only</w:t>
            </w:r>
            <w:r w:rsidRPr="00281512">
              <w:rPr>
                <w:sz w:val="18"/>
                <w:szCs w:val="18"/>
              </w:rPr>
              <w:t xml:space="preserve"> covering &lt;10% of the femur and immediately proximal to the distal metaphysis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4BC80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Lytic or lytic-sclerotic changes, covering 25-50% of the femur</w:t>
            </w:r>
            <w:r w:rsidRPr="00281512">
              <w:rPr>
                <w:sz w:val="18"/>
                <w:szCs w:val="18"/>
              </w:rPr>
              <w:br/>
              <w:t>No Expansion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0729D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Lytic or lytic-sclerotic changes, covering &gt;50% of the femur</w:t>
            </w:r>
            <w:r w:rsidRPr="00281512">
              <w:rPr>
                <w:sz w:val="18"/>
                <w:szCs w:val="18"/>
              </w:rPr>
              <w:br/>
              <w:t>No Expansion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9AB1B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Lytic or lytic-sclerotic changes, covering &gt;50% of the femur</w:t>
            </w:r>
            <w:r w:rsidRPr="00281512">
              <w:rPr>
                <w:sz w:val="18"/>
                <w:szCs w:val="18"/>
              </w:rPr>
              <w:br/>
              <w:t>Mild Expansion, diaphysis width &lt;125% control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5FBE3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Lytic or lytic-sclerotic changes, covering &gt;50% of the femur</w:t>
            </w:r>
            <w:r w:rsidRPr="00281512">
              <w:rPr>
                <w:sz w:val="18"/>
                <w:szCs w:val="18"/>
              </w:rPr>
              <w:br/>
              <w:t>Severe Expansion, diaphysis width &gt;125% control</w:t>
            </w:r>
          </w:p>
        </w:tc>
      </w:tr>
      <w:tr w:rsidR="00E90666" w:rsidRPr="008966DD" w14:paraId="1EA833CF" w14:textId="77777777" w:rsidTr="00EE212A">
        <w:trPr>
          <w:trHeight w:val="1853"/>
        </w:trPr>
        <w:tc>
          <w:tcPr>
            <w:tcW w:w="50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85C01" w14:textId="77777777" w:rsidR="00E90666" w:rsidRPr="002B52FA" w:rsidRDefault="00E90666" w:rsidP="00EE212A">
            <w:pPr>
              <w:pStyle w:val="NoSpacing"/>
              <w:rPr>
                <w:b/>
                <w:bCs/>
              </w:rPr>
            </w:pPr>
            <w:r w:rsidRPr="002B52FA">
              <w:rPr>
                <w:b/>
                <w:bCs/>
              </w:rPr>
              <w:t>Tibia-fibula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E721F" w14:textId="66291FD4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Focal lytic areas covering &lt;10% of the tibia</w:t>
            </w:r>
            <w:r w:rsidRPr="00281512">
              <w:rPr>
                <w:sz w:val="18"/>
                <w:szCs w:val="18"/>
              </w:rPr>
              <w:br/>
              <w:t xml:space="preserve">Typically just one spot in the distal </w:t>
            </w:r>
            <w:proofErr w:type="spellStart"/>
            <w:r w:rsidRPr="00281512">
              <w:rPr>
                <w:sz w:val="18"/>
                <w:szCs w:val="18"/>
              </w:rPr>
              <w:t>submetaphysis</w:t>
            </w:r>
            <w:proofErr w:type="spellEnd"/>
            <w:r w:rsidRPr="00281512">
              <w:rPr>
                <w:sz w:val="18"/>
                <w:szCs w:val="18"/>
              </w:rPr>
              <w:t>. Rarely more proximal in the d</w:t>
            </w:r>
            <w:r w:rsidR="00DB2B1D">
              <w:rPr>
                <w:sz w:val="18"/>
                <w:szCs w:val="18"/>
              </w:rPr>
              <w:t>i</w:t>
            </w:r>
            <w:r w:rsidRPr="00281512">
              <w:rPr>
                <w:sz w:val="18"/>
                <w:szCs w:val="18"/>
              </w:rPr>
              <w:t>aph</w:t>
            </w:r>
            <w:r w:rsidR="007544E1">
              <w:rPr>
                <w:sz w:val="18"/>
                <w:szCs w:val="18"/>
              </w:rPr>
              <w:t>y</w:t>
            </w:r>
            <w:r w:rsidRPr="00281512">
              <w:rPr>
                <w:sz w:val="18"/>
                <w:szCs w:val="18"/>
              </w:rPr>
              <w:t>sis or in the tibial crest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CEE5A" w14:textId="5A4F1612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Extended lytic areas covering 10-25% of the tibia</w:t>
            </w:r>
            <w:r w:rsidRPr="00281512">
              <w:rPr>
                <w:sz w:val="18"/>
                <w:szCs w:val="18"/>
              </w:rPr>
              <w:br/>
              <w:t>No Expansion</w:t>
            </w:r>
            <w:r w:rsidRPr="00281512">
              <w:rPr>
                <w:sz w:val="18"/>
                <w:szCs w:val="18"/>
              </w:rPr>
              <w:br/>
              <w:t>Mid-diaph</w:t>
            </w:r>
            <w:r w:rsidR="007544E1">
              <w:rPr>
                <w:sz w:val="18"/>
                <w:szCs w:val="18"/>
              </w:rPr>
              <w:t>y</w:t>
            </w:r>
            <w:r w:rsidRPr="00281512">
              <w:rPr>
                <w:sz w:val="18"/>
                <w:szCs w:val="18"/>
              </w:rPr>
              <w:t>sis unaffected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09311" w14:textId="4D343E08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Lytic/sclerotic areas covering 25-50% of the tibia</w:t>
            </w:r>
            <w:r w:rsidRPr="00281512">
              <w:rPr>
                <w:sz w:val="18"/>
                <w:szCs w:val="18"/>
              </w:rPr>
              <w:br/>
              <w:t>No Expansion</w:t>
            </w:r>
            <w:r w:rsidRPr="00281512">
              <w:rPr>
                <w:sz w:val="18"/>
                <w:szCs w:val="18"/>
              </w:rPr>
              <w:br/>
              <w:t>Mid-diaph</w:t>
            </w:r>
            <w:r w:rsidR="00DB2B1D">
              <w:rPr>
                <w:sz w:val="18"/>
                <w:szCs w:val="18"/>
              </w:rPr>
              <w:t>y</w:t>
            </w:r>
            <w:r w:rsidRPr="00281512">
              <w:rPr>
                <w:sz w:val="18"/>
                <w:szCs w:val="18"/>
              </w:rPr>
              <w:t>sis unaffected</w:t>
            </w:r>
            <w:r w:rsidRPr="00281512">
              <w:rPr>
                <w:sz w:val="18"/>
                <w:szCs w:val="18"/>
              </w:rPr>
              <w:br/>
              <w:t>Typically no lesioned tissue proximal to the fibula insertion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6B8A3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Lytic/sclerotic areas covering 50-75% of the tibia with mild bowing (score 4a)</w:t>
            </w:r>
            <w:r w:rsidRPr="00281512">
              <w:rPr>
                <w:sz w:val="18"/>
                <w:szCs w:val="18"/>
              </w:rPr>
              <w:br/>
              <w:t>OR</w:t>
            </w:r>
            <w:r w:rsidRPr="00281512">
              <w:rPr>
                <w:sz w:val="18"/>
                <w:szCs w:val="18"/>
              </w:rPr>
              <w:br/>
              <w:t>lytic/sclerotic areas covering 25-50% of the tibia with focal expansion &lt;150% in size (score 4b)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612CE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Lytic/sclerotic changes, covering 50-75% % of the tibia</w:t>
            </w:r>
            <w:r w:rsidRPr="00281512">
              <w:rPr>
                <w:sz w:val="18"/>
                <w:szCs w:val="18"/>
              </w:rPr>
              <w:br/>
              <w:t>Focal Expansion - width &gt;150% in size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C32DE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Lytic/sclerotic changes, covering over 75% of the tibia</w:t>
            </w:r>
            <w:r w:rsidRPr="00281512">
              <w:rPr>
                <w:sz w:val="18"/>
                <w:szCs w:val="18"/>
              </w:rPr>
              <w:br/>
              <w:t>Spread Expansion - width &gt;150% normal</w:t>
            </w:r>
          </w:p>
        </w:tc>
      </w:tr>
      <w:tr w:rsidR="00E90666" w:rsidRPr="008966DD" w14:paraId="48A3631D" w14:textId="77777777" w:rsidTr="00EE212A">
        <w:trPr>
          <w:trHeight w:val="1052"/>
        </w:trPr>
        <w:tc>
          <w:tcPr>
            <w:tcW w:w="50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858C7" w14:textId="77777777" w:rsidR="00E90666" w:rsidRPr="002B52FA" w:rsidRDefault="00E90666" w:rsidP="00EE212A">
            <w:pPr>
              <w:pStyle w:val="NoSpacing"/>
              <w:rPr>
                <w:b/>
                <w:bCs/>
              </w:rPr>
            </w:pPr>
            <w:r w:rsidRPr="002B52FA">
              <w:rPr>
                <w:b/>
                <w:bCs/>
              </w:rPr>
              <w:t>Calcaneus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29632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Focal lytic areas</w:t>
            </w:r>
            <w:r w:rsidRPr="00281512">
              <w:rPr>
                <w:sz w:val="18"/>
                <w:szCs w:val="18"/>
              </w:rPr>
              <w:br/>
              <w:t>No expansion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8D613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Extended lytic or lytic/sclerotic areas</w:t>
            </w:r>
            <w:r w:rsidRPr="00281512">
              <w:rPr>
                <w:sz w:val="18"/>
                <w:szCs w:val="18"/>
              </w:rPr>
              <w:br/>
              <w:t>No expansion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995E8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Expansion</w:t>
            </w:r>
            <w:r w:rsidRPr="00281512">
              <w:rPr>
                <w:sz w:val="18"/>
                <w:szCs w:val="18"/>
              </w:rPr>
              <w:br/>
              <w:t>Size 100-125% normal</w:t>
            </w:r>
            <w:r w:rsidRPr="00281512">
              <w:rPr>
                <w:sz w:val="18"/>
                <w:szCs w:val="18"/>
              </w:rPr>
              <w:br/>
              <w:t>Lytic/sclerotic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8BAA0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Expansion</w:t>
            </w:r>
            <w:r w:rsidRPr="00281512">
              <w:rPr>
                <w:sz w:val="18"/>
                <w:szCs w:val="18"/>
              </w:rPr>
              <w:br/>
              <w:t>Size &gt;125% normal</w:t>
            </w:r>
            <w:r w:rsidRPr="00281512">
              <w:rPr>
                <w:sz w:val="18"/>
                <w:szCs w:val="18"/>
              </w:rPr>
              <w:br/>
              <w:t>No ankylosis of the ankle</w:t>
            </w:r>
            <w:r w:rsidRPr="00281512">
              <w:rPr>
                <w:sz w:val="18"/>
                <w:szCs w:val="18"/>
              </w:rPr>
              <w:br/>
              <w:t>Lytic/sclerotic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C61B1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Expansion</w:t>
            </w:r>
            <w:r w:rsidRPr="00281512">
              <w:rPr>
                <w:sz w:val="18"/>
                <w:szCs w:val="18"/>
              </w:rPr>
              <w:br/>
              <w:t>Size &gt;125% normal</w:t>
            </w:r>
            <w:r w:rsidRPr="00281512">
              <w:rPr>
                <w:sz w:val="18"/>
                <w:szCs w:val="18"/>
              </w:rPr>
              <w:br/>
              <w:t>Partial ankylosis of the ankle</w:t>
            </w:r>
            <w:r w:rsidRPr="00281512">
              <w:rPr>
                <w:sz w:val="18"/>
                <w:szCs w:val="18"/>
              </w:rPr>
              <w:br/>
              <w:t>Lytic/sclerotic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CADC7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Expansion</w:t>
            </w:r>
            <w:r w:rsidRPr="00281512">
              <w:rPr>
                <w:sz w:val="18"/>
                <w:szCs w:val="18"/>
              </w:rPr>
              <w:br/>
              <w:t>Size &gt;125% normal</w:t>
            </w:r>
            <w:r w:rsidRPr="00281512">
              <w:rPr>
                <w:sz w:val="18"/>
                <w:szCs w:val="18"/>
              </w:rPr>
              <w:br/>
              <w:t>Complete ankylosis of the ankle</w:t>
            </w:r>
            <w:r w:rsidRPr="00281512">
              <w:rPr>
                <w:sz w:val="18"/>
                <w:szCs w:val="18"/>
              </w:rPr>
              <w:br/>
              <w:t>Lytic/sclerotic</w:t>
            </w:r>
          </w:p>
        </w:tc>
      </w:tr>
      <w:tr w:rsidR="00E90666" w:rsidRPr="008966DD" w14:paraId="4A94F6CC" w14:textId="77777777" w:rsidTr="00EE212A">
        <w:trPr>
          <w:trHeight w:val="1511"/>
        </w:trPr>
        <w:tc>
          <w:tcPr>
            <w:tcW w:w="50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E35BD" w14:textId="77777777" w:rsidR="00E90666" w:rsidRPr="002B52FA" w:rsidRDefault="00E90666" w:rsidP="00EE212A">
            <w:pPr>
              <w:pStyle w:val="NoSpacing"/>
              <w:rPr>
                <w:b/>
                <w:bCs/>
              </w:rPr>
            </w:pPr>
            <w:r w:rsidRPr="002B52FA">
              <w:rPr>
                <w:b/>
                <w:bCs/>
              </w:rPr>
              <w:t>Metatarsals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06436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Focal lytic areas in some metatarsals, immediately proximal to the distal metaphysis.</w:t>
            </w:r>
            <w:r w:rsidRPr="00281512">
              <w:rPr>
                <w:sz w:val="18"/>
                <w:szCs w:val="18"/>
              </w:rPr>
              <w:br/>
              <w:t>It can be differentiated from a low-capture X-ray because in the radiolucent cortex is restricted to these areas (not continuous)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12934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Extended lytic areas in some of the metatarsals.</w:t>
            </w:r>
            <w:r w:rsidRPr="00281512">
              <w:rPr>
                <w:sz w:val="18"/>
                <w:szCs w:val="18"/>
              </w:rPr>
              <w:br/>
              <w:t>No Expansion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6BBEE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br/>
              <w:t>Expansion</w:t>
            </w:r>
            <w:r w:rsidRPr="00281512">
              <w:rPr>
                <w:sz w:val="18"/>
                <w:szCs w:val="18"/>
              </w:rPr>
              <w:br/>
              <w:t>Width of affected bones &lt; 150%</w:t>
            </w:r>
            <w:r w:rsidRPr="00281512">
              <w:rPr>
                <w:sz w:val="18"/>
                <w:szCs w:val="18"/>
              </w:rPr>
              <w:br/>
              <w:t>Lytic and sclerotic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48608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Expansion</w:t>
            </w:r>
            <w:r w:rsidRPr="00281512">
              <w:rPr>
                <w:sz w:val="18"/>
                <w:szCs w:val="18"/>
              </w:rPr>
              <w:br/>
              <w:t>Width of affected bones 150-200%</w:t>
            </w:r>
            <w:r w:rsidRPr="00281512">
              <w:rPr>
                <w:sz w:val="18"/>
                <w:szCs w:val="18"/>
              </w:rPr>
              <w:br/>
              <w:t>Unaffected areas in at least 1 metatarsal</w:t>
            </w:r>
            <w:r w:rsidRPr="00281512">
              <w:rPr>
                <w:sz w:val="18"/>
                <w:szCs w:val="18"/>
              </w:rPr>
              <w:br/>
              <w:t>Lytic and sclerotic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6C251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Expansion</w:t>
            </w:r>
            <w:r w:rsidRPr="00281512">
              <w:rPr>
                <w:sz w:val="18"/>
                <w:szCs w:val="18"/>
              </w:rPr>
              <w:br/>
              <w:t>Width of affected bones &gt;200%</w:t>
            </w:r>
            <w:r w:rsidRPr="00281512">
              <w:rPr>
                <w:sz w:val="18"/>
                <w:szCs w:val="18"/>
              </w:rPr>
              <w:br/>
              <w:t>Unaffected areas in at least 1 metatarsal</w:t>
            </w:r>
            <w:r w:rsidRPr="00281512">
              <w:rPr>
                <w:sz w:val="18"/>
                <w:szCs w:val="18"/>
              </w:rPr>
              <w:br/>
              <w:t>Lytic and sclerotic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95600" w14:textId="77777777" w:rsidR="00E90666" w:rsidRPr="00281512" w:rsidRDefault="00E90666" w:rsidP="00EE212A">
            <w:pPr>
              <w:pStyle w:val="NoSpacing"/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  <w:r w:rsidRPr="00281512">
              <w:rPr>
                <w:sz w:val="18"/>
                <w:szCs w:val="18"/>
              </w:rPr>
              <w:t>Expansion</w:t>
            </w:r>
            <w:r w:rsidRPr="00281512">
              <w:rPr>
                <w:sz w:val="18"/>
                <w:szCs w:val="18"/>
              </w:rPr>
              <w:br/>
              <w:t>Width of affected bones &gt;200%</w:t>
            </w:r>
            <w:r w:rsidRPr="00281512">
              <w:rPr>
                <w:sz w:val="18"/>
                <w:szCs w:val="18"/>
              </w:rPr>
              <w:br/>
              <w:t>No unaffected areas</w:t>
            </w:r>
            <w:r w:rsidRPr="00281512">
              <w:rPr>
                <w:sz w:val="18"/>
                <w:szCs w:val="18"/>
              </w:rPr>
              <w:br/>
              <w:t>Lytic and sclerotic</w:t>
            </w:r>
          </w:p>
        </w:tc>
      </w:tr>
    </w:tbl>
    <w:p w14:paraId="48C5396C" w14:textId="77777777" w:rsidR="002F0D76" w:rsidRDefault="002F0D76">
      <w:pPr>
        <w:sectPr w:rsidR="002F0D76" w:rsidSect="00E90666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A7E47F1" w14:textId="096FF6A5" w:rsidR="00E90666" w:rsidRDefault="002F0D76">
      <w:r>
        <w:lastRenderedPageBreak/>
        <w:t>Ta</w:t>
      </w:r>
      <w:r w:rsidR="00AB0459">
        <w:t xml:space="preserve">ble S2: Scoring method for human RUNX2 </w:t>
      </w:r>
      <w:r w:rsidR="0069747B">
        <w:t>immunohistochemistry</w:t>
      </w:r>
    </w:p>
    <w:p w14:paraId="53D9EBA3" w14:textId="6A31A0BB" w:rsidR="0069747B" w:rsidRDefault="0069747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0"/>
        <w:gridCol w:w="5940"/>
      </w:tblGrid>
      <w:tr w:rsidR="00C24C41" w:rsidRPr="00320463" w14:paraId="04BB9800" w14:textId="77777777" w:rsidTr="00C24C41">
        <w:tc>
          <w:tcPr>
            <w:tcW w:w="715" w:type="dxa"/>
          </w:tcPr>
          <w:p w14:paraId="14798268" w14:textId="3E437C92" w:rsidR="00C24C41" w:rsidRPr="00320463" w:rsidRDefault="00C24C41">
            <w:pPr>
              <w:rPr>
                <w:b/>
                <w:bCs/>
              </w:rPr>
            </w:pPr>
            <w:r w:rsidRPr="00320463">
              <w:rPr>
                <w:b/>
                <w:bCs/>
              </w:rPr>
              <w:t>Score</w:t>
            </w:r>
          </w:p>
        </w:tc>
        <w:tc>
          <w:tcPr>
            <w:tcW w:w="5940" w:type="dxa"/>
          </w:tcPr>
          <w:p w14:paraId="148C8B47" w14:textId="37A305F2" w:rsidR="00C24C41" w:rsidRPr="00320463" w:rsidRDefault="00320463">
            <w:pPr>
              <w:rPr>
                <w:b/>
                <w:bCs/>
              </w:rPr>
            </w:pPr>
            <w:proofErr w:type="spellStart"/>
            <w:r w:rsidRPr="00320463">
              <w:rPr>
                <w:b/>
                <w:bCs/>
              </w:rPr>
              <w:t>Runx</w:t>
            </w:r>
            <w:proofErr w:type="spellEnd"/>
            <w:r w:rsidRPr="00320463">
              <w:rPr>
                <w:b/>
                <w:bCs/>
              </w:rPr>
              <w:t xml:space="preserve"> staining</w:t>
            </w:r>
          </w:p>
        </w:tc>
      </w:tr>
      <w:tr w:rsidR="00C24C41" w14:paraId="1327CA4C" w14:textId="77777777" w:rsidTr="00C24C41">
        <w:tc>
          <w:tcPr>
            <w:tcW w:w="715" w:type="dxa"/>
          </w:tcPr>
          <w:p w14:paraId="2BC2E196" w14:textId="72163851" w:rsidR="00C24C41" w:rsidRDefault="00C24C41" w:rsidP="0069747B">
            <w:r>
              <w:t>0</w:t>
            </w:r>
          </w:p>
        </w:tc>
        <w:tc>
          <w:tcPr>
            <w:tcW w:w="5940" w:type="dxa"/>
            <w:vAlign w:val="bottom"/>
          </w:tcPr>
          <w:p w14:paraId="6E550A10" w14:textId="7CFD1DC5" w:rsidR="00C24C41" w:rsidRDefault="00C24C41" w:rsidP="0069747B">
            <w:r>
              <w:rPr>
                <w:rFonts w:ascii="Calibri" w:hAnsi="Calibri" w:cs="Calibri"/>
                <w:color w:val="000000"/>
              </w:rPr>
              <w:t>no stain</w:t>
            </w:r>
          </w:p>
        </w:tc>
      </w:tr>
      <w:tr w:rsidR="00C24C41" w14:paraId="3126B1CE" w14:textId="77777777" w:rsidTr="00C24C41">
        <w:tc>
          <w:tcPr>
            <w:tcW w:w="715" w:type="dxa"/>
          </w:tcPr>
          <w:p w14:paraId="78887676" w14:textId="597B666C" w:rsidR="00C24C41" w:rsidRDefault="00C24C41" w:rsidP="0069747B">
            <w:r>
              <w:t>1</w:t>
            </w:r>
          </w:p>
        </w:tc>
        <w:tc>
          <w:tcPr>
            <w:tcW w:w="5940" w:type="dxa"/>
            <w:vAlign w:val="bottom"/>
          </w:tcPr>
          <w:p w14:paraId="26357731" w14:textId="156C1C09" w:rsidR="00C24C41" w:rsidRDefault="00C24C41" w:rsidP="0069747B">
            <w:r>
              <w:rPr>
                <w:rFonts w:ascii="Calibri" w:hAnsi="Calibri" w:cs="Calibri"/>
                <w:color w:val="000000"/>
              </w:rPr>
              <w:t>Less than 10% cells stained</w:t>
            </w:r>
          </w:p>
        </w:tc>
      </w:tr>
      <w:tr w:rsidR="00C24C41" w14:paraId="775A2536" w14:textId="77777777" w:rsidTr="00C24C41">
        <w:tc>
          <w:tcPr>
            <w:tcW w:w="715" w:type="dxa"/>
          </w:tcPr>
          <w:p w14:paraId="347FFBC9" w14:textId="6E1525C2" w:rsidR="00C24C41" w:rsidRDefault="00C24C41" w:rsidP="0069747B">
            <w:r>
              <w:t>2</w:t>
            </w:r>
          </w:p>
        </w:tc>
        <w:tc>
          <w:tcPr>
            <w:tcW w:w="5940" w:type="dxa"/>
            <w:vAlign w:val="bottom"/>
          </w:tcPr>
          <w:p w14:paraId="2CEB2098" w14:textId="0825E6C4" w:rsidR="00C24C41" w:rsidRDefault="00C24C41" w:rsidP="0069747B">
            <w:r>
              <w:rPr>
                <w:rFonts w:ascii="Calibri" w:hAnsi="Calibri" w:cs="Calibri"/>
                <w:color w:val="000000"/>
              </w:rPr>
              <w:t>50% cells dimly stained or up to 25% cells strongly stained</w:t>
            </w:r>
          </w:p>
        </w:tc>
      </w:tr>
      <w:tr w:rsidR="00C24C41" w14:paraId="6FE247C9" w14:textId="77777777" w:rsidTr="00C24C41">
        <w:tc>
          <w:tcPr>
            <w:tcW w:w="715" w:type="dxa"/>
          </w:tcPr>
          <w:p w14:paraId="58527F3A" w14:textId="3C566C3A" w:rsidR="00C24C41" w:rsidRDefault="00C24C41" w:rsidP="0069747B">
            <w:r>
              <w:t>3</w:t>
            </w:r>
          </w:p>
        </w:tc>
        <w:tc>
          <w:tcPr>
            <w:tcW w:w="5940" w:type="dxa"/>
            <w:vAlign w:val="bottom"/>
          </w:tcPr>
          <w:p w14:paraId="6FE7C296" w14:textId="31128FE5" w:rsidR="00C24C41" w:rsidRDefault="00C24C41" w:rsidP="0069747B">
            <w:r>
              <w:rPr>
                <w:rFonts w:ascii="Calibri" w:hAnsi="Calibri" w:cs="Calibri"/>
                <w:color w:val="000000"/>
              </w:rPr>
              <w:t xml:space="preserve">100% cells dimly stained or 25-50% cells strongly stained </w:t>
            </w:r>
          </w:p>
        </w:tc>
      </w:tr>
      <w:tr w:rsidR="00C24C41" w14:paraId="78FB0125" w14:textId="77777777" w:rsidTr="00C24C41">
        <w:tc>
          <w:tcPr>
            <w:tcW w:w="715" w:type="dxa"/>
          </w:tcPr>
          <w:p w14:paraId="56E8E0DB" w14:textId="5A82C483" w:rsidR="00C24C41" w:rsidRDefault="00C24C41" w:rsidP="0069747B">
            <w:r>
              <w:t>4</w:t>
            </w:r>
          </w:p>
        </w:tc>
        <w:tc>
          <w:tcPr>
            <w:tcW w:w="5940" w:type="dxa"/>
            <w:vAlign w:val="bottom"/>
          </w:tcPr>
          <w:p w14:paraId="3F070EB2" w14:textId="5CF5E17C" w:rsidR="00C24C41" w:rsidRDefault="00C24C41" w:rsidP="0069747B">
            <w:r>
              <w:rPr>
                <w:rFonts w:ascii="Calibri" w:hAnsi="Calibri" w:cs="Calibri"/>
                <w:color w:val="000000"/>
              </w:rPr>
              <w:t>50-75% of the cells strongly stained, rest dimly stained</w:t>
            </w:r>
          </w:p>
        </w:tc>
      </w:tr>
      <w:tr w:rsidR="00C24C41" w14:paraId="014B9952" w14:textId="77777777" w:rsidTr="00C24C41">
        <w:tc>
          <w:tcPr>
            <w:tcW w:w="715" w:type="dxa"/>
          </w:tcPr>
          <w:p w14:paraId="7EC22FF7" w14:textId="65ED35B4" w:rsidR="00C24C41" w:rsidRDefault="00C24C41" w:rsidP="0069747B">
            <w:r>
              <w:t>5</w:t>
            </w:r>
          </w:p>
        </w:tc>
        <w:tc>
          <w:tcPr>
            <w:tcW w:w="5940" w:type="dxa"/>
            <w:vAlign w:val="bottom"/>
          </w:tcPr>
          <w:p w14:paraId="7AB719C7" w14:textId="302721DA" w:rsidR="00C24C41" w:rsidRDefault="00C24C41" w:rsidP="0069747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100% cel</w:t>
            </w:r>
            <w:r w:rsidR="0025798A">
              <w:rPr>
                <w:rFonts w:ascii="Calibri" w:hAnsi="Calibri" w:cs="Calibri"/>
                <w:color w:val="000000"/>
              </w:rPr>
              <w:t>l</w:t>
            </w:r>
            <w:r>
              <w:rPr>
                <w:rFonts w:ascii="Calibri" w:hAnsi="Calibri" w:cs="Calibri"/>
                <w:color w:val="000000"/>
              </w:rPr>
              <w:t>s strongly stained</w:t>
            </w:r>
          </w:p>
        </w:tc>
      </w:tr>
    </w:tbl>
    <w:p w14:paraId="0CF021F1" w14:textId="77777777" w:rsidR="0069747B" w:rsidRDefault="0069747B"/>
    <w:sectPr w:rsidR="0069747B" w:rsidSect="002F0D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666"/>
    <w:rsid w:val="0025798A"/>
    <w:rsid w:val="002F0D76"/>
    <w:rsid w:val="00320463"/>
    <w:rsid w:val="003B440E"/>
    <w:rsid w:val="005F330A"/>
    <w:rsid w:val="0069747B"/>
    <w:rsid w:val="007544E1"/>
    <w:rsid w:val="007D3CA3"/>
    <w:rsid w:val="0082368C"/>
    <w:rsid w:val="009A6102"/>
    <w:rsid w:val="00AB0459"/>
    <w:rsid w:val="00C03E92"/>
    <w:rsid w:val="00C24C41"/>
    <w:rsid w:val="00DB2B1D"/>
    <w:rsid w:val="00E90666"/>
    <w:rsid w:val="00F22FB3"/>
    <w:rsid w:val="00F652B5"/>
    <w:rsid w:val="00F706DA"/>
    <w:rsid w:val="00F9045F"/>
    <w:rsid w:val="00F9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C1187"/>
  <w15:chartTrackingRefBased/>
  <w15:docId w15:val="{C9DD3B78-9F64-4558-8853-D4F8514CF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066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906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9066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Spacing">
    <w:name w:val="No Spacing"/>
    <w:uiPriority w:val="1"/>
    <w:qFormat/>
    <w:rsid w:val="00E90666"/>
    <w:pPr>
      <w:spacing w:after="0" w:line="240" w:lineRule="auto"/>
    </w:pPr>
  </w:style>
  <w:style w:type="table" w:styleId="TableGrid">
    <w:name w:val="Table Grid"/>
    <w:basedOn w:val="TableNormal"/>
    <w:uiPriority w:val="39"/>
    <w:rsid w:val="006974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25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de882ca-9509-47c1-8c64-fb583c88719d">
      <Terms xmlns="http://schemas.microsoft.com/office/infopath/2007/PartnerControls"/>
    </lcf76f155ced4ddcb4097134ff3c332f>
    <TaxCatchAll xmlns="687fcabb-7907-411d-9d68-e27ef4ca3ab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D4B8DE911AC343BFDC9276B63D4692" ma:contentTypeVersion="13" ma:contentTypeDescription="Create a new document." ma:contentTypeScope="" ma:versionID="1f34b1397834751cb51e0c1965a19594">
  <xsd:schema xmlns:xsd="http://www.w3.org/2001/XMLSchema" xmlns:xs="http://www.w3.org/2001/XMLSchema" xmlns:p="http://schemas.microsoft.com/office/2006/metadata/properties" xmlns:ns2="2de882ca-9509-47c1-8c64-fb583c88719d" xmlns:ns3="687fcabb-7907-411d-9d68-e27ef4ca3abf" targetNamespace="http://schemas.microsoft.com/office/2006/metadata/properties" ma:root="true" ma:fieldsID="b563539591369af5327511eb4c60c3d8" ns2:_="" ns3:_="">
    <xsd:import namespace="2de882ca-9509-47c1-8c64-fb583c88719d"/>
    <xsd:import namespace="687fcabb-7907-411d-9d68-e27ef4ca3a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882ca-9509-47c1-8c64-fb583c8871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ce9f98e-9ad5-43de-b59a-72d7e946aa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7fcabb-7907-411d-9d68-e27ef4ca3ab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f90028c-f64a-4f14-9cfc-c0db1045f086}" ma:internalName="TaxCatchAll" ma:showField="CatchAllData" ma:web="687fcabb-7907-411d-9d68-e27ef4ca3a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D2F00B-57E0-4066-9537-0CE3240AFF71}">
  <ds:schemaRefs>
    <ds:schemaRef ds:uri="http://schemas.microsoft.com/office/2006/metadata/properties"/>
    <ds:schemaRef ds:uri="http://schemas.microsoft.com/office/infopath/2007/PartnerControls"/>
    <ds:schemaRef ds:uri="2de882ca-9509-47c1-8c64-fb583c88719d"/>
    <ds:schemaRef ds:uri="687fcabb-7907-411d-9d68-e27ef4ca3abf"/>
  </ds:schemaRefs>
</ds:datastoreItem>
</file>

<file path=customXml/itemProps2.xml><?xml version="1.0" encoding="utf-8"?>
<ds:datastoreItem xmlns:ds="http://schemas.openxmlformats.org/officeDocument/2006/customXml" ds:itemID="{BF424FD7-6EA5-4C72-A459-9050E87422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e882ca-9509-47c1-8c64-fb583c88719d"/>
    <ds:schemaRef ds:uri="687fcabb-7907-411d-9d68-e27ef4ca3a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20F11D6-26BC-435C-B523-C67528A235B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447</Words>
  <Characters>2553</Characters>
  <Application>Microsoft Office Word</Application>
  <DocSecurity>0</DocSecurity>
  <Lines>21</Lines>
  <Paragraphs>5</Paragraphs>
  <ScaleCrop>false</ScaleCrop>
  <Company/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Boyce, Alison (NIH/NIDCR) [E]</dc:creator>
  <cp:keywords/>
  <dc:description/>
  <cp:lastModifiedBy>Fernandez de Castro Diaz, Luis (NIH/NIDCR) [E]</cp:lastModifiedBy>
  <cp:revision>18</cp:revision>
  <dcterms:created xsi:type="dcterms:W3CDTF">2023-03-26T23:43:00Z</dcterms:created>
  <dcterms:modified xsi:type="dcterms:W3CDTF">2023-05-05T20:46:00Z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0x010100BAD4B8DE911AC343BFDC9276B63D4692</vt:lpwstr>
  </property>
  <property fmtid="{D5CDD505-2E9C-101B-9397-08002B2CF9AE}" pid="3" name="MediaServiceImageTags">
    <vt:lpwstr/>
  </property>
  <property fmtid="{D5CDD505-2E9C-101B-9397-08002B2CF9AE}" pid="4" name="_ColorHex">
    <vt:lpwstr/>
  </property>
  <property fmtid="{D5CDD505-2E9C-101B-9397-08002B2CF9AE}" pid="5" name="_Emoji">
    <vt:lpwstr/>
  </property>
  <property fmtid="{D5CDD505-2E9C-101B-9397-08002B2CF9AE}" pid="6" name="ComplianceAssetId">
    <vt:lpwstr/>
  </property>
  <property fmtid="{D5CDD505-2E9C-101B-9397-08002B2CF9AE}" pid="7" name="_ColorTag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</Properties>
</file>