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7485" w14:textId="2A2C8133" w:rsidR="00183B02" w:rsidRPr="00183B02" w:rsidRDefault="00183B02">
      <w:pPr>
        <w:rPr>
          <w:sz w:val="28"/>
          <w:szCs w:val="28"/>
        </w:rPr>
      </w:pPr>
      <w:r w:rsidRPr="00183B02">
        <w:rPr>
          <w:sz w:val="28"/>
          <w:szCs w:val="28"/>
        </w:rPr>
        <w:t xml:space="preserve">Appendix E: Model Summary Tables </w:t>
      </w:r>
    </w:p>
    <w:p w14:paraId="4308C32A" w14:textId="77777777" w:rsidR="00183B02" w:rsidRPr="00B55950" w:rsidRDefault="00183B02" w:rsidP="00183B02">
      <w:pPr>
        <w:spacing w:line="240" w:lineRule="auto"/>
        <w:rPr>
          <w:sz w:val="24"/>
          <w:szCs w:val="24"/>
        </w:rPr>
      </w:pPr>
      <w:bookmarkStart w:id="0" w:name="_Hlk135742834"/>
      <w:r w:rsidRPr="00B55950">
        <w:rPr>
          <w:sz w:val="24"/>
          <w:szCs w:val="24"/>
        </w:rPr>
        <w:t xml:space="preserve">Habitat Configuration influences mammal populations at a wider spatial extent than habitat composition: a meta-analysis of forest mammal datasets </w:t>
      </w:r>
    </w:p>
    <w:p w14:paraId="4233EE16" w14:textId="77777777" w:rsidR="00183B02" w:rsidRPr="00B55950" w:rsidRDefault="00183B02" w:rsidP="00183B02">
      <w:pPr>
        <w:spacing w:line="240" w:lineRule="auto"/>
        <w:rPr>
          <w:sz w:val="24"/>
          <w:szCs w:val="24"/>
        </w:rPr>
      </w:pPr>
      <w:r w:rsidRPr="00B55950">
        <w:rPr>
          <w:sz w:val="24"/>
          <w:szCs w:val="24"/>
        </w:rPr>
        <w:t>Landscape Ecology</w:t>
      </w:r>
    </w:p>
    <w:p w14:paraId="5D41A066" w14:textId="77777777" w:rsidR="00183B02" w:rsidRPr="00B55950" w:rsidRDefault="00183B02" w:rsidP="00183B02">
      <w:pPr>
        <w:spacing w:line="240" w:lineRule="auto"/>
        <w:rPr>
          <w:rFonts w:cstheme="minorHAnsi"/>
          <w:sz w:val="24"/>
          <w:szCs w:val="24"/>
          <w:vertAlign w:val="superscript"/>
        </w:rPr>
      </w:pPr>
      <w:r w:rsidRPr="00B55950">
        <w:rPr>
          <w:rFonts w:cstheme="minorHAnsi"/>
          <w:sz w:val="24"/>
          <w:szCs w:val="24"/>
        </w:rPr>
        <w:t xml:space="preserve">Nicholas W. Gengler </w:t>
      </w:r>
      <w:r w:rsidRPr="00B55950">
        <w:rPr>
          <w:rFonts w:cstheme="minorHAnsi"/>
          <w:sz w:val="24"/>
          <w:szCs w:val="24"/>
          <w:vertAlign w:val="superscript"/>
        </w:rPr>
        <w:t>1</w:t>
      </w:r>
      <w:r w:rsidRPr="00B55950">
        <w:rPr>
          <w:rFonts w:cstheme="minorHAnsi"/>
          <w:sz w:val="24"/>
          <w:szCs w:val="24"/>
        </w:rPr>
        <w:t xml:space="preserve">, Miguel A. Acevedo </w:t>
      </w:r>
      <w:r w:rsidRPr="00B55950">
        <w:rPr>
          <w:rFonts w:cstheme="minorHAnsi"/>
          <w:sz w:val="24"/>
          <w:szCs w:val="24"/>
          <w:vertAlign w:val="superscript"/>
        </w:rPr>
        <w:t>2</w:t>
      </w:r>
      <w:r w:rsidRPr="00B55950">
        <w:rPr>
          <w:rFonts w:cstheme="minorHAnsi"/>
          <w:sz w:val="24"/>
          <w:szCs w:val="24"/>
        </w:rPr>
        <w:t xml:space="preserve">, and Lyn C. Branch </w:t>
      </w:r>
      <w:r w:rsidRPr="00B55950">
        <w:rPr>
          <w:rFonts w:cstheme="minorHAnsi"/>
          <w:sz w:val="24"/>
          <w:szCs w:val="24"/>
          <w:vertAlign w:val="superscript"/>
        </w:rPr>
        <w:t>2</w:t>
      </w:r>
    </w:p>
    <w:p w14:paraId="39B3642A" w14:textId="77777777" w:rsidR="00183B02" w:rsidRPr="00B55950" w:rsidRDefault="00183B02" w:rsidP="00183B02">
      <w:pPr>
        <w:jc w:val="both"/>
        <w:rPr>
          <w:rFonts w:cstheme="minorHAnsi"/>
          <w:bCs/>
          <w:sz w:val="24"/>
          <w:szCs w:val="24"/>
        </w:rPr>
      </w:pPr>
      <w:r w:rsidRPr="00B55950">
        <w:rPr>
          <w:rFonts w:cstheme="minorHAnsi"/>
          <w:bCs/>
          <w:sz w:val="24"/>
          <w:szCs w:val="24"/>
        </w:rPr>
        <w:t xml:space="preserve">1: University of Florida School of Natural Resources and Environment </w:t>
      </w:r>
    </w:p>
    <w:p w14:paraId="32166372" w14:textId="77777777" w:rsidR="00183B02" w:rsidRPr="00B55950" w:rsidRDefault="00183B02" w:rsidP="00183B02">
      <w:pPr>
        <w:jc w:val="both"/>
        <w:rPr>
          <w:rFonts w:cstheme="minorHAnsi"/>
          <w:bCs/>
          <w:sz w:val="24"/>
          <w:szCs w:val="24"/>
        </w:rPr>
      </w:pPr>
      <w:r w:rsidRPr="00B55950">
        <w:rPr>
          <w:rFonts w:cstheme="minorHAnsi"/>
          <w:bCs/>
          <w:sz w:val="24"/>
          <w:szCs w:val="24"/>
        </w:rPr>
        <w:t xml:space="preserve">2: University of Florida Department of Wildlife Ecology and Conservation </w:t>
      </w:r>
    </w:p>
    <w:p w14:paraId="1FF1CB22" w14:textId="77777777" w:rsidR="00183B02" w:rsidRPr="00B55950" w:rsidRDefault="00183B02" w:rsidP="00183B02">
      <w:pPr>
        <w:spacing w:line="240" w:lineRule="auto"/>
        <w:rPr>
          <w:rFonts w:cstheme="minorHAnsi"/>
          <w:sz w:val="24"/>
          <w:szCs w:val="24"/>
        </w:rPr>
      </w:pPr>
      <w:r w:rsidRPr="00B55950">
        <w:rPr>
          <w:rFonts w:cstheme="minorHAnsi"/>
          <w:sz w:val="24"/>
          <w:szCs w:val="24"/>
        </w:rPr>
        <w:t>Corresponding author email: genglernick81@gmail.com</w:t>
      </w:r>
    </w:p>
    <w:bookmarkEnd w:id="0"/>
    <w:p w14:paraId="40395219" w14:textId="77777777" w:rsidR="00183B02" w:rsidRDefault="00183B02"/>
    <w:p w14:paraId="503C4CF8" w14:textId="77777777" w:rsidR="00183B02" w:rsidRDefault="00183B02"/>
    <w:p w14:paraId="620A4104" w14:textId="720F4E50" w:rsidR="00A54879" w:rsidRDefault="00AE69B5">
      <w:r>
        <w:rPr>
          <w:noProof/>
        </w:rPr>
        <w:drawing>
          <wp:inline distT="0" distB="0" distL="0" distR="0" wp14:anchorId="3B4FA1F0" wp14:editId="6F6679BC">
            <wp:extent cx="3590925" cy="3448050"/>
            <wp:effectExtent l="0" t="0" r="9525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4ECC7" w14:textId="40875551" w:rsidR="00AE69B5" w:rsidRDefault="005A3F7D">
      <w:r>
        <w:t>Summary table of the models used to assess the effects of various factors on the magnitude of the difference between the scales of effect of flux and percent forest cover</w:t>
      </w:r>
    </w:p>
    <w:p w14:paraId="7072879A" w14:textId="3B2F0BE4" w:rsidR="00AE69B5" w:rsidRDefault="00AE69B5">
      <w:r>
        <w:rPr>
          <w:noProof/>
        </w:rPr>
        <w:lastRenderedPageBreak/>
        <w:drawing>
          <wp:inline distT="0" distB="0" distL="0" distR="0" wp14:anchorId="0814F7F7" wp14:editId="7A2D6956">
            <wp:extent cx="3476625" cy="3695700"/>
            <wp:effectExtent l="0" t="0" r="9525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1BD6" w14:textId="7753FB71" w:rsidR="005A3F7D" w:rsidRDefault="005A3F7D" w:rsidP="005A3F7D">
      <w:r>
        <w:t xml:space="preserve">Summary table of the models used to assess the effects of various factors on the magnitude of the difference between the scales of effect of </w:t>
      </w:r>
      <w:r>
        <w:t>patch density</w:t>
      </w:r>
      <w:r>
        <w:t xml:space="preserve"> and percent forest cover</w:t>
      </w:r>
    </w:p>
    <w:p w14:paraId="3FF15C8B" w14:textId="77777777" w:rsidR="005A3F7D" w:rsidRDefault="005A3F7D"/>
    <w:sectPr w:rsidR="005A3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B5"/>
    <w:rsid w:val="00183B02"/>
    <w:rsid w:val="005A3F7D"/>
    <w:rsid w:val="00A54879"/>
    <w:rsid w:val="00AE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E119"/>
  <w15:chartTrackingRefBased/>
  <w15:docId w15:val="{379E1F1F-79F3-47D0-8875-4664F6FA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Gengler</dc:creator>
  <cp:keywords/>
  <dc:description/>
  <cp:lastModifiedBy>Nicholas Gengler</cp:lastModifiedBy>
  <cp:revision>3</cp:revision>
  <dcterms:created xsi:type="dcterms:W3CDTF">2022-02-09T21:36:00Z</dcterms:created>
  <dcterms:modified xsi:type="dcterms:W3CDTF">2023-05-24T18:03:00Z</dcterms:modified>
</cp:coreProperties>
</file>