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rPr>
          <w:rFonts w:ascii="Times New Roman" w:hAnsi="Times New Roman"/>
          <w:b/>
          <w:i/>
          <w:sz w:val="28"/>
          <w:szCs w:val="28"/>
        </w:rPr>
      </w:pPr>
      <w:r>
        <w:rPr>
          <w:rFonts w:ascii="Times New Roman" w:hAnsi="Times New Roman"/>
          <w:b/>
          <w:i/>
          <w:sz w:val="28"/>
          <w:szCs w:val="28"/>
        </w:rPr>
        <w:t>Supporting Information</w:t>
      </w:r>
    </w:p>
    <w:p>
      <w:pPr>
        <w:adjustRightInd/>
        <w:snapToGrid/>
        <w:spacing w:after="0" w:line="360" w:lineRule="auto"/>
        <w:jc w:val="both"/>
        <w:rPr>
          <w:rFonts w:ascii="Times New Roman" w:hAnsi="Times New Roman" w:eastAsia="等线"/>
          <w:b/>
          <w:sz w:val="24"/>
          <w:szCs w:val="24"/>
        </w:rPr>
      </w:pPr>
      <w:r>
        <w:rPr>
          <w:rFonts w:ascii="Times New Roman" w:hAnsi="Times New Roman" w:eastAsia="等线"/>
          <w:b/>
          <w:sz w:val="24"/>
          <w:szCs w:val="24"/>
        </w:rPr>
        <w:t>C</w:t>
      </w:r>
      <w:r>
        <w:rPr>
          <w:rFonts w:hint="eastAsia" w:ascii="Times New Roman" w:hAnsi="Times New Roman" w:eastAsia="等线"/>
          <w:b/>
          <w:sz w:val="24"/>
          <w:szCs w:val="24"/>
        </w:rPr>
        <w:t xml:space="preserve">onstruction of </w:t>
      </w:r>
      <w:r>
        <w:rPr>
          <w:rFonts w:ascii="Times New Roman" w:hAnsi="Times New Roman" w:eastAsia="MS Mincho"/>
          <w:b/>
          <w:sz w:val="24"/>
          <w:szCs w:val="24"/>
          <w:lang w:eastAsia="ja-JP"/>
        </w:rPr>
        <w:t xml:space="preserve">Quantum Well </w:t>
      </w:r>
      <w:r>
        <w:rPr>
          <w:rFonts w:hint="eastAsia" w:ascii="Times New Roman" w:hAnsi="Times New Roman" w:eastAsia="等线"/>
          <w:b/>
          <w:sz w:val="24"/>
          <w:szCs w:val="24"/>
        </w:rPr>
        <w:t xml:space="preserve">surface from an Nb </w:t>
      </w:r>
      <w:r>
        <w:rPr>
          <w:rFonts w:ascii="Times New Roman" w:hAnsi="Times New Roman" w:eastAsia="等线"/>
          <w:b/>
          <w:sz w:val="24"/>
          <w:szCs w:val="24"/>
        </w:rPr>
        <w:t>S</w:t>
      </w:r>
      <w:r>
        <w:rPr>
          <w:rFonts w:hint="eastAsia" w:ascii="Times New Roman" w:hAnsi="Times New Roman" w:eastAsia="等线"/>
          <w:b/>
          <w:sz w:val="24"/>
          <w:szCs w:val="24"/>
        </w:rPr>
        <w:t>urface doped Core-shell La-SrTiO</w:t>
      </w:r>
      <w:r>
        <w:rPr>
          <w:rFonts w:hint="eastAsia" w:ascii="Times New Roman" w:hAnsi="Times New Roman" w:eastAsia="等线"/>
          <w:b/>
          <w:sz w:val="24"/>
          <w:szCs w:val="24"/>
          <w:vertAlign w:val="subscript"/>
        </w:rPr>
        <w:t>3</w:t>
      </w:r>
      <w:r>
        <w:rPr>
          <w:rFonts w:hint="eastAsia" w:ascii="Times New Roman" w:hAnsi="Times New Roman" w:eastAsia="等线"/>
          <w:b/>
          <w:sz w:val="24"/>
          <w:szCs w:val="24"/>
        </w:rPr>
        <w:t xml:space="preserve"> Nanocubes for </w:t>
      </w:r>
      <w:r>
        <w:rPr>
          <w:rFonts w:hint="eastAsia" w:ascii="Times New Roman" w:hAnsi="Times New Roman" w:eastAsia="等线"/>
          <w:b/>
          <w:kern w:val="36"/>
          <w:sz w:val="24"/>
          <w:szCs w:val="24"/>
        </w:rPr>
        <w:t>P</w:t>
      </w:r>
      <w:r>
        <w:rPr>
          <w:rFonts w:ascii="Times New Roman" w:hAnsi="Times New Roman" w:eastAsia="等线"/>
          <w:b/>
          <w:kern w:val="36"/>
          <w:sz w:val="24"/>
          <w:szCs w:val="24"/>
          <w:lang w:eastAsia="en-US"/>
        </w:rPr>
        <w:t xml:space="preserve">hotocatalytic </w:t>
      </w:r>
      <w:r>
        <w:rPr>
          <w:rFonts w:hint="eastAsia" w:ascii="Times New Roman" w:hAnsi="Times New Roman" w:eastAsia="等线"/>
          <w:b/>
          <w:kern w:val="36"/>
          <w:sz w:val="24"/>
          <w:szCs w:val="24"/>
        </w:rPr>
        <w:t>H</w:t>
      </w:r>
      <w:r>
        <w:rPr>
          <w:rFonts w:ascii="Times New Roman" w:hAnsi="Times New Roman" w:eastAsia="等线"/>
          <w:b/>
          <w:kern w:val="36"/>
          <w:sz w:val="24"/>
          <w:szCs w:val="24"/>
        </w:rPr>
        <w:t>ydrogen</w:t>
      </w:r>
      <w:r>
        <w:rPr>
          <w:rFonts w:ascii="Times New Roman" w:hAnsi="Times New Roman" w:eastAsia="等线"/>
          <w:b/>
          <w:kern w:val="36"/>
          <w:sz w:val="24"/>
          <w:szCs w:val="24"/>
          <w:lang w:eastAsia="en-US"/>
        </w:rPr>
        <w:t xml:space="preserve"> </w:t>
      </w:r>
      <w:r>
        <w:rPr>
          <w:rFonts w:hint="eastAsia" w:ascii="Times New Roman" w:hAnsi="Times New Roman" w:eastAsia="等线"/>
          <w:b/>
          <w:kern w:val="36"/>
          <w:sz w:val="24"/>
          <w:szCs w:val="24"/>
        </w:rPr>
        <w:t>P</w:t>
      </w:r>
      <w:r>
        <w:rPr>
          <w:rFonts w:ascii="Times New Roman" w:hAnsi="Times New Roman" w:eastAsia="等线"/>
          <w:b/>
          <w:kern w:val="36"/>
          <w:sz w:val="24"/>
          <w:szCs w:val="24"/>
          <w:lang w:eastAsia="en-US"/>
        </w:rPr>
        <w:t>roduction</w:t>
      </w:r>
    </w:p>
    <w:p>
      <w:pPr>
        <w:adjustRightInd/>
        <w:snapToGrid/>
        <w:spacing w:after="0"/>
        <w:jc w:val="both"/>
        <w:rPr>
          <w:rFonts w:ascii="Times New Roman" w:hAnsi="Times New Roman" w:eastAsia="等线"/>
          <w:sz w:val="24"/>
          <w:szCs w:val="24"/>
        </w:rPr>
      </w:pPr>
    </w:p>
    <w:p>
      <w:pPr>
        <w:adjustRightInd/>
        <w:snapToGrid/>
        <w:spacing w:after="0"/>
        <w:jc w:val="both"/>
        <w:rPr>
          <w:rFonts w:ascii="Times New Roman" w:hAnsi="Times New Roman" w:eastAsia="等线"/>
          <w:sz w:val="24"/>
          <w:szCs w:val="24"/>
        </w:rPr>
      </w:pPr>
      <w:r>
        <w:rPr>
          <w:rFonts w:ascii="Times New Roman" w:hAnsi="Times New Roman" w:eastAsia="等线"/>
          <w:sz w:val="24"/>
          <w:szCs w:val="24"/>
        </w:rPr>
        <w:t>Yuqi Fan. Guoliang Zhang. Huiming Zhou. Yang Qiu.</w:t>
      </w:r>
      <w:r>
        <w:rPr>
          <w:rFonts w:hint="eastAsia" w:ascii="Times New Roman" w:hAnsi="Times New Roman" w:eastAsia="等线"/>
          <w:sz w:val="24"/>
          <w:szCs w:val="24"/>
          <w:lang w:val="en-US" w:eastAsia="zh-CN"/>
        </w:rPr>
        <w:t xml:space="preserve"> </w:t>
      </w:r>
      <w:r>
        <w:rPr>
          <w:rFonts w:ascii="Times New Roman" w:hAnsi="Times New Roman" w:eastAsia="等线"/>
          <w:sz w:val="24"/>
          <w:szCs w:val="24"/>
        </w:rPr>
        <w:t>Weiliang Wang</w:t>
      </w:r>
      <w:r>
        <w:rPr>
          <w:rFonts w:hint="eastAsia" w:ascii="Times New Roman" w:hAnsi="Times New Roman" w:eastAsia="等线"/>
          <w:sz w:val="24"/>
          <w:szCs w:val="24"/>
          <w:vertAlign w:val="superscript"/>
        </w:rPr>
        <w:t>*</w:t>
      </w:r>
      <w:r>
        <w:rPr>
          <w:rFonts w:ascii="Times New Roman" w:hAnsi="Times New Roman" w:eastAsia="等线"/>
          <w:sz w:val="24"/>
          <w:szCs w:val="24"/>
        </w:rPr>
        <w:t>. Feng Dang</w:t>
      </w:r>
      <w:r>
        <w:rPr>
          <w:rFonts w:hint="eastAsia" w:ascii="Times New Roman" w:hAnsi="Times New Roman" w:eastAsia="等线"/>
          <w:sz w:val="24"/>
          <w:szCs w:val="24"/>
          <w:vertAlign w:val="superscript"/>
        </w:rPr>
        <w:t>*</w:t>
      </w:r>
      <w:r>
        <w:rPr>
          <w:rFonts w:ascii="Times New Roman" w:hAnsi="Times New Roman" w:eastAsia="等线"/>
          <w:sz w:val="24"/>
          <w:szCs w:val="24"/>
        </w:rPr>
        <w:t>.</w:t>
      </w:r>
    </w:p>
    <w:p>
      <w:pPr>
        <w:adjustRightInd/>
        <w:snapToGrid/>
        <w:spacing w:after="0"/>
        <w:jc w:val="both"/>
        <w:rPr>
          <w:rFonts w:ascii="Times New Roman" w:hAnsi="Times New Roman" w:eastAsia="等线"/>
          <w:sz w:val="24"/>
          <w:szCs w:val="24"/>
        </w:rPr>
      </w:pPr>
    </w:p>
    <w:p>
      <w:pPr>
        <w:pStyle w:val="12"/>
        <w:spacing w:line="480" w:lineRule="auto"/>
        <w:jc w:val="both"/>
        <w:rPr>
          <w:rFonts w:hint="eastAsia"/>
          <w:b w:val="0"/>
          <w:bCs/>
          <w:lang w:val="pt-BR"/>
        </w:rPr>
      </w:pPr>
      <w:r>
        <w:rPr>
          <w:rFonts w:hint="eastAsia"/>
          <w:b w:val="0"/>
          <w:bCs/>
          <w:lang w:val="pt-BR"/>
        </w:rPr>
        <w:t>*Corresponding author</w:t>
      </w:r>
    </w:p>
    <w:p>
      <w:pPr>
        <w:pStyle w:val="12"/>
        <w:spacing w:line="480" w:lineRule="auto"/>
        <w:jc w:val="both"/>
        <w:rPr>
          <w:rFonts w:hint="eastAsia"/>
          <w:b w:val="0"/>
          <w:bCs/>
          <w:lang w:val="pt-BR"/>
        </w:rPr>
      </w:pPr>
      <w:r>
        <w:rPr>
          <w:rFonts w:hint="eastAsia"/>
          <w:b w:val="0"/>
          <w:bCs/>
          <w:lang w:val="pt-BR"/>
        </w:rPr>
        <w:t>dangfeng@sdu.edu.cn</w:t>
      </w:r>
    </w:p>
    <w:p>
      <w:pPr>
        <w:pStyle w:val="12"/>
        <w:spacing w:line="480" w:lineRule="auto"/>
        <w:jc w:val="both"/>
        <w:rPr>
          <w:rFonts w:eastAsia="宋体"/>
          <w:b/>
          <w:bCs/>
          <w:color w:val="auto"/>
          <w:sz w:val="32"/>
          <w:szCs w:val="32"/>
        </w:rPr>
      </w:pPr>
      <w:r>
        <w:rPr>
          <w:rFonts w:hint="eastAsia"/>
          <w:b w:val="0"/>
          <w:bCs/>
          <w:lang w:val="pt-BR"/>
        </w:rPr>
        <w:t>sdqcsdnu@163.com</w:t>
      </w:r>
      <w:bookmarkStart w:id="7" w:name="_GoBack"/>
      <w:bookmarkEnd w:id="7"/>
      <w:r>
        <w:rPr>
          <w:b w:val="0"/>
          <w:bCs/>
          <w:lang w:val="pt-BR"/>
        </w:rPr>
        <w:br w:type="page"/>
      </w:r>
      <w:r>
        <w:rPr>
          <w:b/>
          <w:bCs/>
          <w:color w:val="auto"/>
          <w:sz w:val="32"/>
          <w:szCs w:val="32"/>
        </w:rPr>
        <w:t>Index</w:t>
      </w:r>
    </w:p>
    <w:p>
      <w:pPr>
        <w:pStyle w:val="9"/>
        <w:adjustRightInd w:val="0"/>
        <w:snapToGrid w:val="0"/>
        <w:spacing w:line="480" w:lineRule="auto"/>
        <w:ind w:firstLine="0"/>
        <w:rPr>
          <w:rFonts w:ascii="Times New Roman" w:hAnsi="Times New Roman"/>
          <w:b/>
          <w:i/>
          <w:sz w:val="21"/>
          <w:szCs w:val="21"/>
          <w:lang w:val="de-DE" w:eastAsia="zh-CN"/>
        </w:rPr>
      </w:pPr>
      <w:r>
        <w:rPr>
          <w:rFonts w:ascii="Times New Roman" w:hAnsi="Times New Roman" w:eastAsia="BPXPJG+SimSun"/>
          <w:b/>
          <w:i/>
          <w:sz w:val="21"/>
          <w:szCs w:val="21"/>
          <w:lang w:eastAsia="zh-CN"/>
        </w:rPr>
        <w:t>EXPERIMENTAL SECTION</w:t>
      </w:r>
      <w:r>
        <w:rPr>
          <w:rFonts w:ascii="Times New Roman" w:hAnsi="Times New Roman"/>
          <w:b/>
          <w:i/>
          <w:sz w:val="21"/>
          <w:szCs w:val="21"/>
          <w:lang w:eastAsia="zh-CN"/>
        </w:rPr>
        <w:t>……………………………………………………………</w:t>
      </w:r>
      <w:r>
        <w:rPr>
          <w:rFonts w:ascii="Times New Roman" w:hAnsi="Times New Roman"/>
          <w:b/>
          <w:i/>
          <w:sz w:val="21"/>
          <w:szCs w:val="21"/>
        </w:rPr>
        <w:t>……</w:t>
      </w:r>
      <w:r>
        <w:rPr>
          <w:rFonts w:ascii="Times New Roman" w:hAnsi="Times New Roman"/>
          <w:b/>
          <w:i/>
          <w:sz w:val="21"/>
          <w:szCs w:val="21"/>
          <w:lang w:eastAsia="zh-CN"/>
        </w:rPr>
        <w:t>………03</w:t>
      </w:r>
    </w:p>
    <w:p>
      <w:pPr>
        <w:spacing w:after="0" w:line="480" w:lineRule="auto"/>
        <w:jc w:val="both"/>
        <w:rPr>
          <w:rFonts w:ascii="Times New Roman" w:hAnsi="Times New Roman"/>
          <w:b/>
          <w:i/>
          <w:sz w:val="21"/>
          <w:szCs w:val="21"/>
        </w:rPr>
      </w:pPr>
      <w:r>
        <w:rPr>
          <w:rFonts w:ascii="Times New Roman" w:hAnsi="Times New Roman"/>
          <w:b/>
          <w:i/>
          <w:sz w:val="24"/>
          <w:lang w:val="pt-BR"/>
        </w:rPr>
        <w:t xml:space="preserve">Table 1 The information of experimental materials and chemical reagents </w:t>
      </w:r>
      <w:r>
        <w:rPr>
          <w:rFonts w:ascii="Times New Roman" w:hAnsi="Times New Roman"/>
          <w:b/>
          <w:i/>
          <w:sz w:val="21"/>
          <w:szCs w:val="21"/>
        </w:rPr>
        <w:t>……………02</w:t>
      </w:r>
    </w:p>
    <w:p>
      <w:pPr>
        <w:kinsoku w:val="0"/>
        <w:spacing w:after="0" w:line="480" w:lineRule="auto"/>
        <w:jc w:val="both"/>
        <w:rPr>
          <w:rFonts w:ascii="Times New Roman" w:hAnsi="Times New Roman"/>
          <w:b/>
          <w:i/>
          <w:sz w:val="24"/>
          <w:szCs w:val="24"/>
        </w:rPr>
      </w:pPr>
      <w:r>
        <w:rPr>
          <w:rFonts w:ascii="Times New Roman" w:hAnsi="Times New Roman"/>
          <w:b/>
          <w:i/>
          <w:sz w:val="24"/>
          <w:szCs w:val="24"/>
        </w:rPr>
        <w:t xml:space="preserve">Characterization </w:t>
      </w:r>
      <w:r>
        <w:rPr>
          <w:rFonts w:ascii="Times New Roman" w:hAnsi="Times New Roman"/>
          <w:b/>
          <w:i/>
          <w:sz w:val="21"/>
          <w:szCs w:val="21"/>
        </w:rPr>
        <w:t>……………………………………………………………………………………04</w:t>
      </w:r>
    </w:p>
    <w:p>
      <w:pPr>
        <w:pStyle w:val="9"/>
        <w:adjustRightInd w:val="0"/>
        <w:snapToGrid w:val="0"/>
        <w:spacing w:line="480" w:lineRule="auto"/>
        <w:ind w:firstLine="0"/>
        <w:rPr>
          <w:rFonts w:ascii="Times New Roman" w:hAnsi="Times New Roman"/>
          <w:b/>
          <w:i/>
          <w:sz w:val="21"/>
          <w:szCs w:val="21"/>
          <w:lang w:val="de-DE" w:eastAsia="zh-CN"/>
        </w:rPr>
      </w:pPr>
      <w:r>
        <w:rPr>
          <w:rFonts w:ascii="Times New Roman" w:hAnsi="Times New Roman" w:eastAsia="BPXPJG+SimSun"/>
          <w:b/>
          <w:i/>
          <w:sz w:val="21"/>
          <w:szCs w:val="21"/>
          <w:lang w:eastAsia="zh-CN"/>
        </w:rPr>
        <w:t xml:space="preserve">METHODS </w:t>
      </w:r>
      <w:r>
        <w:rPr>
          <w:rFonts w:ascii="Times New Roman" w:hAnsi="Times New Roman"/>
          <w:b/>
          <w:i/>
          <w:sz w:val="21"/>
          <w:szCs w:val="21"/>
          <w:lang w:eastAsia="zh-CN"/>
        </w:rPr>
        <w:t>………………………………………………………………………</w:t>
      </w:r>
      <w:r>
        <w:rPr>
          <w:rFonts w:ascii="Times New Roman" w:hAnsi="Times New Roman"/>
          <w:b/>
          <w:i/>
          <w:sz w:val="21"/>
          <w:szCs w:val="21"/>
        </w:rPr>
        <w:t>……</w:t>
      </w:r>
      <w:r>
        <w:rPr>
          <w:rFonts w:ascii="Times New Roman" w:hAnsi="Times New Roman"/>
          <w:b/>
          <w:i/>
          <w:sz w:val="21"/>
          <w:szCs w:val="21"/>
          <w:lang w:eastAsia="zh-CN"/>
        </w:rPr>
        <w:t>………………04</w:t>
      </w:r>
    </w:p>
    <w:p>
      <w:pPr>
        <w:pStyle w:val="9"/>
        <w:adjustRightInd w:val="0"/>
        <w:snapToGrid w:val="0"/>
        <w:spacing w:line="480" w:lineRule="auto"/>
        <w:ind w:firstLine="0"/>
        <w:rPr>
          <w:rFonts w:ascii="Times New Roman" w:hAnsi="Times New Roman"/>
          <w:b/>
          <w:i/>
          <w:sz w:val="21"/>
          <w:szCs w:val="21"/>
          <w:lang w:val="de-DE" w:eastAsia="zh-CN"/>
        </w:rPr>
      </w:pPr>
      <w:r>
        <w:rPr>
          <w:rFonts w:ascii="Times New Roman" w:hAnsi="Times New Roman"/>
          <w:b/>
          <w:i/>
          <w:sz w:val="24"/>
          <w:szCs w:val="24"/>
          <w:lang w:val="pt-BR"/>
        </w:rPr>
        <w:t>Synthesis of QW-</w:t>
      </w:r>
      <w:r>
        <w:rPr>
          <w:rFonts w:ascii="Times New Roman" w:hAnsi="Times New Roman"/>
          <w:b/>
          <w:i/>
          <w:sz w:val="24"/>
          <w:szCs w:val="24"/>
        </w:rPr>
        <w:t>SrTiO</w:t>
      </w:r>
      <w:r>
        <w:rPr>
          <w:rFonts w:ascii="Times New Roman" w:hAnsi="Times New Roman"/>
          <w:b/>
          <w:i/>
          <w:sz w:val="24"/>
          <w:szCs w:val="24"/>
          <w:vertAlign w:val="subscript"/>
        </w:rPr>
        <w:t>3</w:t>
      </w:r>
      <w:r>
        <w:rPr>
          <w:rFonts w:ascii="Times New Roman" w:hAnsi="Times New Roman"/>
          <w:b/>
          <w:i/>
          <w:sz w:val="24"/>
          <w:szCs w:val="24"/>
          <w:vertAlign w:val="subscript"/>
          <w:lang w:val="pt-BR"/>
        </w:rPr>
        <w:t xml:space="preserve"> </w:t>
      </w:r>
      <w:r>
        <w:rPr>
          <w:rFonts w:ascii="Times New Roman" w:hAnsi="Times New Roman"/>
          <w:b/>
          <w:i/>
          <w:sz w:val="24"/>
          <w:szCs w:val="24"/>
          <w:lang w:val="pt-BR"/>
        </w:rPr>
        <w:t>nanopraticles</w:t>
      </w:r>
      <w:r>
        <w:rPr>
          <w:rFonts w:ascii="Times New Roman" w:hAnsi="Times New Roman"/>
          <w:b/>
          <w:i/>
          <w:sz w:val="24"/>
          <w:szCs w:val="24"/>
          <w:lang w:val="pt-BR" w:eastAsia="zh-CN"/>
        </w:rPr>
        <w:t xml:space="preserve"> </w:t>
      </w:r>
      <w:r>
        <w:rPr>
          <w:rFonts w:ascii="Times New Roman" w:hAnsi="Times New Roman"/>
          <w:b/>
          <w:i/>
          <w:sz w:val="21"/>
          <w:szCs w:val="21"/>
          <w:lang w:eastAsia="zh-CN"/>
        </w:rPr>
        <w:t>…………………………………</w:t>
      </w:r>
      <w:r>
        <w:rPr>
          <w:rFonts w:ascii="Times New Roman" w:hAnsi="Times New Roman"/>
          <w:b/>
          <w:i/>
          <w:sz w:val="21"/>
          <w:szCs w:val="21"/>
        </w:rPr>
        <w:t>…</w:t>
      </w:r>
      <w:r>
        <w:rPr>
          <w:rFonts w:ascii="Times New Roman" w:hAnsi="Times New Roman"/>
          <w:b/>
          <w:i/>
          <w:sz w:val="21"/>
          <w:szCs w:val="21"/>
          <w:lang w:eastAsia="zh-CN"/>
        </w:rPr>
        <w:t>…</w:t>
      </w:r>
      <w:r>
        <w:rPr>
          <w:rFonts w:ascii="Times New Roman" w:hAnsi="Times New Roman"/>
          <w:b/>
          <w:i/>
          <w:sz w:val="21"/>
          <w:szCs w:val="21"/>
        </w:rPr>
        <w:t>…</w:t>
      </w:r>
      <w:r>
        <w:rPr>
          <w:rFonts w:ascii="Times New Roman" w:hAnsi="Times New Roman"/>
          <w:b/>
          <w:i/>
          <w:sz w:val="21"/>
          <w:szCs w:val="21"/>
          <w:lang w:eastAsia="zh-CN"/>
        </w:rPr>
        <w:t>………………04</w:t>
      </w:r>
    </w:p>
    <w:p>
      <w:pPr>
        <w:kinsoku w:val="0"/>
        <w:spacing w:after="0" w:line="480" w:lineRule="auto"/>
        <w:jc w:val="both"/>
        <w:rPr>
          <w:rFonts w:ascii="Times New Roman" w:hAnsi="Times New Roman"/>
          <w:b/>
          <w:i/>
          <w:sz w:val="24"/>
          <w:szCs w:val="24"/>
          <w:lang w:val="pt-BR"/>
        </w:rPr>
      </w:pPr>
      <w:r>
        <w:rPr>
          <w:rFonts w:ascii="Times New Roman" w:hAnsi="Times New Roman"/>
          <w:b/>
          <w:i/>
          <w:sz w:val="24"/>
          <w:szCs w:val="24"/>
          <w:lang w:val="pt-BR"/>
        </w:rPr>
        <w:t>Fbrication of QW-SrTiO</w:t>
      </w:r>
      <w:r>
        <w:rPr>
          <w:rFonts w:ascii="Times New Roman" w:hAnsi="Times New Roman"/>
          <w:b/>
          <w:i/>
          <w:sz w:val="24"/>
          <w:szCs w:val="24"/>
          <w:vertAlign w:val="subscript"/>
          <w:lang w:val="pt-BR"/>
        </w:rPr>
        <w:t>3</w:t>
      </w:r>
      <w:r>
        <w:rPr>
          <w:rFonts w:ascii="Times New Roman" w:hAnsi="Times New Roman"/>
          <w:b/>
          <w:i/>
          <w:sz w:val="24"/>
          <w:szCs w:val="24"/>
          <w:lang w:val="pt-BR"/>
        </w:rPr>
        <w:t>/GR</w:t>
      </w:r>
      <w:r>
        <w:rPr>
          <w:rFonts w:ascii="Times New Roman" w:hAnsi="Times New Roman"/>
          <w:b/>
          <w:i/>
          <w:sz w:val="24"/>
          <w:szCs w:val="24"/>
          <w:vertAlign w:val="subscript"/>
          <w:lang w:val="pt-BR"/>
        </w:rPr>
        <w:t xml:space="preserve"> </w:t>
      </w:r>
      <w:r>
        <w:rPr>
          <w:rFonts w:ascii="Times New Roman" w:hAnsi="Times New Roman"/>
          <w:b/>
          <w:i/>
          <w:sz w:val="24"/>
          <w:szCs w:val="24"/>
          <w:lang w:val="pt-BR"/>
        </w:rPr>
        <w:t xml:space="preserve">hybrid composite </w:t>
      </w:r>
      <w:r>
        <w:rPr>
          <w:rFonts w:ascii="Times New Roman" w:hAnsi="Times New Roman"/>
          <w:b/>
          <w:i/>
          <w:sz w:val="21"/>
          <w:szCs w:val="21"/>
        </w:rPr>
        <w:t>………………………………………………05</w:t>
      </w:r>
    </w:p>
    <w:p>
      <w:pPr>
        <w:kinsoku w:val="0"/>
        <w:spacing w:after="0" w:line="480" w:lineRule="auto"/>
        <w:jc w:val="both"/>
        <w:rPr>
          <w:rFonts w:ascii="Times New Roman" w:hAnsi="Times New Roman"/>
          <w:b/>
          <w:i/>
          <w:sz w:val="24"/>
          <w:szCs w:val="24"/>
        </w:rPr>
      </w:pPr>
      <w:r>
        <w:rPr>
          <w:rFonts w:ascii="Times New Roman" w:hAnsi="Times New Roman"/>
          <w:b/>
          <w:i/>
          <w:sz w:val="24"/>
          <w:szCs w:val="24"/>
        </w:rPr>
        <w:t>Photocatalytic hydrogen production activity</w:t>
      </w:r>
      <w:r>
        <w:rPr>
          <w:rFonts w:ascii="Times New Roman" w:hAnsi="Times New Roman"/>
          <w:b/>
          <w:i/>
          <w:sz w:val="21"/>
          <w:szCs w:val="21"/>
        </w:rPr>
        <w:t>……………………………………………………05</w:t>
      </w:r>
    </w:p>
    <w:p>
      <w:pPr>
        <w:kinsoku w:val="0"/>
        <w:spacing w:after="0" w:line="480" w:lineRule="auto"/>
        <w:jc w:val="both"/>
        <w:rPr>
          <w:rFonts w:ascii="Times New Roman" w:hAnsi="Times New Roman"/>
          <w:b/>
          <w:i/>
          <w:sz w:val="21"/>
          <w:szCs w:val="21"/>
        </w:rPr>
      </w:pPr>
      <w:r>
        <w:rPr>
          <w:rFonts w:ascii="Times New Roman" w:hAnsi="Times New Roman"/>
          <w:b/>
          <w:i/>
          <w:sz w:val="24"/>
          <w:szCs w:val="24"/>
        </w:rPr>
        <w:fldChar w:fldCharType="begin"/>
      </w:r>
      <w:r>
        <w:rPr>
          <w:rFonts w:ascii="Times New Roman" w:hAnsi="Times New Roman"/>
          <w:b/>
          <w:i/>
          <w:sz w:val="24"/>
          <w:szCs w:val="24"/>
        </w:rPr>
        <w:instrText xml:space="preserve"> QUOTE </w:instrText>
      </w:r>
      <w:r>
        <w:rPr>
          <w:rFonts w:ascii="Times New Roman" w:hAnsi="Times New Roman"/>
          <w:b/>
          <w:i/>
        </w:rPr>
        <w:pict>
          <v:shape id="_x0000_i1025" o:spt="75" type="#_x0000_t75" style="height:12.75pt;width:415.4pt;" filled="f" o:preferrelative="t" stroked="f" coordsize="21600,21600" equationxml="&lt;">
            <v:path/>
            <v:fill on="f" focussize="0,0"/>
            <v:stroke on="f" joinstyle="miter"/>
            <v:imagedata r:id="rId5" chromakey="#FFFFFF" o:title=""/>
            <o:lock v:ext="edit" aspectratio="t"/>
            <w10:wrap type="none"/>
            <w10:anchorlock/>
          </v:shape>
        </w:pict>
      </w:r>
      <w:r>
        <w:rPr>
          <w:rFonts w:ascii="Times New Roman" w:hAnsi="Times New Roman"/>
          <w:b/>
          <w:i/>
          <w:sz w:val="24"/>
          <w:szCs w:val="24"/>
        </w:rPr>
        <w:instrText xml:space="preserve"> </w:instrText>
      </w:r>
      <w:r>
        <w:rPr>
          <w:rFonts w:ascii="Times New Roman" w:hAnsi="Times New Roman"/>
          <w:b/>
          <w:i/>
          <w:sz w:val="24"/>
          <w:szCs w:val="24"/>
        </w:rPr>
        <w:fldChar w:fldCharType="end"/>
      </w:r>
      <w:r>
        <w:rPr>
          <w:rFonts w:ascii="Times New Roman" w:hAnsi="Times New Roman"/>
          <w:b/>
          <w:i/>
          <w:sz w:val="24"/>
          <w:szCs w:val="24"/>
        </w:rPr>
        <w:t>Photoelectrochemical measurements</w:t>
      </w:r>
      <w:r>
        <w:rPr>
          <w:rFonts w:ascii="Times New Roman" w:hAnsi="Times New Roman"/>
          <w:b/>
          <w:i/>
          <w:sz w:val="21"/>
          <w:szCs w:val="21"/>
        </w:rPr>
        <w:t>……………………………………………………………06</w:t>
      </w:r>
    </w:p>
    <w:p>
      <w:pPr>
        <w:kinsoku w:val="0"/>
        <w:spacing w:after="0" w:line="480" w:lineRule="auto"/>
        <w:jc w:val="both"/>
        <w:rPr>
          <w:rFonts w:ascii="Times New Roman" w:hAnsi="Times New Roman"/>
          <w:b/>
          <w:i/>
          <w:sz w:val="21"/>
          <w:szCs w:val="21"/>
        </w:rPr>
      </w:pPr>
      <w:r>
        <w:rPr>
          <w:rFonts w:ascii="Times New Roman" w:hAnsi="Times New Roman"/>
          <w:b/>
          <w:i/>
          <w:sz w:val="24"/>
          <w:szCs w:val="21"/>
        </w:rPr>
        <w:t>Calculation detail</w:t>
      </w:r>
      <w:r>
        <w:rPr>
          <w:rFonts w:ascii="Times New Roman" w:hAnsi="Times New Roman"/>
          <w:b/>
          <w:i/>
          <w:sz w:val="21"/>
          <w:szCs w:val="21"/>
        </w:rPr>
        <w:t xml:space="preserve"> ……………………………………………………………………………………07</w:t>
      </w:r>
    </w:p>
    <w:p>
      <w:pPr>
        <w:kinsoku w:val="0"/>
        <w:spacing w:after="0" w:line="480" w:lineRule="auto"/>
        <w:jc w:val="both"/>
        <w:rPr>
          <w:rFonts w:ascii="Times New Roman" w:hAnsi="Times New Roman"/>
          <w:b/>
          <w:i/>
          <w:sz w:val="21"/>
          <w:szCs w:val="21"/>
        </w:rPr>
      </w:pPr>
      <w:r>
        <w:rPr>
          <w:rFonts w:ascii="Times New Roman" w:hAnsi="Times New Roman"/>
          <w:b/>
          <w:i/>
          <w:sz w:val="24"/>
          <w:szCs w:val="21"/>
        </w:rPr>
        <w:t>Supporting Figure (Figure S1-S1</w:t>
      </w:r>
      <w:r>
        <w:rPr>
          <w:rFonts w:hint="eastAsia" w:ascii="Times New Roman" w:hAnsi="Times New Roman"/>
          <w:b/>
          <w:i/>
          <w:sz w:val="24"/>
          <w:szCs w:val="21"/>
        </w:rPr>
        <w:t>6</w:t>
      </w:r>
      <w:r>
        <w:rPr>
          <w:rFonts w:ascii="Times New Roman" w:hAnsi="Times New Roman"/>
          <w:b/>
          <w:i/>
          <w:sz w:val="24"/>
          <w:szCs w:val="21"/>
        </w:rPr>
        <w:t>)</w:t>
      </w:r>
      <w:r>
        <w:rPr>
          <w:rFonts w:ascii="Times New Roman" w:hAnsi="Times New Roman"/>
          <w:b/>
          <w:i/>
          <w:sz w:val="21"/>
          <w:szCs w:val="21"/>
        </w:rPr>
        <w:t xml:space="preserve">  ………………………………………………………….…10</w:t>
      </w:r>
    </w:p>
    <w:p>
      <w:pPr>
        <w:kinsoku w:val="0"/>
        <w:spacing w:after="0" w:line="480" w:lineRule="auto"/>
        <w:jc w:val="both"/>
        <w:rPr>
          <w:rFonts w:ascii="Times New Roman" w:hAnsi="Times New Roman"/>
          <w:b/>
          <w:i/>
          <w:sz w:val="21"/>
          <w:szCs w:val="21"/>
        </w:rPr>
      </w:pPr>
      <w:r>
        <w:rPr>
          <w:rFonts w:ascii="Times New Roman" w:hAnsi="Times New Roman"/>
          <w:b/>
          <w:i/>
          <w:sz w:val="24"/>
          <w:szCs w:val="21"/>
        </w:rPr>
        <w:t>Table S1</w:t>
      </w:r>
      <w:r>
        <w:rPr>
          <w:rFonts w:ascii="Times New Roman" w:hAnsi="Times New Roman"/>
          <w:b/>
          <w:i/>
          <w:sz w:val="21"/>
          <w:szCs w:val="21"/>
        </w:rPr>
        <w:t xml:space="preserve"> ………………………………………………………………………………………………27</w:t>
      </w:r>
    </w:p>
    <w:p>
      <w:pPr>
        <w:kinsoku w:val="0"/>
        <w:spacing w:after="0" w:line="480" w:lineRule="auto"/>
        <w:jc w:val="both"/>
        <w:rPr>
          <w:rFonts w:ascii="Times New Roman" w:hAnsi="Times New Roman"/>
          <w:b/>
          <w:i/>
          <w:sz w:val="21"/>
          <w:szCs w:val="21"/>
        </w:rPr>
      </w:pPr>
      <w:r>
        <w:rPr>
          <w:rFonts w:ascii="Times New Roman" w:hAnsi="Times New Roman"/>
          <w:b/>
          <w:i/>
          <w:sz w:val="24"/>
          <w:szCs w:val="21"/>
        </w:rPr>
        <w:t>References (S1 )</w:t>
      </w:r>
      <w:r>
        <w:rPr>
          <w:rFonts w:ascii="Times New Roman" w:hAnsi="Times New Roman"/>
          <w:b/>
          <w:i/>
          <w:sz w:val="21"/>
          <w:szCs w:val="21"/>
        </w:rPr>
        <w:t xml:space="preserve">   ……………………………………………………………………………………28</w:t>
      </w:r>
    </w:p>
    <w:p>
      <w:pPr>
        <w:kinsoku w:val="0"/>
        <w:spacing w:after="0" w:line="480" w:lineRule="auto"/>
        <w:jc w:val="both"/>
        <w:rPr>
          <w:rFonts w:ascii="Times New Roman" w:hAnsi="Times New Roman"/>
          <w:b/>
          <w:sz w:val="24"/>
          <w:szCs w:val="24"/>
        </w:rPr>
      </w:pPr>
    </w:p>
    <w:p>
      <w:pPr>
        <w:kinsoku w:val="0"/>
        <w:spacing w:after="0" w:line="480" w:lineRule="auto"/>
        <w:rPr>
          <w:rFonts w:ascii="Times New Roman" w:hAnsi="Times New Roman"/>
          <w:b/>
          <w:sz w:val="24"/>
          <w:szCs w:val="24"/>
        </w:rPr>
      </w:pPr>
    </w:p>
    <w:p>
      <w:pPr>
        <w:kinsoku w:val="0"/>
        <w:spacing w:after="0" w:line="480" w:lineRule="auto"/>
        <w:rPr>
          <w:rFonts w:ascii="Times New Roman" w:hAnsi="Times New Roman"/>
          <w:b/>
          <w:i/>
          <w:sz w:val="24"/>
          <w:szCs w:val="24"/>
          <w:lang w:val="pt-BR"/>
        </w:rPr>
      </w:pPr>
    </w:p>
    <w:p>
      <w:pPr>
        <w:kinsoku w:val="0"/>
        <w:spacing w:after="0" w:line="480" w:lineRule="auto"/>
        <w:rPr>
          <w:rFonts w:ascii="Times New Roman" w:hAnsi="Times New Roman"/>
          <w:b/>
          <w:i/>
          <w:sz w:val="24"/>
          <w:szCs w:val="24"/>
          <w:lang w:val="pt-BR"/>
        </w:rPr>
      </w:pPr>
    </w:p>
    <w:p>
      <w:pPr>
        <w:kinsoku w:val="0"/>
        <w:spacing w:after="0" w:line="480" w:lineRule="auto"/>
        <w:rPr>
          <w:rFonts w:ascii="Times New Roman" w:hAnsi="Times New Roman"/>
          <w:b/>
          <w:i/>
          <w:sz w:val="24"/>
          <w:szCs w:val="24"/>
          <w:lang w:val="pt-BR"/>
        </w:rPr>
      </w:pPr>
    </w:p>
    <w:p>
      <w:pPr>
        <w:adjustRightInd/>
        <w:snapToGrid/>
        <w:spacing w:after="0" w:line="480" w:lineRule="auto"/>
        <w:rPr>
          <w:rFonts w:ascii="Times New Roman" w:hAnsi="Times New Roman"/>
          <w:b/>
          <w:i/>
          <w:sz w:val="24"/>
          <w:lang w:val="pt-BR"/>
        </w:rPr>
      </w:pPr>
    </w:p>
    <w:p>
      <w:pPr>
        <w:adjustRightInd/>
        <w:snapToGrid/>
        <w:spacing w:after="0" w:line="480" w:lineRule="auto"/>
        <w:rPr>
          <w:rFonts w:ascii="Times New Roman" w:hAnsi="Times New Roman"/>
          <w:b/>
          <w:i/>
          <w:sz w:val="24"/>
          <w:lang w:val="pt-BR"/>
        </w:rPr>
        <w:sectPr>
          <w:pgSz w:w="11906" w:h="16838"/>
          <w:pgMar w:top="1440" w:right="1080" w:bottom="1440" w:left="1080" w:header="708" w:footer="708" w:gutter="0"/>
          <w:cols w:space="720" w:num="1"/>
          <w:docGrid w:type="lines" w:linePitch="360" w:charSpace="0"/>
        </w:sectPr>
      </w:pPr>
    </w:p>
    <w:p>
      <w:pPr>
        <w:autoSpaceDE w:val="0"/>
        <w:autoSpaceDN w:val="0"/>
        <w:spacing w:after="0" w:line="480" w:lineRule="auto"/>
        <w:jc w:val="both"/>
        <w:rPr>
          <w:rFonts w:ascii="Times New Roman" w:hAnsi="Times New Roman"/>
          <w:b/>
          <w:sz w:val="24"/>
        </w:rPr>
      </w:pPr>
      <w:r>
        <w:rPr>
          <w:rFonts w:ascii="Times New Roman" w:hAnsi="Times New Roman"/>
          <w:b/>
          <w:sz w:val="24"/>
        </w:rPr>
        <w:t>EXPERIMENTAL SECTION</w:t>
      </w:r>
    </w:p>
    <w:p>
      <w:pPr>
        <w:autoSpaceDE w:val="0"/>
        <w:autoSpaceDN w:val="0"/>
        <w:spacing w:line="480" w:lineRule="auto"/>
        <w:jc w:val="both"/>
        <w:rPr>
          <w:rFonts w:ascii="Times New Roman" w:hAnsi="Times New Roman"/>
          <w:b/>
          <w:sz w:val="24"/>
        </w:rPr>
      </w:pPr>
      <w:r>
        <w:rPr>
          <w:rFonts w:ascii="Times New Roman" w:hAnsi="Times New Roman"/>
          <w:b/>
          <w:sz w:val="24"/>
        </w:rPr>
        <w:t xml:space="preserve"> </w:t>
      </w:r>
    </w:p>
    <w:p>
      <w:pPr>
        <w:spacing w:after="0" w:line="480" w:lineRule="auto"/>
        <w:jc w:val="center"/>
        <w:rPr>
          <w:rFonts w:ascii="Times New Roman" w:hAnsi="Times New Roman"/>
          <w:color w:val="000000"/>
          <w:sz w:val="21"/>
          <w:szCs w:val="21"/>
        </w:rPr>
      </w:pPr>
      <w:r>
        <w:rPr>
          <w:rFonts w:ascii="Times New Roman" w:hAnsi="Times New Roman"/>
          <w:b/>
          <w:color w:val="000000"/>
          <w:sz w:val="21"/>
          <w:szCs w:val="21"/>
        </w:rPr>
        <w:t xml:space="preserve">Table 1. </w:t>
      </w:r>
      <w:r>
        <w:rPr>
          <w:rFonts w:ascii="Times New Roman" w:hAnsi="Times New Roman"/>
          <w:color w:val="000000"/>
          <w:sz w:val="21"/>
          <w:szCs w:val="21"/>
        </w:rPr>
        <w:t>Information of experimental materials and chemical reagents</w:t>
      </w:r>
    </w:p>
    <w:tbl>
      <w:tblPr>
        <w:tblStyle w:val="5"/>
        <w:tblW w:w="0" w:type="auto"/>
        <w:jc w:val="center"/>
        <w:tblLayout w:type="fixed"/>
        <w:tblCellMar>
          <w:top w:w="0" w:type="dxa"/>
          <w:left w:w="108" w:type="dxa"/>
          <w:bottom w:w="0" w:type="dxa"/>
          <w:right w:w="108" w:type="dxa"/>
        </w:tblCellMar>
      </w:tblPr>
      <w:tblGrid>
        <w:gridCol w:w="2593"/>
        <w:gridCol w:w="1797"/>
        <w:gridCol w:w="1062"/>
        <w:gridCol w:w="3815"/>
      </w:tblGrid>
      <w:tr>
        <w:tblPrEx>
          <w:tblCellMar>
            <w:top w:w="0" w:type="dxa"/>
            <w:left w:w="108" w:type="dxa"/>
            <w:bottom w:w="0" w:type="dxa"/>
            <w:right w:w="108" w:type="dxa"/>
          </w:tblCellMar>
        </w:tblPrEx>
        <w:trPr>
          <w:jc w:val="center"/>
        </w:trPr>
        <w:tc>
          <w:tcPr>
            <w:tcW w:w="2593" w:type="dxa"/>
            <w:tcBorders>
              <w:top w:val="single" w:color="auto" w:sz="18" w:space="0"/>
              <w:left w:val="nil"/>
              <w:bottom w:val="single" w:color="auto" w:sz="12" w:space="0"/>
              <w:right w:val="nil"/>
            </w:tcBorders>
            <w:vAlign w:val="center"/>
          </w:tcPr>
          <w:p>
            <w:pPr>
              <w:widowControl w:val="0"/>
              <w:adjustRightInd/>
              <w:snapToGrid/>
              <w:spacing w:after="0" w:line="480" w:lineRule="auto"/>
              <w:jc w:val="center"/>
              <w:rPr>
                <w:rFonts w:ascii="Times New Roman" w:hAnsi="Times New Roman"/>
                <w:i/>
                <w:color w:val="000000"/>
                <w:kern w:val="2"/>
                <w:sz w:val="21"/>
                <w:szCs w:val="21"/>
              </w:rPr>
            </w:pPr>
            <w:r>
              <w:rPr>
                <w:rFonts w:ascii="Times New Roman" w:hAnsi="Times New Roman"/>
                <w:i/>
                <w:color w:val="000000"/>
                <w:kern w:val="2"/>
                <w:sz w:val="21"/>
                <w:szCs w:val="21"/>
              </w:rPr>
              <w:t xml:space="preserve">Name </w:t>
            </w:r>
          </w:p>
        </w:tc>
        <w:tc>
          <w:tcPr>
            <w:tcW w:w="1797" w:type="dxa"/>
            <w:tcBorders>
              <w:top w:val="single" w:color="auto" w:sz="18" w:space="0"/>
              <w:left w:val="nil"/>
              <w:bottom w:val="single" w:color="auto" w:sz="12" w:space="0"/>
              <w:right w:val="nil"/>
            </w:tcBorders>
            <w:vAlign w:val="center"/>
          </w:tcPr>
          <w:p>
            <w:pPr>
              <w:widowControl w:val="0"/>
              <w:adjustRightInd/>
              <w:snapToGrid/>
              <w:spacing w:after="0" w:line="480" w:lineRule="auto"/>
              <w:jc w:val="center"/>
              <w:rPr>
                <w:rFonts w:ascii="Times New Roman" w:hAnsi="Times New Roman"/>
                <w:i/>
                <w:color w:val="000000"/>
                <w:kern w:val="2"/>
                <w:sz w:val="21"/>
                <w:szCs w:val="21"/>
              </w:rPr>
            </w:pPr>
            <w:r>
              <w:rPr>
                <w:rFonts w:ascii="Times New Roman" w:hAnsi="Times New Roman"/>
                <w:i/>
                <w:color w:val="000000"/>
                <w:kern w:val="2"/>
                <w:sz w:val="21"/>
                <w:szCs w:val="21"/>
              </w:rPr>
              <w:t>Chemical formula</w:t>
            </w:r>
          </w:p>
        </w:tc>
        <w:tc>
          <w:tcPr>
            <w:tcW w:w="1062" w:type="dxa"/>
            <w:tcBorders>
              <w:top w:val="single" w:color="auto" w:sz="18" w:space="0"/>
              <w:left w:val="nil"/>
              <w:bottom w:val="single" w:color="auto" w:sz="12" w:space="0"/>
              <w:right w:val="nil"/>
            </w:tcBorders>
            <w:vAlign w:val="center"/>
          </w:tcPr>
          <w:p>
            <w:pPr>
              <w:widowControl w:val="0"/>
              <w:adjustRightInd/>
              <w:snapToGrid/>
              <w:spacing w:after="0" w:line="480" w:lineRule="auto"/>
              <w:jc w:val="center"/>
              <w:rPr>
                <w:rFonts w:ascii="Times New Roman" w:hAnsi="Times New Roman"/>
                <w:i/>
                <w:color w:val="000000"/>
                <w:kern w:val="2"/>
                <w:sz w:val="21"/>
                <w:szCs w:val="21"/>
              </w:rPr>
            </w:pPr>
            <w:r>
              <w:rPr>
                <w:rFonts w:ascii="Times New Roman" w:hAnsi="Times New Roman"/>
                <w:i/>
                <w:color w:val="000000"/>
                <w:kern w:val="2"/>
                <w:sz w:val="21"/>
                <w:szCs w:val="21"/>
              </w:rPr>
              <w:t>Purity</w:t>
            </w:r>
          </w:p>
        </w:tc>
        <w:tc>
          <w:tcPr>
            <w:tcW w:w="3815" w:type="dxa"/>
            <w:tcBorders>
              <w:top w:val="single" w:color="auto" w:sz="18" w:space="0"/>
              <w:left w:val="nil"/>
              <w:bottom w:val="single" w:color="auto" w:sz="12" w:space="0"/>
              <w:right w:val="nil"/>
            </w:tcBorders>
            <w:vAlign w:val="center"/>
          </w:tcPr>
          <w:p>
            <w:pPr>
              <w:widowControl w:val="0"/>
              <w:adjustRightInd/>
              <w:snapToGrid/>
              <w:spacing w:after="0" w:line="480" w:lineRule="auto"/>
              <w:jc w:val="center"/>
              <w:rPr>
                <w:rFonts w:ascii="Times New Roman" w:hAnsi="Times New Roman"/>
                <w:i/>
                <w:color w:val="000000"/>
                <w:kern w:val="2"/>
                <w:sz w:val="21"/>
                <w:szCs w:val="21"/>
              </w:rPr>
            </w:pPr>
            <w:r>
              <w:rPr>
                <w:rFonts w:ascii="Times New Roman" w:hAnsi="Times New Roman"/>
                <w:i/>
                <w:color w:val="000000"/>
                <w:kern w:val="2"/>
                <w:sz w:val="21"/>
                <w:szCs w:val="21"/>
              </w:rPr>
              <w:t>Source</w:t>
            </w:r>
          </w:p>
        </w:tc>
      </w:tr>
      <w:tr>
        <w:tblPrEx>
          <w:tblCellMar>
            <w:top w:w="0" w:type="dxa"/>
            <w:left w:w="108" w:type="dxa"/>
            <w:bottom w:w="0" w:type="dxa"/>
            <w:right w:w="108" w:type="dxa"/>
          </w:tblCellMar>
        </w:tblPrEx>
        <w:trPr>
          <w:jc w:val="center"/>
        </w:trPr>
        <w:tc>
          <w:tcPr>
            <w:tcW w:w="2593" w:type="dxa"/>
            <w:tcBorders>
              <w:top w:val="single" w:color="auto" w:sz="12" w:space="0"/>
              <w:left w:val="nil"/>
              <w:bottom w:val="nil"/>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bis(ammonium lactate) titanium dihydroxide (TALH)</w:t>
            </w:r>
          </w:p>
        </w:tc>
        <w:tc>
          <w:tcPr>
            <w:tcW w:w="1797" w:type="dxa"/>
            <w:tcBorders>
              <w:top w:val="single" w:color="auto" w:sz="12" w:space="0"/>
              <w:left w:val="nil"/>
              <w:bottom w:val="nil"/>
              <w:right w:val="nil"/>
            </w:tcBorders>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C</w:t>
            </w:r>
            <w:r>
              <w:rPr>
                <w:rFonts w:ascii="Times New Roman" w:hAnsi="Times New Roman"/>
                <w:color w:val="000000"/>
                <w:kern w:val="2"/>
                <w:sz w:val="21"/>
                <w:szCs w:val="21"/>
                <w:vertAlign w:val="subscript"/>
              </w:rPr>
              <w:t>6</w:t>
            </w:r>
            <w:r>
              <w:rPr>
                <w:rFonts w:ascii="Times New Roman" w:hAnsi="Times New Roman"/>
                <w:color w:val="000000"/>
                <w:kern w:val="2"/>
                <w:sz w:val="21"/>
                <w:szCs w:val="21"/>
              </w:rPr>
              <w:t>H</w:t>
            </w:r>
            <w:r>
              <w:rPr>
                <w:rFonts w:ascii="Times New Roman" w:hAnsi="Times New Roman"/>
                <w:color w:val="000000"/>
                <w:kern w:val="2"/>
                <w:sz w:val="21"/>
                <w:szCs w:val="21"/>
                <w:vertAlign w:val="subscript"/>
              </w:rPr>
              <w:t>18</w:t>
            </w:r>
            <w:r>
              <w:rPr>
                <w:rFonts w:ascii="Times New Roman" w:hAnsi="Times New Roman"/>
                <w:color w:val="000000"/>
                <w:kern w:val="2"/>
                <w:sz w:val="21"/>
                <w:szCs w:val="21"/>
              </w:rPr>
              <w:t>N</w:t>
            </w:r>
            <w:r>
              <w:rPr>
                <w:rFonts w:ascii="Times New Roman" w:hAnsi="Times New Roman"/>
                <w:color w:val="000000"/>
                <w:kern w:val="2"/>
                <w:sz w:val="21"/>
                <w:szCs w:val="21"/>
                <w:vertAlign w:val="subscript"/>
              </w:rPr>
              <w:t>2</w:t>
            </w:r>
            <w:r>
              <w:rPr>
                <w:rFonts w:ascii="Times New Roman" w:hAnsi="Times New Roman"/>
                <w:color w:val="000000"/>
                <w:kern w:val="2"/>
                <w:sz w:val="21"/>
                <w:szCs w:val="21"/>
              </w:rPr>
              <w:t>O</w:t>
            </w:r>
            <w:r>
              <w:rPr>
                <w:rFonts w:ascii="Times New Roman" w:hAnsi="Times New Roman"/>
                <w:color w:val="000000"/>
                <w:kern w:val="2"/>
                <w:sz w:val="21"/>
                <w:szCs w:val="21"/>
                <w:vertAlign w:val="subscript"/>
              </w:rPr>
              <w:t>8</w:t>
            </w:r>
            <w:r>
              <w:rPr>
                <w:rFonts w:ascii="Times New Roman" w:hAnsi="Times New Roman"/>
                <w:color w:val="000000"/>
                <w:kern w:val="2"/>
                <w:sz w:val="21"/>
                <w:szCs w:val="21"/>
              </w:rPr>
              <w:t>Ti</w:t>
            </w:r>
          </w:p>
        </w:tc>
        <w:tc>
          <w:tcPr>
            <w:tcW w:w="1062" w:type="dxa"/>
            <w:tcBorders>
              <w:top w:val="single" w:color="auto" w:sz="12" w:space="0"/>
              <w:left w:val="nil"/>
              <w:bottom w:val="nil"/>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AR</w:t>
            </w:r>
          </w:p>
        </w:tc>
        <w:tc>
          <w:tcPr>
            <w:tcW w:w="3815" w:type="dxa"/>
            <w:tcBorders>
              <w:top w:val="single" w:color="auto" w:sz="12" w:space="0"/>
              <w:left w:val="nil"/>
              <w:bottom w:val="nil"/>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Sigma Chemical Co. (St. Louis, MO, USA)</w:t>
            </w:r>
          </w:p>
        </w:tc>
      </w:tr>
      <w:tr>
        <w:tblPrEx>
          <w:tblCellMar>
            <w:top w:w="0" w:type="dxa"/>
            <w:left w:w="108" w:type="dxa"/>
            <w:bottom w:w="0" w:type="dxa"/>
            <w:right w:w="108" w:type="dxa"/>
          </w:tblCellMar>
        </w:tblPrEx>
        <w:trPr>
          <w:trHeight w:val="653" w:hRule="atLeast"/>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Oleic acid (OLA)</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C</w:t>
            </w:r>
            <w:r>
              <w:rPr>
                <w:rFonts w:ascii="Times New Roman" w:hAnsi="Times New Roman"/>
                <w:color w:val="000000"/>
                <w:kern w:val="2"/>
                <w:sz w:val="21"/>
                <w:szCs w:val="21"/>
                <w:vertAlign w:val="subscript"/>
              </w:rPr>
              <w:t>18</w:t>
            </w:r>
            <w:r>
              <w:rPr>
                <w:rFonts w:ascii="Times New Roman" w:hAnsi="Times New Roman"/>
                <w:color w:val="000000"/>
                <w:kern w:val="2"/>
                <w:sz w:val="21"/>
                <w:szCs w:val="21"/>
              </w:rPr>
              <w:t>H</w:t>
            </w:r>
            <w:r>
              <w:rPr>
                <w:rFonts w:ascii="Times New Roman" w:hAnsi="Times New Roman"/>
                <w:color w:val="000000"/>
                <w:kern w:val="2"/>
                <w:sz w:val="21"/>
                <w:szCs w:val="21"/>
                <w:vertAlign w:val="subscript"/>
              </w:rPr>
              <w:t>34</w:t>
            </w:r>
            <w:r>
              <w:rPr>
                <w:rFonts w:ascii="Times New Roman" w:hAnsi="Times New Roman"/>
                <w:color w:val="000000"/>
                <w:kern w:val="2"/>
                <w:sz w:val="21"/>
                <w:szCs w:val="21"/>
              </w:rPr>
              <w:t>O</w:t>
            </w:r>
            <w:r>
              <w:rPr>
                <w:rFonts w:ascii="Times New Roman" w:hAnsi="Times New Roman"/>
                <w:color w:val="000000"/>
                <w:kern w:val="2"/>
                <w:sz w:val="21"/>
                <w:szCs w:val="21"/>
                <w:vertAlign w:val="subscript"/>
              </w:rPr>
              <w:t>2</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65%</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Wako Pure Chemical Industries, Ltd</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sz w:val="24"/>
                <w:szCs w:val="24"/>
              </w:rPr>
              <w:t>tert-Butylamine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C</w:t>
            </w:r>
            <w:r>
              <w:rPr>
                <w:rFonts w:ascii="Times New Roman" w:hAnsi="Times New Roman"/>
                <w:color w:val="000000"/>
                <w:kern w:val="2"/>
                <w:sz w:val="21"/>
                <w:szCs w:val="21"/>
                <w:vertAlign w:val="subscript"/>
              </w:rPr>
              <w:t>4</w:t>
            </w:r>
            <w:r>
              <w:rPr>
                <w:rFonts w:ascii="Times New Roman" w:hAnsi="Times New Roman"/>
                <w:color w:val="000000"/>
                <w:kern w:val="2"/>
                <w:sz w:val="21"/>
                <w:szCs w:val="21"/>
              </w:rPr>
              <w:t>H</w:t>
            </w:r>
            <w:r>
              <w:rPr>
                <w:rFonts w:ascii="Times New Roman" w:hAnsi="Times New Roman"/>
                <w:color w:val="000000"/>
                <w:kern w:val="2"/>
                <w:sz w:val="21"/>
                <w:szCs w:val="21"/>
                <w:vertAlign w:val="subscript"/>
              </w:rPr>
              <w:t>11</w:t>
            </w:r>
            <w:r>
              <w:rPr>
                <w:rFonts w:ascii="Times New Roman" w:hAnsi="Times New Roman"/>
                <w:color w:val="000000"/>
                <w:kern w:val="2"/>
                <w:sz w:val="21"/>
                <w:szCs w:val="21"/>
              </w:rPr>
              <w:t>N</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99.5%</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Sigma Chemical Co. (St. Louis, MO, USA)</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Strontium hydroxide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sz w:val="21"/>
                <w:szCs w:val="21"/>
              </w:rPr>
              <w:t>Sr(OH)</w:t>
            </w:r>
            <w:r>
              <w:rPr>
                <w:rFonts w:ascii="Times New Roman" w:hAnsi="Times New Roman"/>
                <w:sz w:val="21"/>
                <w:szCs w:val="21"/>
                <w:vertAlign w:val="subscript"/>
              </w:rPr>
              <w:t>2</w:t>
            </w:r>
            <w:r>
              <w:rPr>
                <w:rFonts w:ascii="Times New Roman" w:hAnsi="Times New Roman" w:eastAsia="仿宋"/>
                <w:sz w:val="21"/>
                <w:szCs w:val="21"/>
              </w:rPr>
              <w:t>·</w:t>
            </w:r>
            <w:r>
              <w:rPr>
                <w:rFonts w:ascii="Times New Roman" w:hAnsi="Times New Roman"/>
                <w:sz w:val="21"/>
                <w:szCs w:val="21"/>
              </w:rPr>
              <w:t>8H</w:t>
            </w:r>
            <w:r>
              <w:rPr>
                <w:rFonts w:ascii="Times New Roman" w:hAnsi="Times New Roman"/>
                <w:sz w:val="21"/>
                <w:szCs w:val="21"/>
                <w:vertAlign w:val="subscript"/>
              </w:rPr>
              <w:t>2</w:t>
            </w:r>
            <w:r>
              <w:rPr>
                <w:rFonts w:ascii="Times New Roman" w:hAnsi="Times New Roman"/>
                <w:sz w:val="21"/>
                <w:szCs w:val="21"/>
              </w:rPr>
              <w:t>O</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99.5%</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Aladdin reagent (Shanghai) Co., Ltd.</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Lanthanum hydroxide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sz w:val="21"/>
                <w:szCs w:val="21"/>
              </w:rPr>
              <w:t>La(OH)</w:t>
            </w:r>
            <w:r>
              <w:rPr>
                <w:rFonts w:ascii="Times New Roman" w:hAnsi="Times New Roman"/>
                <w:sz w:val="21"/>
                <w:szCs w:val="21"/>
                <w:vertAlign w:val="subscript"/>
              </w:rPr>
              <w:t>3</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99%</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National drug group chemical reagents Co., Ltd.</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Niobium chloride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NbCl</w:t>
            </w:r>
            <w:r>
              <w:rPr>
                <w:rFonts w:ascii="Times New Roman" w:hAnsi="Times New Roman"/>
                <w:color w:val="000000"/>
                <w:kern w:val="2"/>
                <w:sz w:val="21"/>
                <w:szCs w:val="21"/>
                <w:vertAlign w:val="subscript"/>
              </w:rPr>
              <w:t>5</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99%</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Aladdin reagent (Shanghai) Co., Ltd.</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Sodium hydroxide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NaOH</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98%</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Sigma Chemical Co. (St. Louis, MO, USA)</w:t>
            </w:r>
          </w:p>
        </w:tc>
      </w:tr>
      <w:tr>
        <w:tblPrEx>
          <w:tblCellMar>
            <w:top w:w="0" w:type="dxa"/>
            <w:left w:w="108" w:type="dxa"/>
            <w:bottom w:w="0" w:type="dxa"/>
            <w:right w:w="108" w:type="dxa"/>
          </w:tblCellMar>
        </w:tblPrEx>
        <w:trPr>
          <w:jc w:val="center"/>
        </w:trPr>
        <w:tc>
          <w:tcPr>
            <w:tcW w:w="2593"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Graphene</w:t>
            </w:r>
          </w:p>
        </w:tc>
        <w:tc>
          <w:tcPr>
            <w:tcW w:w="1797"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w:t>
            </w:r>
          </w:p>
        </w:tc>
        <w:tc>
          <w:tcPr>
            <w:tcW w:w="1062" w:type="dxa"/>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w:t>
            </w:r>
          </w:p>
        </w:tc>
        <w:tc>
          <w:tcPr>
            <w:tcW w:w="3815" w:type="dxa"/>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Qingdao Hua Gao Mo Polytron Technologies Inc</w:t>
            </w:r>
          </w:p>
        </w:tc>
      </w:tr>
      <w:tr>
        <w:tblPrEx>
          <w:tblCellMar>
            <w:top w:w="0" w:type="dxa"/>
            <w:left w:w="108" w:type="dxa"/>
            <w:bottom w:w="0" w:type="dxa"/>
            <w:right w:w="108" w:type="dxa"/>
          </w:tblCellMar>
        </w:tblPrEx>
        <w:trPr>
          <w:jc w:val="center"/>
        </w:trPr>
        <w:tc>
          <w:tcPr>
            <w:tcW w:w="2593" w:type="dxa"/>
            <w:tcBorders>
              <w:top w:val="nil"/>
              <w:left w:val="nil"/>
              <w:bottom w:val="single" w:color="auto" w:sz="18" w:space="0"/>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Liquid nitrogen</w:t>
            </w:r>
          </w:p>
        </w:tc>
        <w:tc>
          <w:tcPr>
            <w:tcW w:w="1797" w:type="dxa"/>
            <w:tcBorders>
              <w:top w:val="nil"/>
              <w:left w:val="nil"/>
              <w:bottom w:val="single" w:color="auto" w:sz="18" w:space="0"/>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w:t>
            </w:r>
          </w:p>
        </w:tc>
        <w:tc>
          <w:tcPr>
            <w:tcW w:w="1062" w:type="dxa"/>
            <w:tcBorders>
              <w:top w:val="nil"/>
              <w:left w:val="nil"/>
              <w:bottom w:val="single" w:color="auto" w:sz="18" w:space="0"/>
              <w:right w:val="nil"/>
            </w:tcBorders>
            <w:vAlign w:val="center"/>
          </w:tcPr>
          <w:p>
            <w:pPr>
              <w:widowControl w:val="0"/>
              <w:adjustRightInd/>
              <w:snapToGrid/>
              <w:spacing w:after="0" w:line="480" w:lineRule="auto"/>
              <w:jc w:val="center"/>
              <w:rPr>
                <w:rFonts w:ascii="Times New Roman" w:hAnsi="Times New Roman"/>
                <w:color w:val="000000"/>
                <w:kern w:val="2"/>
                <w:sz w:val="21"/>
                <w:szCs w:val="21"/>
              </w:rPr>
            </w:pPr>
            <w:r>
              <w:rPr>
                <w:rFonts w:ascii="Times New Roman" w:hAnsi="Times New Roman"/>
                <w:color w:val="000000"/>
                <w:kern w:val="2"/>
                <w:sz w:val="21"/>
                <w:szCs w:val="21"/>
              </w:rPr>
              <w:t>-</w:t>
            </w:r>
          </w:p>
        </w:tc>
        <w:tc>
          <w:tcPr>
            <w:tcW w:w="3815" w:type="dxa"/>
            <w:tcBorders>
              <w:top w:val="nil"/>
              <w:left w:val="nil"/>
              <w:bottom w:val="single" w:color="auto" w:sz="18" w:space="0"/>
              <w:right w:val="nil"/>
            </w:tcBorders>
            <w:vAlign w:val="center"/>
          </w:tcPr>
          <w:p>
            <w:pPr>
              <w:widowControl w:val="0"/>
              <w:adjustRightInd/>
              <w:snapToGrid/>
              <w:spacing w:after="0" w:line="480" w:lineRule="auto"/>
              <w:jc w:val="center"/>
              <w:rPr>
                <w:rFonts w:ascii="Times New Roman" w:hAnsi="Times New Roman"/>
                <w:color w:val="000000"/>
                <w:kern w:val="2"/>
                <w:sz w:val="21"/>
                <w:szCs w:val="21"/>
                <w:highlight w:val="yellow"/>
              </w:rPr>
            </w:pPr>
            <w:r>
              <w:rPr>
                <w:rFonts w:ascii="Times New Roman" w:hAnsi="Times New Roman"/>
                <w:color w:val="000000"/>
                <w:kern w:val="2"/>
                <w:sz w:val="21"/>
                <w:szCs w:val="21"/>
              </w:rPr>
              <w:t>Ji'nan De Yang Special Gas Co., Ltd.</w:t>
            </w:r>
          </w:p>
        </w:tc>
      </w:tr>
    </w:tbl>
    <w:p>
      <w:pPr>
        <w:kinsoku w:val="0"/>
        <w:spacing w:after="0" w:line="480" w:lineRule="auto"/>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t>Characterization</w:t>
      </w:r>
    </w:p>
    <w:p>
      <w:pPr>
        <w:kinsoku w:val="0"/>
        <w:spacing w:after="0" w:line="480" w:lineRule="auto"/>
        <w:ind w:firstLine="480" w:firstLineChars="200"/>
        <w:jc w:val="both"/>
        <w:rPr>
          <w:rFonts w:ascii="Times New Roman" w:hAnsi="Times New Roman"/>
          <w:sz w:val="24"/>
          <w:szCs w:val="24"/>
        </w:rPr>
      </w:pPr>
      <w:r>
        <w:rPr>
          <w:rFonts w:ascii="Times New Roman" w:hAnsi="Times New Roman"/>
          <w:sz w:val="24"/>
          <w:szCs w:val="24"/>
        </w:rPr>
        <w:t>The crystal phases of the synthesized powders were characterized by X-ray diffraction (XRD, Rigaku D/Max</w:t>
      </w:r>
      <w:r>
        <w:rPr>
          <w:rFonts w:hint="eastAsia" w:ascii="Times New Roman" w:hAnsi="Times New Roman"/>
          <w:sz w:val="24"/>
          <w:szCs w:val="24"/>
        </w:rPr>
        <w:t xml:space="preserve"> </w:t>
      </w:r>
      <w:r>
        <w:rPr>
          <w:rFonts w:ascii="Times New Roman" w:hAnsi="Times New Roman"/>
          <w:sz w:val="24"/>
          <w:szCs w:val="24"/>
        </w:rPr>
        <w:t>r B). The morphological structure of QW-SrTiO</w:t>
      </w:r>
      <w:r>
        <w:rPr>
          <w:rFonts w:ascii="Times New Roman" w:hAnsi="Times New Roman"/>
          <w:sz w:val="24"/>
          <w:szCs w:val="24"/>
          <w:vertAlign w:val="subscript"/>
        </w:rPr>
        <w:t>3</w:t>
      </w:r>
      <w:r>
        <w:rPr>
          <w:rFonts w:ascii="Times New Roman" w:hAnsi="Times New Roman"/>
          <w:sz w:val="24"/>
          <w:szCs w:val="24"/>
        </w:rPr>
        <w:t xml:space="preserve"> nanoparticles and QW-SrTiO</w:t>
      </w:r>
      <w:r>
        <w:rPr>
          <w:rFonts w:ascii="Times New Roman" w:hAnsi="Times New Roman"/>
          <w:sz w:val="24"/>
          <w:szCs w:val="24"/>
          <w:vertAlign w:val="subscript"/>
        </w:rPr>
        <w:t>3</w:t>
      </w:r>
      <w:r>
        <w:rPr>
          <w:rFonts w:ascii="Times New Roman" w:hAnsi="Times New Roman"/>
          <w:sz w:val="24"/>
          <w:szCs w:val="24"/>
        </w:rPr>
        <w:t>/GR composites were analyzed by transmission electron microscopy (TEM) and high-resolution transmission electron microscopy (HRTEM, JEM-2100F). The morphologies of pure GR and QW-SrTiO</w:t>
      </w:r>
      <w:r>
        <w:rPr>
          <w:rFonts w:ascii="Times New Roman" w:hAnsi="Times New Roman"/>
          <w:sz w:val="24"/>
          <w:szCs w:val="24"/>
          <w:vertAlign w:val="subscript"/>
        </w:rPr>
        <w:t>3</w:t>
      </w:r>
      <w:r>
        <w:rPr>
          <w:rFonts w:ascii="Times New Roman" w:hAnsi="Times New Roman"/>
          <w:sz w:val="24"/>
          <w:szCs w:val="24"/>
        </w:rPr>
        <w:t>/GR composites were observed by field-emission scanning microscope (FESEM, SU</w:t>
      </w:r>
      <w:r>
        <w:rPr>
          <w:rFonts w:ascii="Times New Roman" w:hAnsi="Times New Roman"/>
          <w:sz w:val="24"/>
          <w:szCs w:val="24"/>
        </w:rPr>
        <w:softHyphen/>
      </w:r>
      <w:r>
        <w:rPr>
          <w:rFonts w:ascii="Times New Roman" w:hAnsi="Times New Roman"/>
          <w:sz w:val="24"/>
          <w:szCs w:val="24"/>
        </w:rPr>
        <w:t>70). The functional groups and chemical bonds of samples were recorded by Fourier transform infrared spectroscopy (FTIR, FT/IR-600). The absorption spectra and band gap were measured by UV-vis spectroscopy. The photoluminescence (PL) emission spectrum was performed on fluorescence spectrophotometer.  The direct visualization of  nanoscale structural and compositional information were achieved by integrating energy-dispersive X-ray spectroscopy (EDX) with the spherical aberration corrected scanning transmission electron microscopy (Cs-STEM, Titan G3 50-300 PICO) techniques, including acquiring Bright-field (BF), high-angle annular dark-field (HAADF) images.</w:t>
      </w:r>
    </w:p>
    <w:p>
      <w:pPr>
        <w:kinsoku w:val="0"/>
        <w:spacing w:after="0" w:line="480" w:lineRule="auto"/>
        <w:rPr>
          <w:rFonts w:ascii="Times New Roman" w:hAnsi="Times New Roman" w:eastAsia="BPXPJG+SimSun"/>
          <w:b/>
          <w:i/>
          <w:sz w:val="21"/>
          <w:szCs w:val="21"/>
        </w:rPr>
      </w:pPr>
    </w:p>
    <w:p>
      <w:pPr>
        <w:kinsoku w:val="0"/>
        <w:spacing w:after="0" w:line="480" w:lineRule="auto"/>
        <w:rPr>
          <w:rFonts w:ascii="Times New Roman" w:hAnsi="Times New Roman"/>
          <w:b/>
          <w:i/>
          <w:sz w:val="24"/>
          <w:szCs w:val="24"/>
        </w:rPr>
      </w:pPr>
      <w:r>
        <w:rPr>
          <w:rFonts w:ascii="Times New Roman" w:hAnsi="Times New Roman" w:eastAsia="BPXPJG+SimSun"/>
          <w:b/>
          <w:i/>
          <w:sz w:val="21"/>
          <w:szCs w:val="21"/>
        </w:rPr>
        <w:t>METHODS</w:t>
      </w:r>
    </w:p>
    <w:p>
      <w:pPr>
        <w:kinsoku w:val="0"/>
        <w:spacing w:after="0" w:line="480" w:lineRule="auto"/>
        <w:rPr>
          <w:rFonts w:ascii="Times New Roman" w:hAnsi="Times New Roman"/>
          <w:b/>
          <w:sz w:val="24"/>
          <w:szCs w:val="24"/>
          <w:lang w:val="pt-BR"/>
        </w:rPr>
      </w:pPr>
      <w:r>
        <w:rPr>
          <w:rFonts w:ascii="Times New Roman" w:hAnsi="Times New Roman"/>
          <w:b/>
          <w:sz w:val="24"/>
          <w:szCs w:val="24"/>
          <w:lang w:val="pt-BR"/>
        </w:rPr>
        <w:t>Synthesis of QW-</w:t>
      </w:r>
      <w:r>
        <w:rPr>
          <w:rFonts w:ascii="Times New Roman" w:hAnsi="Times New Roman"/>
          <w:b/>
          <w:sz w:val="24"/>
          <w:szCs w:val="24"/>
        </w:rPr>
        <w:t>SrTiO</w:t>
      </w:r>
      <w:r>
        <w:rPr>
          <w:rFonts w:ascii="Times New Roman" w:hAnsi="Times New Roman"/>
          <w:b/>
          <w:sz w:val="24"/>
          <w:szCs w:val="24"/>
          <w:vertAlign w:val="subscript"/>
        </w:rPr>
        <w:t>3</w:t>
      </w:r>
      <w:r>
        <w:rPr>
          <w:rFonts w:ascii="Times New Roman" w:hAnsi="Times New Roman"/>
          <w:b/>
          <w:sz w:val="24"/>
          <w:szCs w:val="24"/>
          <w:vertAlign w:val="subscript"/>
          <w:lang w:val="pt-BR"/>
        </w:rPr>
        <w:t xml:space="preserve"> </w:t>
      </w:r>
      <w:r>
        <w:rPr>
          <w:rFonts w:ascii="Times New Roman" w:hAnsi="Times New Roman"/>
          <w:b/>
          <w:sz w:val="24"/>
          <w:szCs w:val="24"/>
          <w:lang w:val="pt-BR"/>
        </w:rPr>
        <w:t>nanopraticles</w:t>
      </w:r>
    </w:p>
    <w:p>
      <w:pPr>
        <w:kinsoku w:val="0"/>
        <w:spacing w:after="0" w:line="480" w:lineRule="auto"/>
        <w:ind w:firstLine="480" w:firstLineChars="200"/>
        <w:jc w:val="both"/>
        <w:rPr>
          <w:rFonts w:ascii="Times New Roman" w:hAnsi="Times New Roman"/>
          <w:sz w:val="24"/>
          <w:szCs w:val="24"/>
        </w:rPr>
      </w:pPr>
      <w:r>
        <w:rPr>
          <w:rFonts w:ascii="Times New Roman" w:hAnsi="Times New Roman"/>
          <w:sz w:val="24"/>
          <w:szCs w:val="24"/>
          <w:lang w:val="pt-BR"/>
        </w:rPr>
        <w:t xml:space="preserve">A typical synthesis process consists of two steps. </w:t>
      </w:r>
      <w:r>
        <w:rPr>
          <w:rFonts w:ascii="Times New Roman" w:hAnsi="Times New Roman"/>
          <w:sz w:val="24"/>
          <w:szCs w:val="24"/>
        </w:rPr>
        <w:t>Firstly, bis(ammonium lactate) titanium dihydroxide (TALH) (0.05 mol/L, Sr:Ti = 1:1) was added into an aqueous solution of Sr(OH)</w:t>
      </w:r>
      <w:r>
        <w:rPr>
          <w:rFonts w:ascii="Times New Roman" w:hAnsi="Times New Roman"/>
          <w:sz w:val="24"/>
          <w:szCs w:val="24"/>
          <w:vertAlign w:val="subscript"/>
        </w:rPr>
        <w:t>2</w:t>
      </w:r>
      <w:r>
        <w:rPr>
          <w:rFonts w:ascii="Times New Roman" w:hAnsi="Times New Roman"/>
          <w:sz w:val="24"/>
          <w:szCs w:val="24"/>
        </w:rPr>
        <w:t xml:space="preserve"> and La(OH)</w:t>
      </w:r>
      <w:r>
        <w:rPr>
          <w:rFonts w:ascii="Times New Roman" w:hAnsi="Times New Roman"/>
          <w:sz w:val="24"/>
          <w:szCs w:val="24"/>
          <w:vertAlign w:val="subscript"/>
        </w:rPr>
        <w:t>3</w:t>
      </w:r>
      <w:r>
        <w:rPr>
          <w:rFonts w:ascii="Times New Roman" w:hAnsi="Times New Roman"/>
          <w:sz w:val="24"/>
          <w:szCs w:val="24"/>
        </w:rPr>
        <w:t xml:space="preserve"> (24 mL, 1.0 mol</w:t>
      </w:r>
      <w:r>
        <w:rPr>
          <w:rFonts w:hint="eastAsia" w:ascii="Times New Roman" w:hAnsi="Times New Roman"/>
          <w:sz w:val="24"/>
          <w:szCs w:val="24"/>
        </w:rPr>
        <w:t>/L</w:t>
      </w:r>
      <w:r>
        <w:rPr>
          <w:rFonts w:ascii="Times New Roman" w:hAnsi="Times New Roman"/>
          <w:sz w:val="24"/>
          <w:szCs w:val="24"/>
        </w:rPr>
        <w:t>) under mechanical stirring. Then, a 5 mol/L aqueous NaOH solution was added to the reaction mixture to produce a NaOH concentration of 1 mol/L. The reaction mixture was transferred to a 50 mL autoclave, and then tert-Butylamine and oleic acid (OLA) (Sr: OLA: tert-Butylamine = 1:8:8) were added into the solution. The sealed autoclave was heated at 220 °C for 16 h and then cooled down to room temperature to obtain the intermediate composed of nanocubes and unreacted Ti-based hydrous gel.</w:t>
      </w:r>
    </w:p>
    <w:p>
      <w:pPr>
        <w:kinsoku w:val="0"/>
        <w:spacing w:after="0" w:line="480" w:lineRule="auto"/>
        <w:ind w:firstLine="480" w:firstLineChars="200"/>
        <w:jc w:val="both"/>
        <w:rPr>
          <w:rFonts w:ascii="Times New Roman" w:hAnsi="Times New Roman"/>
          <w:sz w:val="24"/>
          <w:szCs w:val="24"/>
          <w:lang w:val="pt-BR"/>
        </w:rPr>
      </w:pPr>
      <w:r>
        <w:rPr>
          <w:rFonts w:ascii="Times New Roman" w:hAnsi="Times New Roman"/>
          <w:sz w:val="24"/>
          <w:szCs w:val="24"/>
          <w:lang w:val="pt-BR"/>
        </w:rPr>
        <w:t>For the surface doping of Nb on La-SrTiO</w:t>
      </w:r>
      <w:r>
        <w:rPr>
          <w:rFonts w:ascii="Times New Roman" w:hAnsi="Times New Roman"/>
          <w:sz w:val="24"/>
          <w:szCs w:val="24"/>
          <w:vertAlign w:val="subscript"/>
          <w:lang w:val="pt-BR"/>
        </w:rPr>
        <w:t>3</w:t>
      </w:r>
      <w:r>
        <w:rPr>
          <w:rFonts w:ascii="Times New Roman" w:hAnsi="Times New Roman"/>
          <w:sz w:val="24"/>
          <w:szCs w:val="24"/>
          <w:lang w:val="pt-BR"/>
        </w:rPr>
        <w:t xml:space="preserve"> nanoparticles, alcohol solution containing NbCl</w:t>
      </w:r>
      <w:r>
        <w:rPr>
          <w:rFonts w:ascii="Times New Roman" w:hAnsi="Times New Roman"/>
          <w:sz w:val="24"/>
          <w:szCs w:val="24"/>
          <w:vertAlign w:val="subscript"/>
          <w:lang w:val="pt-BR"/>
        </w:rPr>
        <w:t>5</w:t>
      </w:r>
      <w:r>
        <w:rPr>
          <w:rFonts w:ascii="Times New Roman" w:hAnsi="Times New Roman"/>
          <w:sz w:val="24"/>
          <w:szCs w:val="24"/>
          <w:lang w:val="pt-BR"/>
        </w:rPr>
        <w:t xml:space="preserve"> as the Nb source (5.0 mol%) with a concentration of 0.05 mol/L was added in above precursor. Then the suspension was heated to 220 ºC for another 24 h under hydrothermal conditions. Under hydrothermal condition, Nb ion can be dissolved into the mixed solution and Sr species break the Ti</w:t>
      </w:r>
      <w:r>
        <w:rPr>
          <w:rFonts w:hint="eastAsia" w:ascii="Times New Roman" w:hAnsi="Times New Roman"/>
          <w:sz w:val="24"/>
          <w:szCs w:val="24"/>
          <w:lang w:val="pt-BR"/>
        </w:rPr>
        <w:t>-</w:t>
      </w:r>
      <w:r>
        <w:rPr>
          <w:rFonts w:ascii="Times New Roman" w:hAnsi="Times New Roman"/>
          <w:sz w:val="24"/>
          <w:szCs w:val="24"/>
          <w:lang w:val="pt-BR"/>
        </w:rPr>
        <w:t>O bond of Ti</w:t>
      </w:r>
      <w:r>
        <w:rPr>
          <w:rFonts w:hint="eastAsia" w:ascii="Times New Roman" w:hAnsi="Times New Roman"/>
          <w:sz w:val="24"/>
          <w:szCs w:val="24"/>
          <w:lang w:val="pt-BR"/>
        </w:rPr>
        <w:t>-</w:t>
      </w:r>
      <w:r>
        <w:rPr>
          <w:rFonts w:ascii="Times New Roman" w:hAnsi="Times New Roman"/>
          <w:sz w:val="24"/>
          <w:szCs w:val="24"/>
          <w:lang w:val="pt-BR"/>
        </w:rPr>
        <w:t>O</w:t>
      </w:r>
      <w:r>
        <w:rPr>
          <w:rFonts w:hint="eastAsia" w:ascii="Times New Roman" w:hAnsi="Times New Roman"/>
          <w:sz w:val="24"/>
          <w:szCs w:val="24"/>
          <w:lang w:val="pt-BR"/>
        </w:rPr>
        <w:t>-</w:t>
      </w:r>
      <w:r>
        <w:rPr>
          <w:rFonts w:ascii="Times New Roman" w:hAnsi="Times New Roman"/>
          <w:sz w:val="24"/>
          <w:szCs w:val="24"/>
          <w:lang w:val="pt-BR"/>
        </w:rPr>
        <w:t>Ti cross-linked network to form SrTiO</w:t>
      </w:r>
      <w:r>
        <w:rPr>
          <w:rFonts w:ascii="Times New Roman" w:hAnsi="Times New Roman"/>
          <w:sz w:val="24"/>
          <w:szCs w:val="24"/>
          <w:vertAlign w:val="subscript"/>
          <w:lang w:val="pt-BR"/>
        </w:rPr>
        <w:t>3</w:t>
      </w:r>
      <w:r>
        <w:rPr>
          <w:rFonts w:ascii="Times New Roman" w:hAnsi="Times New Roman"/>
          <w:sz w:val="24"/>
          <w:szCs w:val="24"/>
          <w:lang w:val="pt-BR"/>
        </w:rPr>
        <w:t xml:space="preserve"> crystal structure. In this process, Nb ion can enter the SrTiO</w:t>
      </w:r>
      <w:r>
        <w:rPr>
          <w:rFonts w:ascii="Times New Roman" w:hAnsi="Times New Roman"/>
          <w:sz w:val="24"/>
          <w:szCs w:val="24"/>
          <w:vertAlign w:val="subscript"/>
          <w:lang w:val="pt-BR"/>
        </w:rPr>
        <w:t>3</w:t>
      </w:r>
      <w:r>
        <w:rPr>
          <w:rFonts w:ascii="Times New Roman" w:hAnsi="Times New Roman"/>
          <w:sz w:val="24"/>
          <w:szCs w:val="24"/>
          <w:lang w:val="pt-BR"/>
        </w:rPr>
        <w:t xml:space="preserve"> crystal structure and Nb doped layer was be obtained on the surface of SrTiO</w:t>
      </w:r>
      <w:r>
        <w:rPr>
          <w:rFonts w:ascii="Times New Roman" w:hAnsi="Times New Roman"/>
          <w:sz w:val="24"/>
          <w:szCs w:val="24"/>
          <w:vertAlign w:val="subscript"/>
          <w:lang w:val="pt-BR"/>
        </w:rPr>
        <w:t>3</w:t>
      </w:r>
      <w:r>
        <w:rPr>
          <w:rFonts w:ascii="Times New Roman" w:hAnsi="Times New Roman"/>
          <w:sz w:val="24"/>
          <w:szCs w:val="24"/>
          <w:lang w:val="pt-BR"/>
        </w:rPr>
        <w:t xml:space="preserve"> nanoparticl</w:t>
      </w:r>
      <w:r>
        <w:rPr>
          <w:rFonts w:ascii="Times New Roman" w:hAnsi="Times New Roman"/>
          <w:sz w:val="24"/>
          <w:szCs w:val="24"/>
        </w:rPr>
        <w:t>e</w:t>
      </w:r>
      <w:r>
        <w:rPr>
          <w:rFonts w:ascii="Times New Roman" w:hAnsi="Times New Roman"/>
          <w:sz w:val="24"/>
          <w:szCs w:val="24"/>
          <w:lang w:val="pt-BR"/>
        </w:rPr>
        <w:t>s. After the synthesis, the quantum well particles were centrifugally separated and washed twice by ethanol.</w:t>
      </w:r>
    </w:p>
    <w:p>
      <w:pPr>
        <w:kinsoku w:val="0"/>
        <w:spacing w:after="0" w:line="480" w:lineRule="auto"/>
        <w:jc w:val="both"/>
        <w:rPr>
          <w:rFonts w:ascii="Times New Roman" w:hAnsi="Times New Roman"/>
          <w:b/>
          <w:sz w:val="24"/>
          <w:szCs w:val="24"/>
          <w:lang w:val="pt-BR"/>
        </w:rPr>
      </w:pPr>
      <w:r>
        <w:rPr>
          <w:rFonts w:ascii="Times New Roman" w:hAnsi="Times New Roman"/>
          <w:b/>
          <w:sz w:val="24"/>
          <w:szCs w:val="24"/>
          <w:lang w:val="pt-BR"/>
        </w:rPr>
        <w:t>F</w:t>
      </w:r>
      <w:r>
        <w:rPr>
          <w:rFonts w:ascii="Times New Roman" w:hAnsi="Times New Roman"/>
          <w:b/>
          <w:sz w:val="24"/>
          <w:szCs w:val="24"/>
        </w:rPr>
        <w:t>a</w:t>
      </w:r>
      <w:r>
        <w:rPr>
          <w:rFonts w:ascii="Times New Roman" w:hAnsi="Times New Roman"/>
          <w:b/>
          <w:sz w:val="24"/>
          <w:szCs w:val="24"/>
          <w:lang w:val="pt-BR"/>
        </w:rPr>
        <w:t>brication of QW-SrTiO</w:t>
      </w:r>
      <w:r>
        <w:rPr>
          <w:rFonts w:ascii="Times New Roman" w:hAnsi="Times New Roman"/>
          <w:b/>
          <w:sz w:val="24"/>
          <w:szCs w:val="24"/>
          <w:vertAlign w:val="subscript"/>
          <w:lang w:val="pt-BR"/>
        </w:rPr>
        <w:t>3</w:t>
      </w:r>
      <w:r>
        <w:rPr>
          <w:rFonts w:ascii="Times New Roman" w:hAnsi="Times New Roman"/>
          <w:b/>
          <w:sz w:val="24"/>
          <w:szCs w:val="24"/>
          <w:lang w:val="pt-BR"/>
        </w:rPr>
        <w:t>/GR</w:t>
      </w:r>
      <w:r>
        <w:rPr>
          <w:rFonts w:ascii="Times New Roman" w:hAnsi="Times New Roman"/>
          <w:b/>
          <w:sz w:val="24"/>
          <w:szCs w:val="24"/>
          <w:vertAlign w:val="subscript"/>
          <w:lang w:val="pt-BR"/>
        </w:rPr>
        <w:t xml:space="preserve"> </w:t>
      </w:r>
      <w:r>
        <w:rPr>
          <w:rFonts w:ascii="Times New Roman" w:hAnsi="Times New Roman"/>
          <w:b/>
          <w:sz w:val="24"/>
          <w:szCs w:val="24"/>
          <w:lang w:val="pt-BR"/>
        </w:rPr>
        <w:t>hybrid composite</w:t>
      </w:r>
    </w:p>
    <w:p>
      <w:pPr>
        <w:kinsoku w:val="0"/>
        <w:spacing w:after="0" w:line="480" w:lineRule="auto"/>
        <w:ind w:firstLine="480" w:firstLineChars="200"/>
        <w:jc w:val="both"/>
        <w:rPr>
          <w:rFonts w:ascii="Times New Roman" w:hAnsi="Times New Roman"/>
          <w:b/>
          <w:sz w:val="24"/>
          <w:szCs w:val="24"/>
        </w:rPr>
      </w:pPr>
      <w:r>
        <w:rPr>
          <w:rFonts w:ascii="Times New Roman" w:hAnsi="Times New Roman"/>
          <w:sz w:val="24"/>
          <w:szCs w:val="24"/>
          <w:lang w:val="pt-BR"/>
        </w:rPr>
        <w:t>The graphene (GR) was dispersed in distilled water through ultrasonic irradiation for 2h with a concentration of 1mg/mL. 0.5 g QW-</w:t>
      </w:r>
      <w:r>
        <w:rPr>
          <w:rFonts w:ascii="Times New Roman" w:hAnsi="Times New Roman"/>
          <w:sz w:val="24"/>
          <w:szCs w:val="24"/>
        </w:rPr>
        <w:t>SrTiO</w:t>
      </w:r>
      <w:r>
        <w:rPr>
          <w:rFonts w:ascii="Times New Roman" w:hAnsi="Times New Roman"/>
          <w:sz w:val="24"/>
          <w:szCs w:val="24"/>
          <w:vertAlign w:val="subscript"/>
        </w:rPr>
        <w:t>3</w:t>
      </w:r>
      <w:r>
        <w:rPr>
          <w:rFonts w:ascii="Times New Roman" w:hAnsi="Times New Roman"/>
          <w:sz w:val="24"/>
          <w:szCs w:val="24"/>
          <w:lang w:val="pt-BR"/>
        </w:rPr>
        <w:t xml:space="preserve"> nanocubes were dispersed in 100 mL distilled water under ultrosonic irradiation for 30 min, and then the dispersion of GR was added with different volume. The mixture was mechinically stirred for 1 h, and then </w:t>
      </w:r>
      <w:r>
        <w:rPr>
          <w:rFonts w:ascii="Times New Roman" w:hAnsi="Times New Roman"/>
          <w:sz w:val="24"/>
          <w:szCs w:val="24"/>
        </w:rPr>
        <w:t>frozen by liquid nitrogen and subsequently</w:t>
      </w:r>
      <w:r>
        <w:rPr>
          <w:rFonts w:ascii="Times New Roman" w:hAnsi="Times New Roman"/>
        </w:rPr>
        <w:t xml:space="preserve"> </w:t>
      </w:r>
      <w:r>
        <w:rPr>
          <w:rFonts w:ascii="Times New Roman" w:hAnsi="Times New Roman"/>
          <w:sz w:val="24"/>
          <w:szCs w:val="24"/>
        </w:rPr>
        <w:t>freeze-dried until the water was evaporated.</w:t>
      </w:r>
    </w:p>
    <w:p>
      <w:pPr>
        <w:kinsoku w:val="0"/>
        <w:spacing w:after="0" w:line="480" w:lineRule="auto"/>
        <w:rPr>
          <w:rFonts w:ascii="Times New Roman" w:hAnsi="Times New Roman"/>
          <w:b/>
          <w:sz w:val="24"/>
          <w:szCs w:val="24"/>
        </w:rPr>
      </w:pPr>
      <w:r>
        <w:rPr>
          <w:rFonts w:ascii="Times New Roman" w:hAnsi="Times New Roman"/>
          <w:b/>
          <w:sz w:val="24"/>
          <w:szCs w:val="24"/>
        </w:rPr>
        <w:t>Photocatalytic hydrogen production activity</w:t>
      </w:r>
    </w:p>
    <w:p>
      <w:pPr>
        <w:kinsoku w:val="0"/>
        <w:spacing w:after="0" w:line="480" w:lineRule="auto"/>
        <w:ind w:firstLine="480" w:firstLineChars="200"/>
        <w:jc w:val="both"/>
        <w:rPr>
          <w:rFonts w:ascii="Times New Roman" w:hAnsi="Times New Roman"/>
          <w:sz w:val="24"/>
          <w:szCs w:val="24"/>
        </w:rPr>
      </w:pPr>
      <w:r>
        <w:rPr>
          <w:rFonts w:ascii="Times New Roman" w:hAnsi="Times New Roman"/>
          <w:sz w:val="24"/>
          <w:szCs w:val="24"/>
        </w:rPr>
        <w:t>The photocatalytic H</w:t>
      </w:r>
      <w:r>
        <w:rPr>
          <w:rFonts w:ascii="Times New Roman" w:hAnsi="Times New Roman"/>
          <w:sz w:val="24"/>
          <w:szCs w:val="24"/>
          <w:vertAlign w:val="subscript"/>
        </w:rPr>
        <w:t>2</w:t>
      </w:r>
      <w:r>
        <w:rPr>
          <w:rFonts w:ascii="Times New Roman" w:hAnsi="Times New Roman"/>
          <w:sz w:val="24"/>
          <w:szCs w:val="24"/>
        </w:rPr>
        <w:t xml:space="preserve"> generation was performed in a closed quartz flask at room temperature. A 500 W xenon arc lamp used as the light sources, which was located 10 cm away from the photocatalytic reactor.</w:t>
      </w:r>
      <w:r>
        <w:rPr>
          <w:rFonts w:ascii="Times New Roman" w:hAnsi="Times New Roman"/>
          <w:sz w:val="24"/>
          <w:szCs w:val="24"/>
          <w:lang w:val="pt-BR"/>
        </w:rPr>
        <w:t xml:space="preserve"> In a typical process, 0.05 g of the photocatalyst was dispersed in the mixed solution containing distilled water (80-95 mL) and methanol (5-20 mL) as the sacrificial agent. Prior to irradiation, nitrogen (N</w:t>
      </w:r>
      <w:r>
        <w:rPr>
          <w:rFonts w:ascii="Times New Roman" w:hAnsi="Times New Roman"/>
          <w:sz w:val="24"/>
          <w:szCs w:val="24"/>
          <w:vertAlign w:val="subscript"/>
          <w:lang w:val="pt-BR"/>
        </w:rPr>
        <w:t>2</w:t>
      </w:r>
      <w:r>
        <w:rPr>
          <w:rFonts w:ascii="Times New Roman" w:hAnsi="Times New Roman"/>
          <w:sz w:val="24"/>
          <w:szCs w:val="24"/>
          <w:lang w:val="pt-BR"/>
        </w:rPr>
        <w:t>) was bubbled though the reactor for 30 min to remove the air in the system. The amount of produced hydrogen were monitored by an online gas chromatograph (</w:t>
      </w:r>
      <w:r>
        <w:rPr>
          <w:rFonts w:ascii="Times New Roman" w:hAnsi="Times New Roman"/>
          <w:sz w:val="24"/>
          <w:szCs w:val="24"/>
        </w:rPr>
        <w:t>GC-2060F, LuNan Analytical Instruments, LTD, China</w:t>
      </w:r>
      <w:r>
        <w:rPr>
          <w:rFonts w:ascii="Times New Roman" w:hAnsi="Times New Roman"/>
          <w:sz w:val="24"/>
          <w:szCs w:val="24"/>
          <w:lang w:val="pt-BR"/>
        </w:rPr>
        <w:t>).</w:t>
      </w:r>
      <w:r>
        <w:rPr>
          <w:rFonts w:ascii="Times New Roman" w:hAnsi="Times New Roman"/>
          <w:sz w:val="24"/>
          <w:szCs w:val="24"/>
        </w:rPr>
        <w:t xml:space="preserve"> A Gas chromatography (GC, Agilent 7890B) was used at intervals to identify the intermediates in the water/methanol suspension for the explanation of the photocatalytic pathway.</w:t>
      </w:r>
    </w:p>
    <w:p>
      <w:pPr>
        <w:widowControl w:val="0"/>
        <w:autoSpaceDE w:val="0"/>
        <w:autoSpaceDN w:val="0"/>
        <w:snapToGrid/>
        <w:spacing w:after="0" w:line="360" w:lineRule="auto"/>
        <w:jc w:val="both"/>
        <w:rPr>
          <w:rFonts w:ascii="Times New Roman" w:hAnsi="Times New Roman" w:eastAsia="Times New Roman,Bold"/>
          <w:b/>
          <w:bCs/>
          <w:sz w:val="24"/>
          <w:szCs w:val="24"/>
          <w:highlight w:val="yellow"/>
        </w:rPr>
      </w:pPr>
      <w:r>
        <w:rPr>
          <w:rFonts w:ascii="Times New Roman" w:hAnsi="Times New Roman" w:eastAsia="Times New Roman,Bold"/>
          <w:b/>
          <w:bCs/>
          <w:sz w:val="24"/>
          <w:szCs w:val="24"/>
        </w:rPr>
        <w:t xml:space="preserve">The </w:t>
      </w:r>
      <w:r>
        <w:rPr>
          <w:rFonts w:ascii="Times New Roman" w:hAnsi="Times New Roman" w:eastAsia="Times New Roman,Bold"/>
          <w:b/>
          <w:sz w:val="24"/>
          <w:szCs w:val="24"/>
        </w:rPr>
        <w:t>apparent quantum yield (AQY)</w:t>
      </w:r>
      <w:r>
        <w:rPr>
          <w:rFonts w:ascii="Times New Roman" w:hAnsi="Times New Roman" w:eastAsia="Times New Roman,Bold"/>
          <w:b/>
          <w:bCs/>
          <w:sz w:val="24"/>
          <w:szCs w:val="24"/>
        </w:rPr>
        <w:t xml:space="preserve"> measurement of photocatalytic hydrogen production and wavelength experiments: </w:t>
      </w:r>
    </w:p>
    <w:p>
      <w:pPr>
        <w:widowControl w:val="0"/>
        <w:autoSpaceDE w:val="0"/>
        <w:autoSpaceDN w:val="0"/>
        <w:snapToGrid/>
        <w:spacing w:after="0" w:line="360" w:lineRule="auto"/>
        <w:ind w:firstLine="240" w:firstLineChars="100"/>
        <w:jc w:val="both"/>
        <w:rPr>
          <w:rFonts w:ascii="Times New Roman" w:hAnsi="Times New Roman" w:eastAsia="Times New Roman,Bold"/>
          <w:sz w:val="24"/>
          <w:szCs w:val="24"/>
        </w:rPr>
      </w:pPr>
      <w:bookmarkStart w:id="0" w:name="OLE_LINK10"/>
      <w:bookmarkStart w:id="1" w:name="OLE_LINK9"/>
      <w:r>
        <w:rPr>
          <w:rFonts w:ascii="Times New Roman" w:hAnsi="Times New Roman" w:eastAsia="Times New Roman,Bold"/>
          <w:sz w:val="24"/>
          <w:szCs w:val="24"/>
        </w:rPr>
        <w:t>To measure the apparent quantum yield (AQY) of the reaction system, the monochromatic LED lamps with band pass filter of 420 ± 4.2 nm were used as the light source. The amount of H</w:t>
      </w:r>
      <w:r>
        <w:rPr>
          <w:rFonts w:ascii="Times New Roman" w:hAnsi="Times New Roman" w:eastAsia="Times New Roman,Bold"/>
          <w:sz w:val="24"/>
          <w:szCs w:val="24"/>
          <w:vertAlign w:val="subscript"/>
        </w:rPr>
        <w:t>2</w:t>
      </w:r>
      <w:r>
        <w:rPr>
          <w:rFonts w:ascii="Times New Roman" w:hAnsi="Times New Roman" w:eastAsia="Times New Roman,Bold"/>
          <w:sz w:val="24"/>
          <w:szCs w:val="24"/>
        </w:rPr>
        <w:t xml:space="preserve"> evolution was calculated under the light irradiation (λ = 420 nm) for 1 h. The photocatalytic reactions were conducted on the same experimental setup and optimized reaction conditions. The intensity of incident monochromatic illumination was measured by an ILT 950 spectroradiometer. The irradiated area for the reaction was controlled at 1.0×1.0 cm</w:t>
      </w:r>
      <w:r>
        <w:rPr>
          <w:rFonts w:ascii="Times New Roman" w:hAnsi="Times New Roman" w:eastAsia="Times New Roman,Bold"/>
          <w:sz w:val="24"/>
          <w:szCs w:val="24"/>
          <w:vertAlign w:val="superscript"/>
        </w:rPr>
        <w:t>2</w:t>
      </w:r>
      <w:r>
        <w:rPr>
          <w:rFonts w:ascii="Times New Roman" w:hAnsi="Times New Roman" w:eastAsia="Times New Roman,Bold"/>
          <w:sz w:val="24"/>
          <w:szCs w:val="24"/>
        </w:rPr>
        <w:t xml:space="preserve">. </w:t>
      </w:r>
      <w:bookmarkEnd w:id="0"/>
      <w:bookmarkEnd w:id="1"/>
      <w:r>
        <w:rPr>
          <w:rFonts w:ascii="Times New Roman" w:hAnsi="Times New Roman" w:eastAsia="Times New Roman,Bold"/>
          <w:sz w:val="24"/>
          <w:szCs w:val="24"/>
        </w:rPr>
        <w:t>Depending on the amount of H</w:t>
      </w:r>
      <w:r>
        <w:rPr>
          <w:rFonts w:ascii="Times New Roman" w:hAnsi="Times New Roman" w:eastAsia="Times New Roman,Bold"/>
          <w:sz w:val="24"/>
          <w:szCs w:val="24"/>
          <w:vertAlign w:val="subscript"/>
        </w:rPr>
        <w:t>2</w:t>
      </w:r>
      <w:r>
        <w:rPr>
          <w:rFonts w:ascii="Times New Roman" w:hAnsi="Times New Roman" w:eastAsia="Times New Roman,Bold"/>
          <w:sz w:val="24"/>
          <w:szCs w:val="24"/>
        </w:rPr>
        <w:t xml:space="preserve"> produced by the photocatalytic reaction in an average of one hour, and the AQY was calculated as follow:</w:t>
      </w:r>
    </w:p>
    <w:p>
      <w:pPr>
        <w:widowControl w:val="0"/>
        <w:autoSpaceDE w:val="0"/>
        <w:autoSpaceDN w:val="0"/>
        <w:snapToGrid/>
        <w:spacing w:after="0"/>
        <w:jc w:val="both"/>
        <w:rPr>
          <w:rFonts w:ascii="Times New Roman" w:hAnsi="Times New Roman" w:eastAsia="Times New Roman,Bold"/>
          <w:sz w:val="24"/>
          <w:szCs w:val="24"/>
          <w:highlight w:val="yellow"/>
        </w:rPr>
      </w:pPr>
    </w:p>
    <w:p>
      <w:pPr>
        <w:spacing w:after="0" w:line="480" w:lineRule="auto"/>
        <w:ind w:firstLine="1870" w:firstLineChars="850"/>
        <w:rPr>
          <w:rFonts w:ascii="Times New Roman" w:hAnsi="Times New Roman"/>
        </w:rPr>
      </w:pPr>
      <w:r>
        <w:rPr>
          <w:rFonts w:ascii="Times New Roman" w:hAnsi="Times New Roman"/>
        </w:rPr>
        <w:pict>
          <v:shape id="_x0000_i1026" o:spt="75" type="#_x0000_t75" style="height:27.15pt;width:226.5pt;" filled="f" o:preferrelative="t" stroked="f" coordsize="21600,21600" equationxml="&lt;">
            <v:path/>
            <v:fill on="f" focussize="0,0"/>
            <v:stroke on="f" joinstyle="miter"/>
            <v:imagedata r:id="rId6" chromakey="#FFFFFF" o:title=""/>
            <o:lock v:ext="edit" aspectratio="t"/>
            <w10:wrap type="none"/>
            <w10:anchorlock/>
          </v:shape>
        </w:pict>
      </w:r>
    </w:p>
    <w:p>
      <w:pPr>
        <w:widowControl w:val="0"/>
        <w:autoSpaceDE w:val="0"/>
        <w:autoSpaceDN w:val="0"/>
        <w:snapToGrid/>
        <w:spacing w:after="0"/>
        <w:ind w:firstLine="220" w:firstLineChars="100"/>
        <w:jc w:val="both"/>
        <w:rPr>
          <w:rFonts w:ascii="Times New Roman" w:hAnsi="Times New Roman"/>
          <w:sz w:val="24"/>
          <w:szCs w:val="24"/>
        </w:rPr>
      </w:pPr>
      <w:r>
        <w:rPr>
          <w:rFonts w:ascii="Times New Roman" w:hAnsi="Times New Roman"/>
        </w:rPr>
        <w:pict>
          <v:shape id="_x0000_i1027" o:spt="75" type="#_x0000_t75" style="height:27.7pt;width:310.7pt;" filled="f" o:preferrelative="t" stroked="f" coordsize="21600,21600" equationxml="&lt;">
            <v:path/>
            <v:fill on="f" focussize="0,0"/>
            <v:stroke on="f" joinstyle="miter"/>
            <v:imagedata r:id="rId7" chromakey="#FFFFFF" o:title=""/>
            <o:lock v:ext="edit" aspectratio="t"/>
            <w10:wrap type="none"/>
            <w10:anchorlock/>
          </v:shape>
        </w:pict>
      </w:r>
      <w:r>
        <w:rPr>
          <w:rFonts w:ascii="Times New Roman" w:hAnsi="Times New Roman"/>
          <w:sz w:val="24"/>
          <w:szCs w:val="24"/>
        </w:rPr>
        <w:t xml:space="preserve">  </w:t>
      </w:r>
    </w:p>
    <w:p>
      <w:pPr>
        <w:widowControl w:val="0"/>
        <w:autoSpaceDE w:val="0"/>
        <w:autoSpaceDN w:val="0"/>
        <w:snapToGrid/>
        <w:spacing w:after="0"/>
        <w:jc w:val="both"/>
        <w:rPr>
          <w:rFonts w:ascii="Times New Roman" w:hAnsi="Times New Roman"/>
          <w:sz w:val="24"/>
          <w:szCs w:val="24"/>
        </w:rPr>
      </w:pPr>
    </w:p>
    <w:p>
      <w:pPr>
        <w:widowControl w:val="0"/>
        <w:autoSpaceDE w:val="0"/>
        <w:autoSpaceDN w:val="0"/>
        <w:snapToGrid/>
        <w:spacing w:after="0"/>
        <w:ind w:firstLine="1920" w:firstLineChars="800"/>
        <w:jc w:val="both"/>
        <w:rPr>
          <w:rFonts w:ascii="Times New Roman" w:hAnsi="Times New Roman" w:eastAsia="Times New Roman,Bold"/>
          <w:sz w:val="24"/>
          <w:szCs w:val="24"/>
        </w:rPr>
      </w:pPr>
      <w:r>
        <w:rPr>
          <w:rFonts w:ascii="Times New Roman" w:hAnsi="Times New Roman" w:eastAsia="Times New Roman,Bold"/>
          <w:sz w:val="24"/>
          <w:szCs w:val="24"/>
        </w:rPr>
        <w:t>= 2×[n</w:t>
      </w:r>
      <w:r>
        <w:rPr>
          <w:rFonts w:ascii="Times New Roman" w:hAnsi="Times New Roman" w:eastAsia="Times New Roman,Bold"/>
          <w:sz w:val="24"/>
          <w:szCs w:val="24"/>
          <w:vertAlign w:val="subscript"/>
        </w:rPr>
        <w:t>H2</w:t>
      </w:r>
      <w:r>
        <w:rPr>
          <w:rFonts w:ascii="Times New Roman" w:hAnsi="Times New Roman" w:eastAsia="Times New Roman,Bold"/>
          <w:sz w:val="24"/>
          <w:szCs w:val="24"/>
        </w:rPr>
        <w:t xml:space="preserve"> ·N</w:t>
      </w:r>
      <w:r>
        <w:rPr>
          <w:rFonts w:ascii="Times New Roman" w:hAnsi="Times New Roman" w:eastAsia="Times New Roman,Bold"/>
          <w:sz w:val="24"/>
          <w:szCs w:val="24"/>
          <w:vertAlign w:val="subscript"/>
        </w:rPr>
        <w:t>A</w:t>
      </w:r>
      <w:r>
        <w:rPr>
          <w:rFonts w:ascii="Times New Roman" w:hAnsi="Times New Roman" w:eastAsia="Times New Roman,Bold"/>
          <w:sz w:val="24"/>
          <w:szCs w:val="24"/>
        </w:rPr>
        <w:t>·ħ·c)] ×100%/(</w:t>
      </w:r>
      <w:r>
        <w:rPr>
          <w:rFonts w:ascii="Times New Roman" w:hAnsi="Times New Roman" w:eastAsia="Times New Roman,Italic"/>
          <w:i/>
          <w:iCs/>
          <w:sz w:val="24"/>
          <w:szCs w:val="24"/>
        </w:rPr>
        <w:t>I</w:t>
      </w:r>
      <w:r>
        <w:rPr>
          <w:rFonts w:ascii="Times New Roman" w:hAnsi="Times New Roman" w:eastAsia="Times New Roman,Bold"/>
          <w:sz w:val="24"/>
          <w:szCs w:val="24"/>
        </w:rPr>
        <w:t>·S·t·λ)</w:t>
      </w:r>
    </w:p>
    <w:p>
      <w:pPr>
        <w:kinsoku w:val="0"/>
        <w:spacing w:after="0" w:line="480" w:lineRule="auto"/>
        <w:ind w:firstLine="480" w:firstLineChars="200"/>
        <w:jc w:val="both"/>
        <w:rPr>
          <w:rFonts w:ascii="Times New Roman" w:hAnsi="Times New Roman"/>
          <w:sz w:val="24"/>
          <w:szCs w:val="24"/>
        </w:rPr>
      </w:pPr>
    </w:p>
    <w:p>
      <w:pPr>
        <w:kinsoku w:val="0"/>
        <w:spacing w:after="0" w:line="480" w:lineRule="auto"/>
        <w:ind w:firstLine="480" w:firstLineChars="200"/>
        <w:jc w:val="both"/>
        <w:rPr>
          <w:rFonts w:ascii="Times New Roman" w:hAnsi="Times New Roman"/>
          <w:sz w:val="24"/>
          <w:szCs w:val="24"/>
        </w:rPr>
      </w:pPr>
      <w:r>
        <w:rPr>
          <w:rFonts w:ascii="Times New Roman" w:hAnsi="Times New Roman"/>
          <w:sz w:val="24"/>
          <w:szCs w:val="24"/>
        </w:rPr>
        <w:t xml:space="preserve"> Where, NA is Avogadro constant (6.022×1023/mol), ħ the Planck constant (6.626×10-34 J∙s), c the speed of light (3×108 m/s), S the irradiation area (cm</w:t>
      </w:r>
      <w:r>
        <w:rPr>
          <w:rFonts w:ascii="Times New Roman" w:hAnsi="Times New Roman"/>
          <w:sz w:val="24"/>
          <w:szCs w:val="24"/>
          <w:vertAlign w:val="superscript"/>
        </w:rPr>
        <w:t>2</w:t>
      </w:r>
      <w:r>
        <w:rPr>
          <w:rFonts w:ascii="Times New Roman" w:hAnsi="Times New Roman"/>
          <w:sz w:val="24"/>
          <w:szCs w:val="24"/>
        </w:rPr>
        <w:t>), I the intensity of irradiation light (W/cm</w:t>
      </w:r>
      <w:r>
        <w:rPr>
          <w:rFonts w:ascii="Times New Roman" w:hAnsi="Times New Roman"/>
          <w:sz w:val="24"/>
          <w:szCs w:val="24"/>
          <w:vertAlign w:val="superscript"/>
        </w:rPr>
        <w:t>2</w:t>
      </w:r>
      <w:r>
        <w:rPr>
          <w:rFonts w:ascii="Times New Roman" w:hAnsi="Times New Roman"/>
          <w:sz w:val="24"/>
          <w:szCs w:val="24"/>
        </w:rPr>
        <w:t>), t the photoreaction time (s), λ the wavelength of the monochromatic light (m).</w:t>
      </w:r>
    </w:p>
    <w:p>
      <w:pPr>
        <w:kinsoku w:val="0"/>
        <w:spacing w:after="0" w:line="480" w:lineRule="auto"/>
        <w:jc w:val="both"/>
        <w:rPr>
          <w:rFonts w:ascii="Times New Roman" w:hAnsi="Times New Roman"/>
          <w:sz w:val="24"/>
          <w:szCs w:val="24"/>
        </w:rPr>
      </w:pPr>
      <w:r>
        <w:rPr>
          <w:rFonts w:ascii="Times New Roman" w:hAnsi="Times New Roman"/>
          <w:b/>
          <w:sz w:val="24"/>
          <w:szCs w:val="24"/>
        </w:rPr>
        <w:fldChar w:fldCharType="begin"/>
      </w:r>
      <w:r>
        <w:rPr>
          <w:rFonts w:ascii="Times New Roman" w:hAnsi="Times New Roman"/>
          <w:b/>
          <w:sz w:val="24"/>
          <w:szCs w:val="24"/>
        </w:rPr>
        <w:instrText xml:space="preserve"> QUOTE </w:instrText>
      </w:r>
      <w:r>
        <w:rPr>
          <w:rFonts w:ascii="Times New Roman" w:hAnsi="Times New Roman"/>
        </w:rPr>
        <w:pict>
          <v:shape id="_x0000_i1028" o:spt="75" type="#_x0000_t75" style="height:12.75pt;width:415.4pt;" filled="f" o:preferrelative="t" stroked="f" coordsize="21600,21600" equationxml="&lt;">
            <v:path/>
            <v:fill on="f" focussize="0,0"/>
            <v:stroke on="f" joinstyle="miter"/>
            <v:imagedata r:id="rId5" chromakey="#FFFFFF" o:title=""/>
            <o:lock v:ext="edit" aspectratio="t"/>
            <w10:wrap type="none"/>
            <w10:anchorlock/>
          </v:shape>
        </w:pict>
      </w:r>
      <w:r>
        <w:rPr>
          <w:rFonts w:ascii="Times New Roman" w:hAnsi="Times New Roman"/>
          <w:b/>
          <w:sz w:val="24"/>
          <w:szCs w:val="24"/>
        </w:rPr>
        <w:instrText xml:space="preserve"> </w:instrText>
      </w:r>
      <w:r>
        <w:rPr>
          <w:rFonts w:ascii="Times New Roman" w:hAnsi="Times New Roman"/>
          <w:b/>
          <w:sz w:val="24"/>
          <w:szCs w:val="24"/>
        </w:rPr>
        <w:fldChar w:fldCharType="end"/>
      </w:r>
      <w:r>
        <w:rPr>
          <w:rFonts w:ascii="Times New Roman" w:hAnsi="Times New Roman"/>
          <w:b/>
          <w:sz w:val="24"/>
          <w:szCs w:val="24"/>
        </w:rPr>
        <w:t xml:space="preserve"> Photoelectrochemical measurements </w:t>
      </w:r>
    </w:p>
    <w:p>
      <w:pPr>
        <w:kinsoku w:val="0"/>
        <w:spacing w:after="0" w:line="480" w:lineRule="auto"/>
        <w:ind w:firstLine="480" w:firstLineChars="200"/>
        <w:jc w:val="both"/>
        <w:rPr>
          <w:rFonts w:ascii="Times New Roman" w:hAnsi="Times New Roman"/>
          <w:sz w:val="24"/>
          <w:szCs w:val="24"/>
        </w:rPr>
      </w:pPr>
      <w:r>
        <w:rPr>
          <w:rFonts w:ascii="Times New Roman" w:hAnsi="Times New Roman"/>
          <w:sz w:val="24"/>
          <w:szCs w:val="24"/>
        </w:rPr>
        <w:t>Photocurrents were measured using a three-electrode configuration with the as-prepared photocatalysts, Ag/AgCl electrode, and Pt wire as the working electrode, reference electrode and counter electrode, respectively. 5 mol/L Na</w:t>
      </w:r>
      <w:r>
        <w:rPr>
          <w:rFonts w:ascii="Times New Roman" w:hAnsi="Times New Roman"/>
          <w:sz w:val="24"/>
          <w:szCs w:val="24"/>
          <w:vertAlign w:val="subscript"/>
        </w:rPr>
        <w:t>2</w:t>
      </w:r>
      <w:r>
        <w:rPr>
          <w:rFonts w:ascii="Times New Roman" w:hAnsi="Times New Roman"/>
          <w:sz w:val="24"/>
          <w:szCs w:val="24"/>
        </w:rPr>
        <w:t>SO</w:t>
      </w:r>
      <w:r>
        <w:rPr>
          <w:rFonts w:ascii="Times New Roman" w:hAnsi="Times New Roman"/>
          <w:sz w:val="24"/>
          <w:szCs w:val="24"/>
          <w:vertAlign w:val="subscript"/>
        </w:rPr>
        <w:t>4</w:t>
      </w:r>
      <w:r>
        <w:rPr>
          <w:rFonts w:ascii="Times New Roman" w:hAnsi="Times New Roman"/>
          <w:sz w:val="24"/>
          <w:szCs w:val="24"/>
        </w:rPr>
        <w:t xml:space="preserve"> solution was used as the electrolyte, and a 500 W Xe lamp was used as the light source of reaction.  For working electrode, 5 mg of photocatalyst powders was grounded with 1 mL mixed solvents (water/ethanol) and 50 μL Nafion solution (~5%) to prepare the slurry, and then </w:t>
      </w:r>
      <w:r>
        <w:rPr>
          <w:rFonts w:ascii="Times New Roman" w:hAnsi="Times New Roman"/>
          <w:sz w:val="24"/>
          <w:szCs w:val="24"/>
          <w:lang w:val="pt-BR"/>
        </w:rPr>
        <w:t xml:space="preserve">kept under ultrasonication for 20 min. Afterward the </w:t>
      </w:r>
      <w:r>
        <w:rPr>
          <w:rFonts w:ascii="Times New Roman" w:hAnsi="Times New Roman"/>
          <w:sz w:val="24"/>
          <w:szCs w:val="24"/>
        </w:rPr>
        <w:t xml:space="preserve">as-prepared solution was doped on  glassy carbon electrode with diameter of 5 mm. </w:t>
      </w:r>
    </w:p>
    <w:p>
      <w:pPr>
        <w:kinsoku w:val="0"/>
        <w:spacing w:after="0" w:line="480" w:lineRule="auto"/>
        <w:jc w:val="both"/>
        <w:rPr>
          <w:rFonts w:ascii="Times New Roman" w:hAnsi="Times New Roman"/>
          <w:b/>
          <w:sz w:val="24"/>
          <w:szCs w:val="24"/>
        </w:rPr>
      </w:pPr>
    </w:p>
    <w:p>
      <w:pPr>
        <w:kinsoku w:val="0"/>
        <w:spacing w:after="0" w:line="480" w:lineRule="auto"/>
        <w:jc w:val="both"/>
        <w:rPr>
          <w:rFonts w:ascii="Times New Roman" w:hAnsi="Times New Roman"/>
          <w:b/>
          <w:sz w:val="24"/>
          <w:szCs w:val="24"/>
        </w:rPr>
      </w:pPr>
      <w:r>
        <w:rPr>
          <w:rFonts w:ascii="Times New Roman" w:hAnsi="Times New Roman"/>
          <w:b/>
          <w:sz w:val="24"/>
          <w:szCs w:val="24"/>
        </w:rPr>
        <w:t>Calculation detail</w:t>
      </w:r>
    </w:p>
    <w:p>
      <w:pPr>
        <w:spacing w:line="480" w:lineRule="auto"/>
        <w:ind w:firstLine="480" w:firstLineChars="200"/>
        <w:rPr>
          <w:rFonts w:ascii="Times New Roman" w:hAnsi="Times New Roman" w:eastAsia="楷体"/>
          <w:sz w:val="24"/>
          <w:szCs w:val="24"/>
        </w:rPr>
      </w:pPr>
      <w:r>
        <w:rPr>
          <w:rFonts w:ascii="Times New Roman" w:hAnsi="Times New Roman" w:eastAsia="楷体"/>
          <w:sz w:val="24"/>
          <w:szCs w:val="24"/>
        </w:rPr>
        <w:t xml:space="preserve">Density functional theory (DFT) calculations were performed with Vienna Ab Initio Simulation Package (VASP) </w:t>
      </w:r>
      <w:r>
        <w:rPr>
          <w:rFonts w:ascii="Times New Roman" w:hAnsi="Times New Roman" w:eastAsia="楷体"/>
          <w:sz w:val="24"/>
          <w:szCs w:val="24"/>
          <w:vertAlign w:val="superscript"/>
        </w:rPr>
        <w:t>[1]</w:t>
      </w:r>
      <w:r>
        <w:rPr>
          <w:rFonts w:ascii="Times New Roman" w:hAnsi="Times New Roman" w:eastAsia="楷体"/>
          <w:sz w:val="24"/>
          <w:szCs w:val="24"/>
        </w:rPr>
        <w:t xml:space="preserve"> using the GGA-PBE electron exchange-correlation functional.</w:t>
      </w:r>
      <w:r>
        <w:rPr>
          <w:rFonts w:ascii="Times New Roman" w:hAnsi="Times New Roman" w:eastAsia="楷体"/>
          <w:sz w:val="24"/>
          <w:szCs w:val="24"/>
          <w:vertAlign w:val="superscript"/>
        </w:rPr>
        <w:t>[2]</w:t>
      </w:r>
      <w:r>
        <w:rPr>
          <w:rFonts w:ascii="Times New Roman" w:hAnsi="Times New Roman" w:eastAsia="楷体"/>
          <w:sz w:val="24"/>
          <w:szCs w:val="24"/>
        </w:rPr>
        <w:t xml:space="preserve"> The projector augmented-wave (PAW) method was employed to represent the interaction between the ion cores and the valence electrons.</w:t>
      </w:r>
      <w:r>
        <w:rPr>
          <w:rFonts w:ascii="Times New Roman" w:hAnsi="Times New Roman" w:eastAsia="楷体"/>
          <w:sz w:val="24"/>
          <w:szCs w:val="24"/>
          <w:vertAlign w:val="superscript"/>
        </w:rPr>
        <w:t>[3]</w:t>
      </w:r>
      <w:r>
        <w:rPr>
          <w:rFonts w:ascii="Times New Roman" w:hAnsi="Times New Roman" w:eastAsia="楷体"/>
          <w:sz w:val="24"/>
          <w:szCs w:val="24"/>
        </w:rPr>
        <w:t xml:space="preserve"> The kinetic energy cutoff was set as 400 eV and electronic energies were converged within10</w:t>
      </w:r>
      <w:r>
        <w:rPr>
          <w:rFonts w:hint="eastAsia" w:ascii="Times New Roman" w:hAnsi="Times New Roman" w:eastAsia="微软雅黑"/>
          <w:sz w:val="24"/>
          <w:szCs w:val="24"/>
          <w:vertAlign w:val="superscript"/>
        </w:rPr>
        <w:t>-</w:t>
      </w:r>
      <w:r>
        <w:rPr>
          <w:rFonts w:ascii="Times New Roman" w:hAnsi="Times New Roman" w:eastAsia="楷体"/>
          <w:sz w:val="24"/>
          <w:szCs w:val="24"/>
          <w:vertAlign w:val="superscript"/>
        </w:rPr>
        <w:t>4</w:t>
      </w:r>
      <w:r>
        <w:rPr>
          <w:rFonts w:ascii="Times New Roman" w:hAnsi="Times New Roman" w:eastAsia="楷体"/>
          <w:sz w:val="24"/>
          <w:szCs w:val="24"/>
        </w:rPr>
        <w:t xml:space="preserve"> eV. All structures were relaxed until the forces acting over each atom were smaller than 0.05 eV/Å. In order to understand the surface activity of the SrTiO</w:t>
      </w:r>
      <w:r>
        <w:rPr>
          <w:rFonts w:ascii="Times New Roman" w:hAnsi="Times New Roman" w:eastAsia="楷体"/>
          <w:sz w:val="24"/>
          <w:szCs w:val="24"/>
          <w:vertAlign w:val="subscript"/>
        </w:rPr>
        <w:t>3</w:t>
      </w:r>
      <w:r>
        <w:rPr>
          <w:rFonts w:ascii="Times New Roman" w:hAnsi="Times New Roman" w:eastAsia="楷体"/>
          <w:sz w:val="24"/>
          <w:szCs w:val="24"/>
        </w:rPr>
        <w:t>-based catalyst towards water splitting, we initially prepared an undoped 2 × 2 SrTiO</w:t>
      </w:r>
      <w:r>
        <w:rPr>
          <w:rFonts w:ascii="Times New Roman" w:hAnsi="Times New Roman" w:eastAsia="楷体"/>
          <w:sz w:val="24"/>
          <w:szCs w:val="24"/>
          <w:vertAlign w:val="subscript"/>
        </w:rPr>
        <w:t>3</w:t>
      </w:r>
      <w:r>
        <w:rPr>
          <w:rFonts w:ascii="Times New Roman" w:hAnsi="Times New Roman" w:eastAsia="楷体"/>
          <w:sz w:val="24"/>
          <w:szCs w:val="24"/>
        </w:rPr>
        <w:t xml:space="preserve"> (100) slab consisting of five atomic layers. While the bottom two layers were fixed in the corresponding bulk position, the upper three layers were fully relaxed. The vacuum between slabs was 12 Å, in which a Gamma centered k-point mesh of 4×3×1 was included. Here, we mainly considered the TiO</w:t>
      </w:r>
      <w:r>
        <w:rPr>
          <w:rFonts w:ascii="Times New Roman" w:hAnsi="Times New Roman" w:eastAsia="楷体"/>
          <w:sz w:val="24"/>
          <w:szCs w:val="24"/>
          <w:vertAlign w:val="subscript"/>
        </w:rPr>
        <w:t>2</w:t>
      </w:r>
      <w:r>
        <w:rPr>
          <w:rFonts w:ascii="Times New Roman" w:hAnsi="Times New Roman" w:eastAsia="楷体"/>
          <w:sz w:val="24"/>
          <w:szCs w:val="24"/>
        </w:rPr>
        <w:t>-terminated surface rather than the SrO-terminated surface because the TiO</w:t>
      </w:r>
      <w:r>
        <w:rPr>
          <w:rFonts w:ascii="Times New Roman" w:hAnsi="Times New Roman" w:eastAsia="楷体"/>
          <w:sz w:val="24"/>
          <w:szCs w:val="24"/>
          <w:vertAlign w:val="subscript"/>
        </w:rPr>
        <w:t>2</w:t>
      </w:r>
      <w:r>
        <w:rPr>
          <w:rFonts w:ascii="Times New Roman" w:hAnsi="Times New Roman" w:eastAsia="楷体"/>
          <w:sz w:val="24"/>
          <w:szCs w:val="24"/>
        </w:rPr>
        <w:t>-terminated surface is thought to be more catalytically active than its SrO-terminated counterpart.</w:t>
      </w:r>
      <w:r>
        <w:rPr>
          <w:rFonts w:ascii="Times New Roman" w:hAnsi="Times New Roman" w:eastAsia="楷体"/>
          <w:sz w:val="24"/>
          <w:szCs w:val="24"/>
          <w:vertAlign w:val="superscript"/>
        </w:rPr>
        <w:t xml:space="preserve"> [4]</w:t>
      </w:r>
      <w:r>
        <w:rPr>
          <w:rFonts w:ascii="Times New Roman" w:hAnsi="Times New Roman" w:eastAsia="楷体"/>
          <w:sz w:val="24"/>
          <w:szCs w:val="24"/>
        </w:rPr>
        <w:t xml:space="preserve"> For different doped cases, the electronic structures of doped systems are mainly associated with the radius of cationic dopants as well as the electronegativity of elements.</w:t>
      </w:r>
      <w:r>
        <w:rPr>
          <w:rFonts w:ascii="Times New Roman" w:hAnsi="Times New Roman" w:eastAsia="楷体"/>
          <w:sz w:val="24"/>
          <w:szCs w:val="24"/>
          <w:vertAlign w:val="superscript"/>
        </w:rPr>
        <w:t>[5, 6]</w:t>
      </w:r>
      <w:r>
        <w:rPr>
          <w:rFonts w:ascii="Times New Roman" w:hAnsi="Times New Roman" w:eastAsia="楷体"/>
          <w:sz w:val="24"/>
          <w:szCs w:val="24"/>
        </w:rPr>
        <w:t xml:space="preserve"> The radius of cations of La</w:t>
      </w:r>
      <w:r>
        <w:rPr>
          <w:rFonts w:ascii="Times New Roman" w:hAnsi="Times New Roman" w:eastAsia="楷体"/>
          <w:sz w:val="24"/>
          <w:szCs w:val="24"/>
          <w:vertAlign w:val="superscript"/>
        </w:rPr>
        <w:t>3+</w:t>
      </w:r>
      <w:r>
        <w:rPr>
          <w:rFonts w:ascii="Times New Roman" w:hAnsi="Times New Roman" w:eastAsia="楷体"/>
          <w:sz w:val="24"/>
          <w:szCs w:val="24"/>
        </w:rPr>
        <w:t xml:space="preserve"> is 1.03 Å, which is close to that of Sr</w:t>
      </w:r>
      <w:r>
        <w:rPr>
          <w:rFonts w:ascii="Times New Roman" w:hAnsi="Times New Roman" w:eastAsia="楷体"/>
          <w:sz w:val="24"/>
          <w:szCs w:val="24"/>
          <w:vertAlign w:val="superscript"/>
        </w:rPr>
        <w:t>2+</w:t>
      </w:r>
      <w:r>
        <w:rPr>
          <w:rFonts w:ascii="Times New Roman" w:hAnsi="Times New Roman" w:eastAsia="楷体"/>
          <w:sz w:val="24"/>
          <w:szCs w:val="24"/>
        </w:rPr>
        <w:t xml:space="preserve"> (1.18 Å). The electronegativity of La is 1.10, which is close to that of Sr (0.95). Similarly, the radius of cations Nb</w:t>
      </w:r>
      <w:r>
        <w:rPr>
          <w:rFonts w:ascii="Times New Roman" w:hAnsi="Times New Roman" w:eastAsia="楷体"/>
          <w:sz w:val="24"/>
          <w:szCs w:val="24"/>
          <w:vertAlign w:val="superscript"/>
        </w:rPr>
        <w:t>5+</w:t>
      </w:r>
      <w:r>
        <w:rPr>
          <w:rFonts w:ascii="Times New Roman" w:hAnsi="Times New Roman" w:eastAsia="楷体"/>
          <w:sz w:val="24"/>
          <w:szCs w:val="24"/>
        </w:rPr>
        <w:t xml:space="preserve"> (0.64 Å) is close to that of Ti</w:t>
      </w:r>
      <w:r>
        <w:rPr>
          <w:rFonts w:ascii="Times New Roman" w:hAnsi="Times New Roman" w:eastAsia="楷体"/>
          <w:sz w:val="24"/>
          <w:szCs w:val="24"/>
          <w:vertAlign w:val="superscript"/>
        </w:rPr>
        <w:t>4+</w:t>
      </w:r>
      <w:r>
        <w:rPr>
          <w:rFonts w:ascii="Times New Roman" w:hAnsi="Times New Roman" w:eastAsia="楷体"/>
          <w:sz w:val="24"/>
          <w:szCs w:val="24"/>
        </w:rPr>
        <w:t xml:space="preserve"> (0.61 Å), and the electronegativity of Nb (1.60) is close to that of Ti (1.54). For La-SrTiO</w:t>
      </w:r>
      <w:r>
        <w:rPr>
          <w:rFonts w:ascii="Times New Roman" w:hAnsi="Times New Roman" w:eastAsia="楷体"/>
          <w:sz w:val="24"/>
          <w:szCs w:val="24"/>
          <w:vertAlign w:val="subscript"/>
        </w:rPr>
        <w:t>3</w:t>
      </w:r>
      <w:r>
        <w:rPr>
          <w:rFonts w:ascii="Times New Roman" w:hAnsi="Times New Roman" w:eastAsia="楷体"/>
          <w:sz w:val="24"/>
          <w:szCs w:val="24"/>
        </w:rPr>
        <w:t xml:space="preserve"> and Nb-SrTiO</w:t>
      </w:r>
      <w:r>
        <w:rPr>
          <w:rFonts w:ascii="Times New Roman" w:hAnsi="Times New Roman" w:eastAsia="楷体"/>
          <w:sz w:val="24"/>
          <w:szCs w:val="24"/>
          <w:vertAlign w:val="subscript"/>
        </w:rPr>
        <w:t xml:space="preserve">3 </w:t>
      </w:r>
      <w:r>
        <w:rPr>
          <w:rFonts w:ascii="Times New Roman" w:hAnsi="Times New Roman" w:eastAsia="楷体"/>
          <w:sz w:val="24"/>
          <w:szCs w:val="24"/>
        </w:rPr>
        <w:t>stuctures, Sr</w:t>
      </w:r>
      <w:r>
        <w:rPr>
          <w:rFonts w:ascii="Times New Roman" w:hAnsi="Times New Roman" w:eastAsia="楷体"/>
          <w:sz w:val="24"/>
          <w:szCs w:val="24"/>
          <w:vertAlign w:val="superscript"/>
        </w:rPr>
        <w:t>2+</w:t>
      </w:r>
      <w:r>
        <w:rPr>
          <w:rFonts w:ascii="Times New Roman" w:hAnsi="Times New Roman" w:eastAsia="楷体"/>
          <w:sz w:val="24"/>
          <w:szCs w:val="24"/>
        </w:rPr>
        <w:t xml:space="preserve"> or Ti</w:t>
      </w:r>
      <w:r>
        <w:rPr>
          <w:rFonts w:ascii="Times New Roman" w:hAnsi="Times New Roman" w:eastAsia="楷体"/>
          <w:sz w:val="24"/>
          <w:szCs w:val="24"/>
          <w:vertAlign w:val="superscript"/>
        </w:rPr>
        <w:t>4+</w:t>
      </w:r>
      <w:r>
        <w:rPr>
          <w:rFonts w:ascii="Times New Roman" w:hAnsi="Times New Roman" w:eastAsia="楷体"/>
          <w:sz w:val="24"/>
          <w:szCs w:val="24"/>
        </w:rPr>
        <w:t xml:space="preserve"> cation near the surface region of the undoped SrTiO</w:t>
      </w:r>
      <w:r>
        <w:rPr>
          <w:rFonts w:ascii="Times New Roman" w:hAnsi="Times New Roman" w:eastAsia="楷体"/>
          <w:sz w:val="24"/>
          <w:szCs w:val="24"/>
          <w:vertAlign w:val="subscript"/>
        </w:rPr>
        <w:t>3</w:t>
      </w:r>
      <w:r>
        <w:rPr>
          <w:rFonts w:ascii="Times New Roman" w:hAnsi="Times New Roman" w:eastAsia="楷体"/>
          <w:sz w:val="24"/>
          <w:szCs w:val="24"/>
        </w:rPr>
        <w:t xml:space="preserve"> (100) slab is preferred to be replaced with La</w:t>
      </w:r>
      <w:r>
        <w:rPr>
          <w:rFonts w:ascii="Times New Roman" w:hAnsi="Times New Roman" w:eastAsia="楷体"/>
          <w:sz w:val="24"/>
          <w:szCs w:val="24"/>
          <w:vertAlign w:val="superscript"/>
        </w:rPr>
        <w:t>3+</w:t>
      </w:r>
      <w:r>
        <w:rPr>
          <w:rFonts w:ascii="Times New Roman" w:hAnsi="Times New Roman" w:eastAsia="楷体"/>
          <w:sz w:val="24"/>
          <w:szCs w:val="24"/>
        </w:rPr>
        <w:t xml:space="preserve"> or Nb</w:t>
      </w:r>
      <w:r>
        <w:rPr>
          <w:rFonts w:ascii="Times New Roman" w:hAnsi="Times New Roman" w:eastAsia="楷体"/>
          <w:sz w:val="24"/>
          <w:szCs w:val="24"/>
          <w:vertAlign w:val="superscript"/>
        </w:rPr>
        <w:t>5+</w:t>
      </w:r>
      <w:r>
        <w:rPr>
          <w:rFonts w:ascii="Times New Roman" w:hAnsi="Times New Roman" w:eastAsia="楷体"/>
          <w:sz w:val="24"/>
          <w:szCs w:val="24"/>
        </w:rPr>
        <w:t>, respectively. TiO</w:t>
      </w:r>
      <w:r>
        <w:rPr>
          <w:rFonts w:ascii="Times New Roman" w:hAnsi="Times New Roman" w:eastAsia="楷体"/>
          <w:sz w:val="24"/>
          <w:szCs w:val="24"/>
          <w:vertAlign w:val="subscript"/>
        </w:rPr>
        <w:t>2</w:t>
      </w:r>
      <w:r>
        <w:rPr>
          <w:rFonts w:ascii="Times New Roman" w:hAnsi="Times New Roman" w:eastAsia="楷体"/>
          <w:sz w:val="24"/>
          <w:szCs w:val="24"/>
        </w:rPr>
        <w:t>-terminated SrTiO</w:t>
      </w:r>
      <w:r>
        <w:rPr>
          <w:rFonts w:ascii="Times New Roman" w:hAnsi="Times New Roman" w:eastAsia="楷体"/>
          <w:sz w:val="24"/>
          <w:szCs w:val="24"/>
          <w:vertAlign w:val="subscript"/>
        </w:rPr>
        <w:t>3</w:t>
      </w:r>
      <w:r>
        <w:rPr>
          <w:rFonts w:ascii="Times New Roman" w:hAnsi="Times New Roman" w:eastAsia="楷体"/>
          <w:sz w:val="24"/>
          <w:szCs w:val="24"/>
        </w:rPr>
        <w:t xml:space="preserve"> (100) surface with two atomic layers is used to represent 2D-SrTiO</w:t>
      </w:r>
      <w:r>
        <w:rPr>
          <w:rFonts w:ascii="Times New Roman" w:hAnsi="Times New Roman" w:eastAsia="楷体"/>
          <w:sz w:val="24"/>
          <w:szCs w:val="24"/>
          <w:vertAlign w:val="subscript"/>
        </w:rPr>
        <w:t>3</w:t>
      </w:r>
      <w:r>
        <w:rPr>
          <w:rFonts w:ascii="Times New Roman" w:hAnsi="Times New Roman" w:eastAsia="楷体"/>
          <w:sz w:val="24"/>
          <w:szCs w:val="24"/>
        </w:rPr>
        <w:t>, in which one Ti atom on the surface is substituted by the Nb atom to form</w:t>
      </w:r>
      <w:r>
        <w:rPr>
          <w:rFonts w:hint="eastAsia" w:ascii="Times New Roman" w:hAnsi="Times New Roman" w:eastAsia="楷体"/>
          <w:sz w:val="24"/>
          <w:szCs w:val="24"/>
        </w:rPr>
        <w:t xml:space="preserve"> </w:t>
      </w:r>
      <w:r>
        <w:rPr>
          <w:rFonts w:ascii="Times New Roman" w:hAnsi="Times New Roman" w:eastAsia="楷体"/>
          <w:sz w:val="24"/>
          <w:szCs w:val="24"/>
        </w:rPr>
        <w:t>2D-Nb-SrTiO</w:t>
      </w:r>
      <w:r>
        <w:rPr>
          <w:rFonts w:ascii="Times New Roman" w:hAnsi="Times New Roman" w:eastAsia="楷体"/>
          <w:sz w:val="24"/>
          <w:szCs w:val="24"/>
          <w:vertAlign w:val="subscript"/>
        </w:rPr>
        <w:t>3</w:t>
      </w:r>
      <w:r>
        <w:rPr>
          <w:rFonts w:ascii="Times New Roman" w:hAnsi="Times New Roman" w:eastAsia="楷体"/>
          <w:sz w:val="24"/>
          <w:szCs w:val="24"/>
        </w:rPr>
        <w:t xml:space="preserve"> structure.</w:t>
      </w:r>
    </w:p>
    <w:p>
      <w:pPr>
        <w:spacing w:line="480" w:lineRule="auto"/>
        <w:ind w:firstLine="480" w:firstLineChars="200"/>
        <w:rPr>
          <w:rFonts w:ascii="Times New Roman" w:hAnsi="Times New Roman" w:eastAsia="楷体"/>
          <w:sz w:val="24"/>
          <w:szCs w:val="24"/>
        </w:rPr>
      </w:pPr>
      <w:r>
        <w:rPr>
          <w:rFonts w:ascii="Times New Roman" w:hAnsi="Times New Roman" w:eastAsia="楷体"/>
          <w:sz w:val="24"/>
          <w:szCs w:val="24"/>
        </w:rPr>
        <w:t>The adsorption energy of surface species is calculated by</w:t>
      </w:r>
    </w:p>
    <w:p>
      <w:pPr>
        <w:spacing w:line="480" w:lineRule="auto"/>
        <w:rPr>
          <w:rFonts w:ascii="Times New Roman" w:hAnsi="Times New Roman" w:eastAsia="楷体"/>
          <w:sz w:val="24"/>
          <w:szCs w:val="24"/>
        </w:rPr>
      </w:pPr>
      <w:r>
        <w:rPr>
          <w:rFonts w:ascii="Times New Roman" w:hAnsi="Times New Roman" w:eastAsia="楷体"/>
          <w:sz w:val="24"/>
          <w:szCs w:val="24"/>
        </w:rPr>
        <w:t>E</w:t>
      </w:r>
      <w:r>
        <w:rPr>
          <w:rFonts w:ascii="Times New Roman" w:hAnsi="Times New Roman" w:eastAsia="楷体"/>
          <w:sz w:val="24"/>
          <w:szCs w:val="24"/>
          <w:vertAlign w:val="subscript"/>
        </w:rPr>
        <w:t>ad</w:t>
      </w:r>
      <w:r>
        <w:rPr>
          <w:rFonts w:ascii="Times New Roman" w:hAnsi="Times New Roman" w:eastAsia="楷体"/>
          <w:sz w:val="24"/>
          <w:szCs w:val="24"/>
        </w:rPr>
        <w:t>(x) = E(sur) + E(x) – E(x + sur)</w:t>
      </w:r>
    </w:p>
    <w:p>
      <w:pPr>
        <w:spacing w:line="480" w:lineRule="auto"/>
        <w:rPr>
          <w:rFonts w:ascii="Times New Roman" w:hAnsi="Times New Roman" w:eastAsia="楷体"/>
          <w:sz w:val="24"/>
          <w:szCs w:val="24"/>
        </w:rPr>
      </w:pPr>
      <w:r>
        <w:rPr>
          <w:rFonts w:ascii="Times New Roman" w:hAnsi="Times New Roman" w:eastAsia="楷体"/>
          <w:sz w:val="24"/>
          <w:szCs w:val="24"/>
        </w:rPr>
        <w:t>where E</w:t>
      </w:r>
      <w:r>
        <w:rPr>
          <w:rFonts w:ascii="Times New Roman" w:hAnsi="Times New Roman" w:eastAsia="楷体"/>
          <w:sz w:val="24"/>
          <w:szCs w:val="24"/>
          <w:vertAlign w:val="subscript"/>
        </w:rPr>
        <w:t>ad</w:t>
      </w:r>
      <w:r>
        <w:rPr>
          <w:rFonts w:ascii="Times New Roman" w:hAnsi="Times New Roman" w:eastAsia="楷体"/>
          <w:sz w:val="24"/>
          <w:szCs w:val="24"/>
        </w:rPr>
        <w:t xml:space="preserve">(x) is the adsorption energy per x relative to the energy of the clean surface E(sur) and the energy of E(x); E(x + sur) is the energy of the surface covered by x. </w:t>
      </w:r>
    </w:p>
    <w:p>
      <w:pPr>
        <w:spacing w:line="480" w:lineRule="auto"/>
        <w:rPr>
          <w:rFonts w:ascii="Times New Roman" w:hAnsi="Times New Roman" w:eastAsia="楷体"/>
          <w:sz w:val="24"/>
          <w:szCs w:val="24"/>
        </w:rPr>
      </w:pPr>
    </w:p>
    <w:p>
      <w:pPr>
        <w:spacing w:line="480" w:lineRule="auto"/>
        <w:rPr>
          <w:rFonts w:ascii="Times New Roman" w:hAnsi="Times New Roman" w:eastAsia="楷体"/>
          <w:sz w:val="24"/>
          <w:szCs w:val="24"/>
        </w:rPr>
      </w:pPr>
      <w:r>
        <w:rPr>
          <w:rFonts w:ascii="Times New Roman" w:hAnsi="Times New Roman" w:eastAsia="楷体"/>
          <w:sz w:val="24"/>
          <w:szCs w:val="24"/>
        </w:rPr>
        <w:drawing>
          <wp:inline distT="0" distB="0" distL="0" distR="0">
            <wp:extent cx="5111115" cy="2214880"/>
            <wp:effectExtent l="0" t="0" r="0" b="0"/>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111115" cy="2214880"/>
                    </a:xfrm>
                    <a:prstGeom prst="rect">
                      <a:avLst/>
                    </a:prstGeom>
                    <a:noFill/>
                    <a:ln>
                      <a:noFill/>
                    </a:ln>
                  </pic:spPr>
                </pic:pic>
              </a:graphicData>
            </a:graphic>
          </wp:inline>
        </w:drawing>
      </w:r>
    </w:p>
    <w:p>
      <w:pPr>
        <w:spacing w:line="480" w:lineRule="auto"/>
        <w:rPr>
          <w:rFonts w:ascii="Times New Roman" w:hAnsi="Times New Roman" w:eastAsia="楷体"/>
          <w:sz w:val="24"/>
          <w:szCs w:val="24"/>
        </w:rPr>
      </w:pPr>
    </w:p>
    <w:p>
      <w:pPr>
        <w:spacing w:line="480" w:lineRule="auto"/>
        <w:rPr>
          <w:rFonts w:ascii="Times New Roman" w:hAnsi="Times New Roman" w:eastAsia="楷体"/>
          <w:b/>
          <w:sz w:val="24"/>
          <w:szCs w:val="24"/>
        </w:rPr>
      </w:pPr>
      <w:r>
        <w:rPr>
          <w:rFonts w:ascii="Times New Roman" w:hAnsi="Times New Roman" w:eastAsia="楷体"/>
          <w:b/>
          <w:sz w:val="24"/>
          <w:szCs w:val="24"/>
        </w:rPr>
        <w:t>Reference</w:t>
      </w:r>
    </w:p>
    <w:p>
      <w:pPr>
        <w:spacing w:line="480" w:lineRule="auto"/>
        <w:rPr>
          <w:rFonts w:ascii="Times New Roman" w:hAnsi="Times New Roman" w:eastAsia="楷体"/>
          <w:sz w:val="24"/>
          <w:szCs w:val="24"/>
        </w:rPr>
      </w:pPr>
      <w:r>
        <w:rPr>
          <w:rFonts w:hint="eastAsia" w:ascii="Times New Roman" w:hAnsi="Times New Roman" w:eastAsia="楷体"/>
          <w:sz w:val="24"/>
          <w:szCs w:val="24"/>
        </w:rPr>
        <w:t>[</w:t>
      </w:r>
      <w:r>
        <w:rPr>
          <w:rFonts w:ascii="Times New Roman" w:hAnsi="Times New Roman" w:eastAsia="楷体"/>
          <w:sz w:val="24"/>
          <w:szCs w:val="24"/>
        </w:rPr>
        <w:t>1</w:t>
      </w:r>
      <w:r>
        <w:rPr>
          <w:rFonts w:hint="eastAsia" w:ascii="Times New Roman" w:hAnsi="Times New Roman" w:eastAsia="楷体"/>
          <w:sz w:val="24"/>
          <w:szCs w:val="24"/>
        </w:rPr>
        <w:t>]</w:t>
      </w:r>
      <w:r>
        <w:rPr>
          <w:rFonts w:ascii="Times New Roman" w:hAnsi="Times New Roman" w:eastAsia="楷体"/>
          <w:sz w:val="24"/>
          <w:szCs w:val="24"/>
        </w:rPr>
        <w:t xml:space="preserve"> Fuchs M, Scheffler M</w:t>
      </w:r>
      <w:r>
        <w:rPr>
          <w:rFonts w:hint="eastAsia" w:ascii="Times New Roman" w:hAnsi="Times New Roman" w:eastAsia="楷体"/>
          <w:sz w:val="24"/>
          <w:szCs w:val="24"/>
        </w:rPr>
        <w:t xml:space="preserve"> (1999) </w:t>
      </w:r>
      <w:r>
        <w:rPr>
          <w:rFonts w:ascii="Times New Roman" w:hAnsi="Times New Roman" w:eastAsia="楷体"/>
          <w:sz w:val="24"/>
          <w:szCs w:val="24"/>
        </w:rPr>
        <w:t>Ab initio pseudopotentials for electronic structure calculations of poly-atomic systems using density-functional theory</w:t>
      </w:r>
      <w:r>
        <w:rPr>
          <w:rFonts w:hint="eastAsia" w:ascii="Times New Roman" w:hAnsi="Times New Roman" w:eastAsia="楷体"/>
          <w:sz w:val="24"/>
          <w:szCs w:val="24"/>
        </w:rPr>
        <w:t>.</w:t>
      </w:r>
      <w:r>
        <w:rPr>
          <w:rFonts w:ascii="Times New Roman" w:hAnsi="Times New Roman" w:eastAsia="楷体"/>
          <w:sz w:val="24"/>
          <w:szCs w:val="24"/>
        </w:rPr>
        <w:t xml:space="preserve"> Comput</w:t>
      </w:r>
      <w:r>
        <w:rPr>
          <w:rFonts w:hint="eastAsia" w:ascii="Times New Roman" w:hAnsi="Times New Roman" w:eastAsia="楷体"/>
          <w:sz w:val="24"/>
          <w:szCs w:val="24"/>
        </w:rPr>
        <w:t xml:space="preserve"> </w:t>
      </w:r>
      <w:r>
        <w:rPr>
          <w:rFonts w:ascii="Times New Roman" w:hAnsi="Times New Roman" w:eastAsia="楷体"/>
          <w:sz w:val="24"/>
          <w:szCs w:val="24"/>
        </w:rPr>
        <w:t>Phys</w:t>
      </w:r>
      <w:r>
        <w:rPr>
          <w:rFonts w:hint="eastAsia" w:ascii="Times New Roman" w:hAnsi="Times New Roman" w:eastAsia="楷体"/>
          <w:sz w:val="24"/>
          <w:szCs w:val="24"/>
        </w:rPr>
        <w:t xml:space="preserve"> </w:t>
      </w:r>
      <w:r>
        <w:rPr>
          <w:rFonts w:ascii="Times New Roman" w:hAnsi="Times New Roman" w:eastAsia="楷体"/>
          <w:sz w:val="24"/>
          <w:szCs w:val="24"/>
        </w:rPr>
        <w:t>Commun</w:t>
      </w:r>
      <w:r>
        <w:rPr>
          <w:rFonts w:hint="eastAsia" w:ascii="Times New Roman" w:hAnsi="Times New Roman" w:eastAsia="楷体"/>
          <w:sz w:val="24"/>
          <w:szCs w:val="24"/>
        </w:rPr>
        <w:t xml:space="preserve"> 19: 67-98.</w:t>
      </w:r>
    </w:p>
    <w:p>
      <w:pPr>
        <w:spacing w:line="480" w:lineRule="auto"/>
        <w:rPr>
          <w:rFonts w:hint="default" w:ascii="Times New Roman" w:hAnsi="Times New Roman" w:eastAsia="楷体"/>
          <w:sz w:val="24"/>
          <w:szCs w:val="24"/>
          <w:lang w:val="en-US"/>
        </w:rPr>
      </w:pPr>
      <w:r>
        <w:rPr>
          <w:rFonts w:hint="eastAsia" w:ascii="Times New Roman" w:hAnsi="Times New Roman" w:eastAsia="楷体"/>
          <w:sz w:val="24"/>
          <w:szCs w:val="24"/>
        </w:rPr>
        <w:t>[2]</w:t>
      </w:r>
      <w:r>
        <w:rPr>
          <w:rFonts w:hint="default" w:ascii="Times New Roman" w:hAnsi="Times New Roman" w:eastAsia="楷体"/>
          <w:sz w:val="24"/>
          <w:szCs w:val="24"/>
          <w:lang w:val="en-US" w:eastAsia="zh-CN"/>
        </w:rPr>
        <w:t xml:space="preserve"> Li</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G</w:t>
      </w:r>
      <w:r>
        <w:rPr>
          <w:rFonts w:hint="eastAsia" w:ascii="Times New Roman" w:hAnsi="Times New Roman" w:eastAsia="楷体"/>
          <w:sz w:val="24"/>
          <w:szCs w:val="24"/>
          <w:lang w:val="en-US" w:eastAsia="zh-CN"/>
        </w:rPr>
        <w:t>,</w:t>
      </w:r>
      <w:r>
        <w:rPr>
          <w:rFonts w:hint="default" w:ascii="Times New Roman" w:hAnsi="Times New Roman" w:eastAsia="楷体"/>
          <w:sz w:val="24"/>
          <w:szCs w:val="24"/>
          <w:lang w:val="en-US" w:eastAsia="zh-CN"/>
        </w:rPr>
        <w:t xml:space="preserve"> Dang</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C, Hou</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Y, Dang</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F, Fan</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Y,</w:t>
      </w:r>
      <w:r>
        <w:rPr>
          <w:rFonts w:hint="eastAsia" w:ascii="Times New Roman" w:hAnsi="Times New Roman" w:eastAsia="楷体"/>
          <w:sz w:val="24"/>
          <w:szCs w:val="24"/>
          <w:lang w:val="en-US" w:eastAsia="zh-CN"/>
        </w:rPr>
        <w:t xml:space="preserve"> </w:t>
      </w:r>
      <w:r>
        <w:rPr>
          <w:rFonts w:hint="default" w:ascii="Times New Roman" w:hAnsi="Times New Roman" w:eastAsia="楷体"/>
          <w:sz w:val="24"/>
          <w:szCs w:val="24"/>
          <w:lang w:val="en-US" w:eastAsia="zh-CN"/>
        </w:rPr>
        <w:t>Guo Z</w:t>
      </w:r>
      <w:r>
        <w:rPr>
          <w:rFonts w:hint="eastAsia" w:ascii="Times New Roman" w:hAnsi="Times New Roman" w:eastAsia="楷体"/>
          <w:sz w:val="24"/>
          <w:szCs w:val="24"/>
          <w:lang w:val="en-US" w:eastAsia="zh-CN"/>
        </w:rPr>
        <w:t xml:space="preserve"> (2020) Experimental and Theoretical Characteristic of Single Atom Co-N-C Catalyst for Li-O</w:t>
      </w:r>
      <w:r>
        <w:rPr>
          <w:rFonts w:hint="eastAsia" w:ascii="Times New Roman" w:hAnsi="Times New Roman" w:eastAsia="楷体"/>
          <w:sz w:val="24"/>
          <w:szCs w:val="24"/>
          <w:vertAlign w:val="subscript"/>
          <w:lang w:val="en-US" w:eastAsia="zh-CN"/>
        </w:rPr>
        <w:t>2</w:t>
      </w:r>
      <w:r>
        <w:rPr>
          <w:rFonts w:hint="eastAsia" w:ascii="Times New Roman" w:hAnsi="Times New Roman" w:eastAsia="楷体"/>
          <w:sz w:val="24"/>
          <w:szCs w:val="24"/>
          <w:lang w:val="en-US" w:eastAsia="zh-CN"/>
        </w:rPr>
        <w:t xml:space="preserve"> Batteries. Eng Sci 10, 85-94.</w:t>
      </w:r>
    </w:p>
    <w:p>
      <w:pPr>
        <w:spacing w:line="480" w:lineRule="auto"/>
        <w:rPr>
          <w:rFonts w:ascii="Times New Roman" w:hAnsi="Times New Roman" w:eastAsia="楷体"/>
          <w:sz w:val="24"/>
          <w:szCs w:val="24"/>
        </w:rPr>
      </w:pPr>
      <w:r>
        <w:rPr>
          <w:rFonts w:hint="eastAsia" w:ascii="Times New Roman" w:hAnsi="Times New Roman" w:eastAsia="楷体"/>
          <w:sz w:val="24"/>
          <w:szCs w:val="24"/>
        </w:rPr>
        <w:t>[</w:t>
      </w:r>
      <w:r>
        <w:rPr>
          <w:rFonts w:ascii="Times New Roman" w:hAnsi="Times New Roman" w:eastAsia="楷体"/>
          <w:sz w:val="24"/>
          <w:szCs w:val="24"/>
        </w:rPr>
        <w:t>3</w:t>
      </w:r>
      <w:r>
        <w:rPr>
          <w:rFonts w:hint="eastAsia" w:ascii="Times New Roman" w:hAnsi="Times New Roman" w:eastAsia="楷体"/>
          <w:sz w:val="24"/>
          <w:szCs w:val="24"/>
        </w:rPr>
        <w:t>]</w:t>
      </w:r>
      <w:r>
        <w:rPr>
          <w:rFonts w:ascii="Times New Roman" w:hAnsi="Times New Roman" w:eastAsia="楷体"/>
          <w:sz w:val="24"/>
          <w:szCs w:val="24"/>
        </w:rPr>
        <w:t xml:space="preserve"> Kresse G, Joubert D, Condens. Kresse G, Joubert D</w:t>
      </w:r>
      <w:r>
        <w:rPr>
          <w:rFonts w:hint="eastAsia" w:ascii="Times New Roman" w:hAnsi="Times New Roman" w:eastAsia="楷体"/>
          <w:sz w:val="24"/>
          <w:szCs w:val="24"/>
        </w:rPr>
        <w:t xml:space="preserve"> (1999) </w:t>
      </w:r>
      <w:r>
        <w:rPr>
          <w:rFonts w:ascii="Times New Roman" w:hAnsi="Times New Roman" w:eastAsia="楷体"/>
          <w:sz w:val="24"/>
          <w:szCs w:val="24"/>
        </w:rPr>
        <w:t>From ultrasoft pseudopotentials to the projector augmented-wave method</w:t>
      </w:r>
      <w:r>
        <w:rPr>
          <w:rFonts w:hint="eastAsia" w:ascii="Times New Roman" w:hAnsi="Times New Roman" w:eastAsia="楷体"/>
          <w:sz w:val="24"/>
          <w:szCs w:val="24"/>
        </w:rPr>
        <w:t xml:space="preserve">. </w:t>
      </w:r>
      <w:r>
        <w:rPr>
          <w:rFonts w:ascii="Times New Roman" w:hAnsi="Times New Roman" w:eastAsia="楷体"/>
          <w:sz w:val="24"/>
          <w:szCs w:val="24"/>
        </w:rPr>
        <w:t>Phys</w:t>
      </w:r>
      <w:r>
        <w:rPr>
          <w:rFonts w:hint="eastAsia" w:ascii="Times New Roman" w:hAnsi="Times New Roman" w:eastAsia="楷体"/>
          <w:sz w:val="24"/>
          <w:szCs w:val="24"/>
        </w:rPr>
        <w:t xml:space="preserve"> </w:t>
      </w:r>
      <w:r>
        <w:rPr>
          <w:rFonts w:ascii="Times New Roman" w:hAnsi="Times New Roman" w:eastAsia="楷体"/>
          <w:sz w:val="24"/>
          <w:szCs w:val="24"/>
        </w:rPr>
        <w:t>Rev</w:t>
      </w:r>
      <w:r>
        <w:rPr>
          <w:rFonts w:hint="eastAsia" w:ascii="Times New Roman" w:hAnsi="Times New Roman" w:eastAsia="楷体"/>
          <w:sz w:val="24"/>
          <w:szCs w:val="24"/>
        </w:rPr>
        <w:t xml:space="preserve"> </w:t>
      </w:r>
      <w:r>
        <w:rPr>
          <w:rFonts w:ascii="Times New Roman" w:hAnsi="Times New Roman" w:eastAsia="楷体"/>
          <w:sz w:val="24"/>
          <w:szCs w:val="24"/>
        </w:rPr>
        <w:t>B</w:t>
      </w:r>
      <w:r>
        <w:rPr>
          <w:rFonts w:hint="eastAsia" w:ascii="Times New Roman" w:hAnsi="Times New Roman" w:eastAsia="楷体"/>
          <w:sz w:val="24"/>
          <w:szCs w:val="24"/>
        </w:rPr>
        <w:t xml:space="preserve"> </w:t>
      </w:r>
      <w:r>
        <w:rPr>
          <w:rFonts w:ascii="Times New Roman" w:hAnsi="Times New Roman" w:eastAsia="楷体"/>
          <w:sz w:val="24"/>
          <w:szCs w:val="24"/>
        </w:rPr>
        <w:t>59</w:t>
      </w:r>
      <w:r>
        <w:rPr>
          <w:rFonts w:hint="eastAsia" w:ascii="Times New Roman" w:hAnsi="Times New Roman" w:eastAsia="楷体"/>
          <w:sz w:val="24"/>
          <w:szCs w:val="24"/>
        </w:rPr>
        <w:t>:</w:t>
      </w:r>
      <w:r>
        <w:rPr>
          <w:rFonts w:ascii="Times New Roman" w:hAnsi="Times New Roman" w:eastAsia="楷体"/>
          <w:sz w:val="24"/>
          <w:szCs w:val="24"/>
        </w:rPr>
        <w:t xml:space="preserve"> 1758.</w:t>
      </w:r>
    </w:p>
    <w:p>
      <w:pPr>
        <w:spacing w:line="480" w:lineRule="auto"/>
        <w:rPr>
          <w:rFonts w:ascii="Times New Roman" w:hAnsi="Times New Roman" w:eastAsia="楷体"/>
          <w:sz w:val="24"/>
          <w:szCs w:val="24"/>
        </w:rPr>
      </w:pPr>
      <w:r>
        <w:rPr>
          <w:rFonts w:hint="eastAsia" w:ascii="Times New Roman" w:hAnsi="Times New Roman" w:eastAsia="楷体"/>
          <w:sz w:val="24"/>
          <w:szCs w:val="24"/>
        </w:rPr>
        <w:t>[</w:t>
      </w:r>
      <w:r>
        <w:rPr>
          <w:rFonts w:ascii="Times New Roman" w:hAnsi="Times New Roman" w:eastAsia="楷体"/>
          <w:sz w:val="24"/>
          <w:szCs w:val="24"/>
        </w:rPr>
        <w:t>4</w:t>
      </w:r>
      <w:r>
        <w:rPr>
          <w:rFonts w:hint="eastAsia" w:ascii="Times New Roman" w:hAnsi="Times New Roman" w:eastAsia="楷体"/>
          <w:sz w:val="24"/>
          <w:szCs w:val="24"/>
        </w:rPr>
        <w:t>]</w:t>
      </w:r>
      <w:r>
        <w:rPr>
          <w:rFonts w:ascii="Times New Roman" w:hAnsi="Times New Roman" w:eastAsia="楷体"/>
          <w:sz w:val="24"/>
          <w:szCs w:val="24"/>
        </w:rPr>
        <w:t xml:space="preserve"> </w:t>
      </w:r>
      <w:r>
        <w:rPr>
          <w:rFonts w:hint="eastAsia" w:ascii="Times New Roman" w:hAnsi="Times New Roman" w:eastAsia="楷体"/>
          <w:sz w:val="24"/>
          <w:szCs w:val="24"/>
        </w:rPr>
        <w:t>Lim</w:t>
      </w:r>
      <w:r>
        <w:rPr>
          <w:rFonts w:ascii="Times New Roman" w:hAnsi="Times New Roman" w:eastAsia="楷体"/>
          <w:sz w:val="24"/>
          <w:szCs w:val="24"/>
        </w:rPr>
        <w:t xml:space="preserve"> S</w:t>
      </w:r>
      <w:r>
        <w:rPr>
          <w:rFonts w:hint="eastAsia" w:ascii="Times New Roman" w:hAnsi="Times New Roman" w:eastAsia="楷体"/>
          <w:sz w:val="24"/>
          <w:szCs w:val="24"/>
        </w:rPr>
        <w:t xml:space="preserve">, Choi J, Suh D, S K, Ham H, Ha J, M J (2019) </w:t>
      </w:r>
      <w:r>
        <w:rPr>
          <w:rFonts w:ascii="Times New Roman" w:hAnsi="Times New Roman" w:eastAsia="楷体"/>
          <w:sz w:val="24"/>
          <w:szCs w:val="24"/>
        </w:rPr>
        <w:t>Combined experimental and density functional theory (DFT) studies on the catalyst design for the oxidative coupling of methane</w:t>
      </w:r>
      <w:r>
        <w:rPr>
          <w:rFonts w:hint="eastAsia" w:ascii="Times New Roman" w:hAnsi="Times New Roman" w:eastAsia="楷体"/>
          <w:sz w:val="24"/>
          <w:szCs w:val="24"/>
        </w:rPr>
        <w:t>. J Catal. 375: 478-492.</w:t>
      </w:r>
    </w:p>
    <w:p>
      <w:pPr>
        <w:spacing w:line="480" w:lineRule="auto"/>
        <w:rPr>
          <w:rFonts w:ascii="Times New Roman" w:hAnsi="Times New Roman" w:eastAsia="楷体"/>
          <w:sz w:val="24"/>
          <w:szCs w:val="24"/>
        </w:rPr>
      </w:pPr>
      <w:r>
        <w:rPr>
          <w:rFonts w:hint="eastAsia" w:ascii="Times New Roman" w:hAnsi="Times New Roman" w:eastAsia="楷体"/>
          <w:sz w:val="24"/>
          <w:szCs w:val="24"/>
        </w:rPr>
        <w:t>[</w:t>
      </w:r>
      <w:r>
        <w:rPr>
          <w:rFonts w:ascii="Times New Roman" w:hAnsi="Times New Roman" w:eastAsia="楷体"/>
          <w:sz w:val="24"/>
          <w:szCs w:val="24"/>
        </w:rPr>
        <w:t>5</w:t>
      </w:r>
      <w:r>
        <w:rPr>
          <w:rFonts w:hint="eastAsia" w:ascii="Times New Roman" w:hAnsi="Times New Roman" w:eastAsia="楷体"/>
          <w:sz w:val="24"/>
          <w:szCs w:val="24"/>
        </w:rPr>
        <w:t>]</w:t>
      </w:r>
      <w:r>
        <w:rPr>
          <w:rFonts w:ascii="Times New Roman" w:hAnsi="Times New Roman" w:eastAsia="楷体"/>
          <w:sz w:val="24"/>
          <w:szCs w:val="24"/>
        </w:rPr>
        <w:t xml:space="preserve"> Liu H,</w:t>
      </w:r>
      <w:r>
        <w:rPr>
          <w:rFonts w:hint="eastAsia" w:ascii="Times New Roman" w:hAnsi="Times New Roman" w:eastAsia="楷体"/>
          <w:sz w:val="24"/>
          <w:szCs w:val="24"/>
        </w:rPr>
        <w:t xml:space="preserve"> </w:t>
      </w:r>
      <w:r>
        <w:rPr>
          <w:rFonts w:ascii="Times New Roman" w:hAnsi="Times New Roman" w:eastAsia="楷体"/>
          <w:sz w:val="24"/>
          <w:szCs w:val="24"/>
        </w:rPr>
        <w:t>Xiang H, Wang Y, Li Z, Qian</w:t>
      </w:r>
      <w:r>
        <w:rPr>
          <w:rFonts w:hint="eastAsia" w:ascii="Times New Roman" w:hAnsi="Times New Roman" w:eastAsia="楷体"/>
          <w:sz w:val="24"/>
          <w:szCs w:val="24"/>
        </w:rPr>
        <w:t xml:space="preserve"> </w:t>
      </w:r>
      <w:r>
        <w:rPr>
          <w:rFonts w:ascii="Times New Roman" w:hAnsi="Times New Roman" w:eastAsia="楷体"/>
          <w:sz w:val="24"/>
          <w:szCs w:val="24"/>
        </w:rPr>
        <w:t>L, Li P, Ma Y,</w:t>
      </w:r>
      <w:r>
        <w:rPr>
          <w:rFonts w:hint="eastAsia" w:ascii="Times New Roman" w:hAnsi="Times New Roman" w:eastAsia="楷体"/>
          <w:sz w:val="24"/>
          <w:szCs w:val="24"/>
        </w:rPr>
        <w:t xml:space="preserve"> </w:t>
      </w:r>
      <w:r>
        <w:rPr>
          <w:rFonts w:ascii="Times New Roman" w:hAnsi="Times New Roman" w:eastAsia="楷体"/>
          <w:sz w:val="24"/>
          <w:szCs w:val="24"/>
        </w:rPr>
        <w:t>Zhou H,</w:t>
      </w:r>
      <w:r>
        <w:rPr>
          <w:rFonts w:hint="eastAsia" w:ascii="Times New Roman" w:hAnsi="Times New Roman" w:eastAsia="楷体"/>
          <w:sz w:val="24"/>
          <w:szCs w:val="24"/>
        </w:rPr>
        <w:t xml:space="preserve"> </w:t>
      </w:r>
      <w:r>
        <w:rPr>
          <w:rFonts w:ascii="Times New Roman" w:hAnsi="Times New Roman" w:eastAsia="楷体"/>
          <w:sz w:val="24"/>
          <w:szCs w:val="24"/>
        </w:rPr>
        <w:t xml:space="preserve">Huang W </w:t>
      </w:r>
      <w:r>
        <w:rPr>
          <w:rFonts w:hint="eastAsia" w:ascii="Times New Roman" w:hAnsi="Times New Roman" w:eastAsia="楷体"/>
          <w:sz w:val="24"/>
          <w:szCs w:val="24"/>
        </w:rPr>
        <w:t xml:space="preserve">(2019) </w:t>
      </w:r>
      <w:r>
        <w:rPr>
          <w:rFonts w:ascii="Times New Roman" w:hAnsi="Times New Roman" w:eastAsia="楷体"/>
          <w:sz w:val="24"/>
          <w:szCs w:val="24"/>
        </w:rPr>
        <w:t>A Flexible Multimodal Sensor That Detects Strain, Humidity, Temperature, and Pressure with Carbon Black and Reduced Graphene Oxide Hierarchical Composite on Paper</w:t>
      </w:r>
      <w:r>
        <w:rPr>
          <w:rFonts w:hint="eastAsia" w:ascii="Times New Roman" w:hAnsi="Times New Roman" w:eastAsia="楷体"/>
          <w:sz w:val="24"/>
          <w:szCs w:val="24"/>
        </w:rPr>
        <w:t>.</w:t>
      </w:r>
      <w:r>
        <w:rPr>
          <w:rFonts w:ascii="Times New Roman" w:hAnsi="Times New Roman" w:eastAsia="楷体"/>
          <w:sz w:val="24"/>
          <w:szCs w:val="24"/>
        </w:rPr>
        <w:t xml:space="preserve"> ACS </w:t>
      </w:r>
      <w:r>
        <w:rPr>
          <w:rFonts w:hint="eastAsia" w:ascii="Times New Roman" w:hAnsi="Times New Roman" w:eastAsia="楷体"/>
          <w:sz w:val="24"/>
          <w:szCs w:val="24"/>
        </w:rPr>
        <w:t>A</w:t>
      </w:r>
      <w:r>
        <w:rPr>
          <w:rFonts w:ascii="Times New Roman" w:hAnsi="Times New Roman" w:eastAsia="楷体"/>
          <w:sz w:val="24"/>
          <w:szCs w:val="24"/>
        </w:rPr>
        <w:t xml:space="preserve">ppl </w:t>
      </w:r>
      <w:r>
        <w:rPr>
          <w:rFonts w:hint="eastAsia" w:ascii="Times New Roman" w:hAnsi="Times New Roman" w:eastAsia="楷体"/>
          <w:sz w:val="24"/>
          <w:szCs w:val="24"/>
        </w:rPr>
        <w:t>M</w:t>
      </w:r>
      <w:r>
        <w:rPr>
          <w:rFonts w:ascii="Times New Roman" w:hAnsi="Times New Roman" w:eastAsia="楷体"/>
          <w:sz w:val="24"/>
          <w:szCs w:val="24"/>
        </w:rPr>
        <w:t>ater interfaces 11: 40613-40619.</w:t>
      </w:r>
    </w:p>
    <w:p>
      <w:pPr>
        <w:spacing w:line="480" w:lineRule="auto"/>
        <w:rPr>
          <w:rFonts w:ascii="Times New Roman" w:hAnsi="Times New Roman" w:eastAsia="楷体"/>
          <w:sz w:val="24"/>
          <w:szCs w:val="24"/>
        </w:rPr>
      </w:pPr>
      <w:r>
        <w:rPr>
          <w:rFonts w:hint="eastAsia" w:ascii="Times New Roman" w:hAnsi="Times New Roman" w:eastAsia="楷体"/>
          <w:sz w:val="24"/>
          <w:szCs w:val="24"/>
        </w:rPr>
        <w:t>[</w:t>
      </w:r>
      <w:r>
        <w:rPr>
          <w:rFonts w:ascii="Times New Roman" w:hAnsi="Times New Roman" w:eastAsia="楷体"/>
          <w:sz w:val="24"/>
          <w:szCs w:val="24"/>
        </w:rPr>
        <w:t>6</w:t>
      </w:r>
      <w:r>
        <w:rPr>
          <w:rFonts w:hint="eastAsia" w:ascii="Times New Roman" w:hAnsi="Times New Roman" w:eastAsia="楷体"/>
          <w:sz w:val="24"/>
          <w:szCs w:val="24"/>
        </w:rPr>
        <w:t>]</w:t>
      </w:r>
      <w:r>
        <w:rPr>
          <w:rFonts w:ascii="Times New Roman" w:hAnsi="Times New Roman" w:eastAsia="楷体"/>
          <w:sz w:val="24"/>
          <w:szCs w:val="24"/>
        </w:rPr>
        <w:t xml:space="preserve"> Wang Y, Zhang C, Liu Y, Zhang M, Min F</w:t>
      </w:r>
      <w:r>
        <w:rPr>
          <w:rFonts w:hint="eastAsia" w:ascii="Times New Roman" w:hAnsi="Times New Roman" w:eastAsia="楷体"/>
          <w:sz w:val="24"/>
          <w:szCs w:val="24"/>
        </w:rPr>
        <w:t xml:space="preserve"> (2019)</w:t>
      </w:r>
      <w:r>
        <w:rPr>
          <w:rFonts w:ascii="Times New Roman" w:hAnsi="Times New Roman" w:eastAsia="楷体"/>
          <w:sz w:val="24"/>
          <w:szCs w:val="24"/>
        </w:rPr>
        <w:t xml:space="preserve"> Efficient Visible</w:t>
      </w:r>
      <w:r>
        <w:rPr>
          <w:rFonts w:hint="eastAsia" w:ascii="Times New Roman" w:hAnsi="Times New Roman" w:eastAsia="楷体"/>
          <w:sz w:val="24"/>
          <w:szCs w:val="24"/>
        </w:rPr>
        <w:t>‐</w:t>
      </w:r>
      <w:r>
        <w:rPr>
          <w:rFonts w:ascii="Times New Roman" w:hAnsi="Times New Roman" w:eastAsia="楷体"/>
          <w:sz w:val="24"/>
          <w:szCs w:val="24"/>
        </w:rPr>
        <w:t>Light</w:t>
      </w:r>
      <w:r>
        <w:rPr>
          <w:rFonts w:hint="eastAsia" w:ascii="Times New Roman" w:hAnsi="Times New Roman" w:eastAsia="楷体"/>
          <w:sz w:val="24"/>
          <w:szCs w:val="24"/>
        </w:rPr>
        <w:t>‐</w:t>
      </w:r>
      <w:r>
        <w:rPr>
          <w:rFonts w:ascii="Times New Roman" w:hAnsi="Times New Roman" w:eastAsia="楷体"/>
          <w:sz w:val="24"/>
          <w:szCs w:val="24"/>
        </w:rPr>
        <w:t>Induced Photocatalytic Activity of SrTiO</w:t>
      </w:r>
      <w:r>
        <w:rPr>
          <w:rFonts w:ascii="Times New Roman" w:hAnsi="Times New Roman" w:eastAsia="楷体"/>
          <w:sz w:val="24"/>
          <w:szCs w:val="24"/>
          <w:vertAlign w:val="subscript"/>
        </w:rPr>
        <w:t>3</w:t>
      </w:r>
      <w:r>
        <w:rPr>
          <w:rFonts w:hint="eastAsia" w:ascii="Times New Roman" w:hAnsi="Times New Roman" w:eastAsia="楷体"/>
          <w:sz w:val="24"/>
          <w:szCs w:val="24"/>
        </w:rPr>
        <w:t xml:space="preserve"> </w:t>
      </w:r>
      <w:r>
        <w:rPr>
          <w:rFonts w:ascii="Times New Roman" w:hAnsi="Times New Roman" w:eastAsia="楷体"/>
          <w:sz w:val="24"/>
          <w:szCs w:val="24"/>
        </w:rPr>
        <w:t>Co</w:t>
      </w:r>
      <w:r>
        <w:rPr>
          <w:rFonts w:hint="eastAsia" w:ascii="Times New Roman" w:hAnsi="Times New Roman" w:eastAsia="楷体"/>
          <w:sz w:val="24"/>
          <w:szCs w:val="24"/>
        </w:rPr>
        <w:t>-</w:t>
      </w:r>
      <w:r>
        <w:rPr>
          <w:rFonts w:ascii="Times New Roman" w:hAnsi="Times New Roman" w:eastAsia="楷体"/>
          <w:sz w:val="24"/>
          <w:szCs w:val="24"/>
        </w:rPr>
        <w:t>Doped With Os and N: A GGA </w:t>
      </w:r>
      <w:r>
        <w:rPr>
          <w:rFonts w:ascii="Times New Roman" w:hAnsi="Times New Roman" w:eastAsia="楷体"/>
          <w:sz w:val="24"/>
          <w:szCs w:val="24"/>
          <w:vertAlign w:val="superscript"/>
        </w:rPr>
        <w:t>+</w:t>
      </w:r>
      <w:r>
        <w:rPr>
          <w:rFonts w:ascii="Times New Roman" w:hAnsi="Times New Roman" w:eastAsia="楷体"/>
          <w:sz w:val="24"/>
          <w:szCs w:val="24"/>
        </w:rPr>
        <w:t> U Investigation</w:t>
      </w:r>
      <w:r>
        <w:rPr>
          <w:rFonts w:hint="eastAsia" w:ascii="Times New Roman" w:hAnsi="Times New Roman" w:eastAsia="楷体"/>
          <w:sz w:val="24"/>
          <w:szCs w:val="24"/>
        </w:rPr>
        <w:t xml:space="preserve">. </w:t>
      </w:r>
      <w:r>
        <w:rPr>
          <w:rFonts w:ascii="Times New Roman" w:hAnsi="Times New Roman" w:eastAsia="楷体"/>
          <w:sz w:val="24"/>
          <w:szCs w:val="24"/>
        </w:rPr>
        <w:t>Phys</w:t>
      </w:r>
      <w:r>
        <w:rPr>
          <w:rFonts w:hint="eastAsia" w:ascii="Times New Roman" w:hAnsi="Times New Roman" w:eastAsia="楷体"/>
          <w:sz w:val="24"/>
          <w:szCs w:val="24"/>
        </w:rPr>
        <w:t xml:space="preserve"> </w:t>
      </w:r>
      <w:r>
        <w:rPr>
          <w:rFonts w:ascii="Times New Roman" w:hAnsi="Times New Roman" w:eastAsia="楷体"/>
          <w:sz w:val="24"/>
          <w:szCs w:val="24"/>
        </w:rPr>
        <w:t>Status Solidi B</w:t>
      </w:r>
      <w:r>
        <w:rPr>
          <w:rFonts w:hint="eastAsia" w:ascii="Times New Roman" w:hAnsi="Times New Roman" w:eastAsia="楷体"/>
          <w:sz w:val="24"/>
          <w:szCs w:val="24"/>
        </w:rPr>
        <w:t xml:space="preserve"> 256: 1800574.</w:t>
      </w:r>
    </w:p>
    <w:p>
      <w:pPr>
        <w:spacing w:line="480" w:lineRule="auto"/>
        <w:rPr>
          <w:rFonts w:ascii="Times New Roman" w:hAnsi="Times New Roman" w:eastAsia="楷体"/>
          <w:sz w:val="24"/>
          <w:szCs w:val="24"/>
        </w:rPr>
      </w:pPr>
      <w:r>
        <w:rPr>
          <w:rFonts w:ascii="Times New Roman" w:hAnsi="Times New Roman" w:eastAsia="楷体"/>
          <w:sz w:val="24"/>
          <w:szCs w:val="24"/>
        </w:rPr>
        <w:t>7. Henkelman G, Uberuaga Blas P</w:t>
      </w:r>
      <w:r>
        <w:rPr>
          <w:rFonts w:hint="eastAsia" w:ascii="Times New Roman" w:hAnsi="Times New Roman" w:eastAsia="楷体"/>
          <w:sz w:val="24"/>
          <w:szCs w:val="24"/>
        </w:rPr>
        <w:t>,</w:t>
      </w:r>
      <w:r>
        <w:rPr>
          <w:rFonts w:ascii="Times New Roman" w:hAnsi="Times New Roman" w:eastAsia="楷体"/>
          <w:sz w:val="24"/>
          <w:szCs w:val="24"/>
        </w:rPr>
        <w:t xml:space="preserve"> Jónsson H</w:t>
      </w:r>
      <w:r>
        <w:rPr>
          <w:rFonts w:hint="eastAsia" w:ascii="Times New Roman" w:hAnsi="Times New Roman" w:eastAsia="楷体"/>
          <w:sz w:val="24"/>
          <w:szCs w:val="24"/>
        </w:rPr>
        <w:t xml:space="preserve"> (2000) </w:t>
      </w:r>
      <w:r>
        <w:rPr>
          <w:rFonts w:ascii="Times New Roman" w:hAnsi="Times New Roman" w:eastAsia="楷体"/>
          <w:sz w:val="24"/>
          <w:szCs w:val="24"/>
        </w:rPr>
        <w:t>A climbing image nudged elastic band method for finding saddle points and minimum energy paths</w:t>
      </w:r>
      <w:r>
        <w:rPr>
          <w:rFonts w:hint="eastAsia" w:ascii="Times New Roman" w:hAnsi="Times New Roman" w:eastAsia="楷体"/>
          <w:sz w:val="24"/>
          <w:szCs w:val="24"/>
        </w:rPr>
        <w:t xml:space="preserve">. </w:t>
      </w:r>
      <w:r>
        <w:rPr>
          <w:rFonts w:ascii="Times New Roman" w:hAnsi="Times New Roman" w:eastAsia="楷体"/>
          <w:sz w:val="24"/>
          <w:szCs w:val="24"/>
        </w:rPr>
        <w:t>J</w:t>
      </w:r>
      <w:r>
        <w:rPr>
          <w:rFonts w:hint="eastAsia" w:ascii="Times New Roman" w:hAnsi="Times New Roman" w:eastAsia="楷体"/>
          <w:sz w:val="24"/>
          <w:szCs w:val="24"/>
        </w:rPr>
        <w:t xml:space="preserve"> </w:t>
      </w:r>
      <w:r>
        <w:rPr>
          <w:rFonts w:ascii="Times New Roman" w:hAnsi="Times New Roman" w:eastAsia="楷体"/>
          <w:sz w:val="24"/>
          <w:szCs w:val="24"/>
        </w:rPr>
        <w:t>Chem</w:t>
      </w:r>
      <w:r>
        <w:rPr>
          <w:rFonts w:hint="eastAsia" w:ascii="Times New Roman" w:hAnsi="Times New Roman" w:eastAsia="楷体"/>
          <w:sz w:val="24"/>
          <w:szCs w:val="24"/>
        </w:rPr>
        <w:t xml:space="preserve"> </w:t>
      </w:r>
      <w:r>
        <w:rPr>
          <w:rFonts w:ascii="Times New Roman" w:hAnsi="Times New Roman" w:eastAsia="楷体"/>
          <w:sz w:val="24"/>
          <w:szCs w:val="24"/>
        </w:rPr>
        <w:t>Phys</w:t>
      </w:r>
      <w:r>
        <w:rPr>
          <w:rFonts w:hint="eastAsia" w:ascii="Times New Roman" w:hAnsi="Times New Roman" w:eastAsia="楷体"/>
          <w:sz w:val="24"/>
          <w:szCs w:val="24"/>
        </w:rPr>
        <w:t xml:space="preserve"> 113: 9901-9904.</w:t>
      </w:r>
    </w:p>
    <w:p>
      <w:pPr>
        <w:spacing w:after="0" w:line="480" w:lineRule="auto"/>
        <w:rPr>
          <w:rFonts w:hint="eastAsia" w:ascii="Times New Roman" w:hAnsi="Times New Roman"/>
        </w:rPr>
      </w:pPr>
    </w:p>
    <w:p>
      <w:pPr>
        <w:spacing w:after="0" w:line="480" w:lineRule="auto"/>
        <w:rPr>
          <w:rFonts w:hint="eastAsia" w:ascii="Times New Roman" w:hAnsi="Times New Roman"/>
        </w:rPr>
      </w:pPr>
    </w:p>
    <w:p>
      <w:pPr>
        <w:spacing w:after="0" w:line="480" w:lineRule="auto"/>
        <w:rPr>
          <w:rFonts w:hint="eastAsia" w:ascii="Times New Roman" w:hAnsi="Times New Roman"/>
        </w:rPr>
      </w:pPr>
    </w:p>
    <w:p>
      <w:pPr>
        <w:spacing w:after="0" w:line="480" w:lineRule="auto"/>
        <w:rPr>
          <w:rFonts w:ascii="Times New Roman" w:hAnsi="Times New Roman"/>
          <w:b/>
          <w:sz w:val="28"/>
          <w:szCs w:val="28"/>
        </w:rPr>
      </w:pPr>
      <w:r>
        <w:rPr>
          <w:rFonts w:ascii="Times New Roman" w:hAnsi="Times New Roman"/>
          <w:b/>
          <w:sz w:val="28"/>
          <w:szCs w:val="28"/>
        </w:rPr>
        <w:t>Supporting Figures</w:t>
      </w:r>
    </w:p>
    <w:p>
      <w:pPr>
        <w:spacing w:after="0" w:line="480" w:lineRule="auto"/>
        <w:rPr>
          <w:rFonts w:ascii="Times New Roman" w:hAnsi="Times New Roman"/>
          <w:b/>
          <w:sz w:val="28"/>
          <w:szCs w:val="28"/>
        </w:rPr>
      </w:pPr>
    </w:p>
    <w:p>
      <w:pPr>
        <w:spacing w:after="0" w:line="480" w:lineRule="auto"/>
        <w:rPr>
          <w:rFonts w:ascii="Times New Roman" w:hAnsi="Times New Roman"/>
          <w:b/>
          <w:sz w:val="28"/>
          <w:szCs w:val="28"/>
        </w:rPr>
      </w:pPr>
      <w:r>
        <w:rPr>
          <w:rFonts w:ascii="Times New Roman" w:hAnsi="Times New Roman"/>
          <w:sz w:val="24"/>
          <w:szCs w:val="24"/>
        </w:rPr>
        <w:drawing>
          <wp:inline distT="0" distB="0" distL="0" distR="0">
            <wp:extent cx="4529455" cy="3366770"/>
            <wp:effectExtent l="0" t="0" r="4445" b="5080"/>
            <wp:docPr id="21" name="图片 21" descr="未标题-3 附件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未标题-3 附件3"/>
                    <pic:cNvPicPr>
                      <a:picLocks noChangeAspect="1" noChangeArrowheads="1"/>
                    </pic:cNvPicPr>
                  </pic:nvPicPr>
                  <pic:blipFill>
                    <a:blip r:embed="rId9">
                      <a:lum contrast="40000"/>
                      <a:extLst>
                        <a:ext uri="{28A0092B-C50C-407E-A947-70E740481C1C}">
                          <a14:useLocalDpi xmlns:a14="http://schemas.microsoft.com/office/drawing/2010/main" val="0"/>
                        </a:ext>
                      </a:extLst>
                    </a:blip>
                    <a:srcRect/>
                    <a:stretch>
                      <a:fillRect/>
                    </a:stretch>
                  </pic:blipFill>
                  <pic:spPr>
                    <a:xfrm>
                      <a:off x="0" y="0"/>
                      <a:ext cx="4529455" cy="3366770"/>
                    </a:xfrm>
                    <a:prstGeom prst="rect">
                      <a:avLst/>
                    </a:prstGeom>
                    <a:noFill/>
                    <a:ln>
                      <a:noFill/>
                    </a:ln>
                  </pic:spPr>
                </pic:pic>
              </a:graphicData>
            </a:graphic>
          </wp:inline>
        </w:drawing>
      </w:r>
    </w:p>
    <w:p>
      <w:pPr>
        <w:spacing w:after="0" w:line="480" w:lineRule="auto"/>
        <w:jc w:val="center"/>
        <w:rPr>
          <w:rFonts w:ascii="Times New Roman" w:hAnsi="Times New Roman"/>
          <w:sz w:val="24"/>
          <w:szCs w:val="24"/>
        </w:rPr>
      </w:pPr>
      <w:r>
        <w:rPr>
          <w:rFonts w:ascii="Times New Roman" w:hAnsi="Times New Roman"/>
          <w:b/>
          <w:sz w:val="24"/>
          <w:szCs w:val="24"/>
        </w:rPr>
        <w:t>Fig. S</w:t>
      </w:r>
      <w:r>
        <w:rPr>
          <w:rFonts w:hint="eastAsia" w:ascii="Times New Roman" w:hAnsi="Times New Roman"/>
          <w:b/>
          <w:sz w:val="24"/>
          <w:szCs w:val="24"/>
        </w:rPr>
        <w:t>1</w:t>
      </w:r>
      <w:r>
        <w:rPr>
          <w:rFonts w:ascii="Times New Roman" w:hAnsi="Times New Roman"/>
          <w:b/>
          <w:sz w:val="24"/>
          <w:szCs w:val="24"/>
        </w:rPr>
        <w:t xml:space="preserve"> </w:t>
      </w:r>
      <w:r>
        <w:rPr>
          <w:rFonts w:ascii="Times New Roman" w:hAnsi="Times New Roman"/>
          <w:sz w:val="24"/>
          <w:szCs w:val="24"/>
        </w:rPr>
        <w:t>EDS analysis of QW-STO</w:t>
      </w:r>
      <w:r>
        <w:rPr>
          <w:rFonts w:ascii="Times New Roman" w:hAnsi="Times New Roman"/>
          <w:sz w:val="24"/>
          <w:szCs w:val="24"/>
          <w:vertAlign w:val="subscript"/>
        </w:rPr>
        <w:t xml:space="preserve"> </w:t>
      </w:r>
      <w:r>
        <w:rPr>
          <w:rFonts w:ascii="Times New Roman" w:hAnsi="Times New Roman"/>
          <w:sz w:val="24"/>
          <w:szCs w:val="24"/>
        </w:rPr>
        <w:t>with 5% La doping and 5% Nb surface doping.</w:t>
      </w:r>
    </w:p>
    <w:p>
      <w:pPr>
        <w:spacing w:after="0" w:line="480" w:lineRule="auto"/>
        <w:rPr>
          <w:rFonts w:ascii="Times New Roman" w:hAnsi="Times New Roman"/>
          <w:b/>
          <w:sz w:val="28"/>
          <w:szCs w:val="28"/>
        </w:rPr>
      </w:pPr>
    </w:p>
    <w:p>
      <w:pPr>
        <w:spacing w:after="0" w:line="480" w:lineRule="auto"/>
        <w:rPr>
          <w:rFonts w:ascii="Times New Roman" w:hAnsi="Times New Roman"/>
          <w:b/>
          <w:sz w:val="28"/>
          <w:szCs w:val="28"/>
        </w:rPr>
      </w:pPr>
    </w:p>
    <w:p>
      <w:pPr>
        <w:spacing w:after="0" w:line="480" w:lineRule="auto"/>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drawing>
          <wp:inline distT="0" distB="0" distL="0" distR="0">
            <wp:extent cx="4084955" cy="2118360"/>
            <wp:effectExtent l="0" t="0" r="444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084955" cy="2118360"/>
                    </a:xfrm>
                    <a:prstGeom prst="rect">
                      <a:avLst/>
                    </a:prstGeom>
                    <a:noFill/>
                    <a:ln>
                      <a:noFill/>
                    </a:ln>
                  </pic:spPr>
                </pic:pic>
              </a:graphicData>
            </a:graphic>
          </wp:inline>
        </w:drawing>
      </w:r>
    </w:p>
    <w:p>
      <w:pPr>
        <w:spacing w:after="0" w:line="480" w:lineRule="auto"/>
        <w:rPr>
          <w:rFonts w:ascii="Times New Roman" w:hAnsi="Times New Roman"/>
          <w:b/>
          <w:sz w:val="28"/>
          <w:szCs w:val="28"/>
        </w:rPr>
      </w:pPr>
      <w:r>
        <w:rPr>
          <w:rFonts w:ascii="Times New Roman" w:hAnsi="Times New Roman"/>
          <w:b/>
          <w:sz w:val="28"/>
          <w:szCs w:val="28"/>
        </w:rPr>
        <w:drawing>
          <wp:inline distT="0" distB="0" distL="0" distR="0">
            <wp:extent cx="6301105" cy="1669415"/>
            <wp:effectExtent l="0" t="0" r="1079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301105" cy="1669415"/>
                    </a:xfrm>
                    <a:prstGeom prst="rect">
                      <a:avLst/>
                    </a:prstGeom>
                    <a:noFill/>
                    <a:ln>
                      <a:noFill/>
                    </a:ln>
                  </pic:spPr>
                </pic:pic>
              </a:graphicData>
            </a:graphic>
          </wp:inline>
        </w:drawing>
      </w:r>
    </w:p>
    <w:p>
      <w:pPr>
        <w:spacing w:line="360" w:lineRule="auto"/>
        <w:rPr>
          <w:rFonts w:ascii="Times New Roman" w:hAnsi="Times New Roman"/>
          <w:kern w:val="2"/>
          <w:sz w:val="24"/>
          <w:szCs w:val="24"/>
        </w:rPr>
      </w:pPr>
      <w:bookmarkStart w:id="2" w:name="OLE_LINK1"/>
      <w:r>
        <w:rPr>
          <w:rFonts w:ascii="Times New Roman" w:hAnsi="Times New Roman"/>
          <w:b/>
          <w:sz w:val="24"/>
          <w:szCs w:val="24"/>
        </w:rPr>
        <w:t>Fig. S</w:t>
      </w:r>
      <w:r>
        <w:rPr>
          <w:rFonts w:hint="eastAsia" w:ascii="Times New Roman" w:hAnsi="Times New Roman"/>
          <w:b/>
          <w:sz w:val="24"/>
          <w:szCs w:val="24"/>
        </w:rPr>
        <w:t>2</w:t>
      </w:r>
      <w:r>
        <w:rPr>
          <w:rFonts w:ascii="Times New Roman" w:hAnsi="Times New Roman"/>
          <w:b/>
          <w:sz w:val="24"/>
          <w:szCs w:val="24"/>
        </w:rPr>
        <w:t xml:space="preserve"> </w:t>
      </w:r>
      <w:r>
        <w:rPr>
          <w:rFonts w:ascii="Times New Roman" w:hAnsi="Times New Roman"/>
          <w:sz w:val="24"/>
          <w:szCs w:val="24"/>
        </w:rPr>
        <w:t xml:space="preserve">BF-STEM(a), </w:t>
      </w:r>
      <w:r>
        <w:rPr>
          <w:rFonts w:ascii="Times New Roman" w:hAnsi="Times New Roman" w:eastAsia="MS Mincho"/>
          <w:color w:val="000000"/>
          <w:kern w:val="2"/>
          <w:sz w:val="24"/>
          <w:szCs w:val="24"/>
        </w:rPr>
        <w:t>HAADF-STEM</w:t>
      </w:r>
      <w:r>
        <w:rPr>
          <w:rFonts w:ascii="Times New Roman" w:hAnsi="Times New Roman"/>
          <w:color w:val="000000"/>
          <w:kern w:val="2"/>
          <w:sz w:val="24"/>
          <w:szCs w:val="24"/>
        </w:rPr>
        <w:t>(b)</w:t>
      </w:r>
      <w:r>
        <w:rPr>
          <w:rFonts w:ascii="Times New Roman" w:hAnsi="Times New Roman" w:eastAsia="MS Mincho"/>
          <w:color w:val="000000"/>
          <w:kern w:val="2"/>
          <w:sz w:val="24"/>
          <w:szCs w:val="24"/>
        </w:rPr>
        <w:t xml:space="preserve"> image</w:t>
      </w:r>
      <w:r>
        <w:rPr>
          <w:rFonts w:ascii="Times New Roman" w:hAnsi="Times New Roman"/>
          <w:color w:val="000000"/>
          <w:kern w:val="2"/>
          <w:sz w:val="24"/>
          <w:szCs w:val="24"/>
        </w:rPr>
        <w:t xml:space="preserve">s of QW-STO and (c-e) </w:t>
      </w:r>
      <w:r>
        <w:rPr>
          <w:rFonts w:ascii="Times New Roman" w:hAnsi="Times New Roman"/>
          <w:kern w:val="2"/>
          <w:sz w:val="24"/>
          <w:szCs w:val="24"/>
        </w:rPr>
        <w:t>the La and Nb element mapping of QW-STO nanoparticles containing over 100 particles</w:t>
      </w:r>
    </w:p>
    <w:p>
      <w:pPr>
        <w:spacing w:after="0" w:line="480" w:lineRule="auto"/>
        <w:jc w:val="center"/>
        <w:rPr>
          <w:rFonts w:ascii="Times New Roman" w:hAnsi="Times New Roman"/>
          <w:color w:val="000000"/>
          <w:kern w:val="2"/>
          <w:sz w:val="24"/>
          <w:szCs w:val="24"/>
        </w:rPr>
      </w:pPr>
    </w:p>
    <w:bookmarkEnd w:id="2"/>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rPr>
          <w:rFonts w:ascii="Times New Roman" w:hAnsi="Times New Roman"/>
          <w:b/>
          <w:sz w:val="28"/>
          <w:szCs w:val="28"/>
        </w:rPr>
      </w:pPr>
    </w:p>
    <w:p>
      <w:pPr>
        <w:kinsoku w:val="0"/>
        <w:spacing w:after="0" w:line="480" w:lineRule="auto"/>
        <w:jc w:val="center"/>
        <w:rPr>
          <w:rFonts w:ascii="Times New Roman" w:hAnsi="Times New Roman"/>
          <w:sz w:val="24"/>
          <w:szCs w:val="24"/>
        </w:rPr>
      </w:pPr>
      <w:r>
        <w:rPr>
          <w:rFonts w:ascii="Times New Roman" w:hAnsi="Times New Roman"/>
          <w:sz w:val="24"/>
          <w:szCs w:val="24"/>
        </w:rPr>
        <w:drawing>
          <wp:inline distT="0" distB="0" distL="0" distR="0">
            <wp:extent cx="5777230" cy="2542540"/>
            <wp:effectExtent l="0" t="0" r="0" b="0"/>
            <wp:docPr id="6" name="图片 120"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20" descr="图片9"/>
                    <pic:cNvPicPr>
                      <a:picLocks noChangeAspect="1" noChangeArrowheads="1"/>
                    </pic:cNvPicPr>
                  </pic:nvPicPr>
                  <pic:blipFill>
                    <a:blip r:embed="rId12">
                      <a:lum contrast="40000"/>
                      <a:extLst>
                        <a:ext uri="{28A0092B-C50C-407E-A947-70E740481C1C}">
                          <a14:useLocalDpi xmlns:a14="http://schemas.microsoft.com/office/drawing/2010/main" val="0"/>
                        </a:ext>
                      </a:extLst>
                    </a:blip>
                    <a:srcRect/>
                    <a:stretch>
                      <a:fillRect/>
                    </a:stretch>
                  </pic:blipFill>
                  <pic:spPr>
                    <a:xfrm>
                      <a:off x="0" y="0"/>
                      <a:ext cx="5777230" cy="2542540"/>
                    </a:xfrm>
                    <a:prstGeom prst="rect">
                      <a:avLst/>
                    </a:prstGeom>
                    <a:noFill/>
                    <a:ln>
                      <a:noFill/>
                    </a:ln>
                  </pic:spPr>
                </pic:pic>
              </a:graphicData>
            </a:graphic>
          </wp:inline>
        </w:drawing>
      </w:r>
    </w:p>
    <w:p>
      <w:pPr>
        <w:spacing w:after="0" w:line="480" w:lineRule="auto"/>
        <w:jc w:val="center"/>
        <w:rPr>
          <w:rFonts w:ascii="Times New Roman" w:hAnsi="Times New Roman"/>
          <w:color w:val="000000"/>
          <w:kern w:val="2"/>
          <w:sz w:val="24"/>
          <w:szCs w:val="24"/>
        </w:rPr>
      </w:pPr>
      <w:r>
        <w:rPr>
          <w:rFonts w:ascii="Times New Roman" w:hAnsi="Times New Roman"/>
          <w:b/>
          <w:sz w:val="24"/>
          <w:szCs w:val="24"/>
        </w:rPr>
        <w:t>Fig. S</w:t>
      </w:r>
      <w:r>
        <w:rPr>
          <w:rFonts w:hint="eastAsia" w:ascii="Times New Roman" w:hAnsi="Times New Roman"/>
          <w:b/>
          <w:sz w:val="24"/>
          <w:szCs w:val="24"/>
        </w:rPr>
        <w:t>3</w:t>
      </w:r>
      <w:r>
        <w:rPr>
          <w:rFonts w:ascii="Times New Roman" w:hAnsi="Times New Roman"/>
          <w:b/>
          <w:sz w:val="24"/>
          <w:szCs w:val="24"/>
        </w:rPr>
        <w:t xml:space="preserve"> </w:t>
      </w:r>
      <w:r>
        <w:rPr>
          <w:rFonts w:ascii="Times New Roman" w:hAnsi="Times New Roman"/>
          <w:sz w:val="24"/>
          <w:szCs w:val="24"/>
        </w:rPr>
        <w:t xml:space="preserve">HRTEM(a) and </w:t>
      </w:r>
      <w:r>
        <w:rPr>
          <w:rFonts w:ascii="Times New Roman" w:hAnsi="Times New Roman" w:eastAsia="MS Mincho"/>
          <w:color w:val="000000"/>
          <w:kern w:val="2"/>
          <w:sz w:val="24"/>
          <w:szCs w:val="24"/>
        </w:rPr>
        <w:t>HAADF-STEM</w:t>
      </w:r>
      <w:r>
        <w:rPr>
          <w:rFonts w:ascii="Times New Roman" w:hAnsi="Times New Roman"/>
          <w:color w:val="000000"/>
          <w:kern w:val="2"/>
          <w:sz w:val="24"/>
          <w:szCs w:val="24"/>
        </w:rPr>
        <w:t>(b)</w:t>
      </w:r>
      <w:r>
        <w:rPr>
          <w:rFonts w:ascii="Times New Roman" w:hAnsi="Times New Roman" w:eastAsia="MS Mincho"/>
          <w:color w:val="000000"/>
          <w:kern w:val="2"/>
          <w:sz w:val="24"/>
          <w:szCs w:val="24"/>
        </w:rPr>
        <w:t xml:space="preserve"> image</w:t>
      </w:r>
      <w:r>
        <w:rPr>
          <w:rFonts w:ascii="Times New Roman" w:hAnsi="Times New Roman"/>
          <w:color w:val="000000"/>
          <w:kern w:val="2"/>
          <w:sz w:val="24"/>
          <w:szCs w:val="24"/>
        </w:rPr>
        <w:t>s of QW-STO.</w:t>
      </w: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r>
        <w:rPr>
          <w:rFonts w:ascii="Times New Roman" w:hAnsi="Times New Roman"/>
        </w:rPr>
        <w:drawing>
          <wp:inline distT="0" distB="0" distL="0" distR="0">
            <wp:extent cx="6083935" cy="4069715"/>
            <wp:effectExtent l="0" t="0" r="0" b="6985"/>
            <wp:docPr id="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6083935" cy="4069715"/>
                    </a:xfrm>
                    <a:prstGeom prst="rect">
                      <a:avLst/>
                    </a:prstGeom>
                    <a:noFill/>
                    <a:ln>
                      <a:noFill/>
                    </a:ln>
                  </pic:spPr>
                </pic:pic>
              </a:graphicData>
            </a:graphic>
          </wp:inline>
        </w:drawing>
      </w:r>
    </w:p>
    <w:p>
      <w:pPr>
        <w:spacing w:after="0" w:line="480" w:lineRule="auto"/>
        <w:jc w:val="center"/>
        <w:rPr>
          <w:rFonts w:ascii="Times New Roman" w:hAnsi="Times New Roman"/>
          <w:color w:val="000000"/>
          <w:kern w:val="2"/>
          <w:sz w:val="24"/>
          <w:szCs w:val="24"/>
        </w:rPr>
      </w:pPr>
      <w:bookmarkStart w:id="3" w:name="OLE_LINK2"/>
      <w:r>
        <w:rPr>
          <w:rFonts w:ascii="Times New Roman" w:hAnsi="Times New Roman"/>
          <w:b/>
          <w:sz w:val="24"/>
          <w:szCs w:val="24"/>
        </w:rPr>
        <w:t>Fig. S</w:t>
      </w:r>
      <w:r>
        <w:rPr>
          <w:rFonts w:hint="eastAsia" w:ascii="Times New Roman" w:hAnsi="Times New Roman"/>
          <w:b/>
          <w:sz w:val="24"/>
          <w:szCs w:val="24"/>
        </w:rPr>
        <w:t>4</w:t>
      </w:r>
      <w:r>
        <w:rPr>
          <w:rFonts w:ascii="Times New Roman" w:hAnsi="Times New Roman"/>
          <w:b/>
          <w:sz w:val="24"/>
          <w:szCs w:val="24"/>
        </w:rPr>
        <w:t xml:space="preserve"> </w:t>
      </w:r>
      <w:r>
        <w:rPr>
          <w:rFonts w:ascii="Times New Roman" w:hAnsi="Times New Roman"/>
          <w:sz w:val="24"/>
          <w:szCs w:val="24"/>
        </w:rPr>
        <w:t xml:space="preserve">BF-STEM (a-c) and </w:t>
      </w:r>
      <w:r>
        <w:rPr>
          <w:rFonts w:ascii="Times New Roman" w:hAnsi="Times New Roman" w:eastAsia="MS Mincho"/>
          <w:color w:val="000000"/>
          <w:kern w:val="2"/>
          <w:sz w:val="24"/>
          <w:szCs w:val="24"/>
        </w:rPr>
        <w:t>HAADF-STEM</w:t>
      </w:r>
      <w:r>
        <w:rPr>
          <w:rFonts w:ascii="Times New Roman" w:hAnsi="Times New Roman"/>
          <w:color w:val="000000"/>
          <w:kern w:val="2"/>
          <w:sz w:val="24"/>
          <w:szCs w:val="24"/>
        </w:rPr>
        <w:t xml:space="preserve"> (d-f)</w:t>
      </w:r>
      <w:r>
        <w:rPr>
          <w:rFonts w:ascii="Times New Roman" w:hAnsi="Times New Roman" w:eastAsia="MS Mincho"/>
          <w:color w:val="000000"/>
          <w:kern w:val="2"/>
          <w:sz w:val="24"/>
          <w:szCs w:val="24"/>
        </w:rPr>
        <w:t xml:space="preserve"> image</w:t>
      </w:r>
      <w:r>
        <w:rPr>
          <w:rFonts w:ascii="Times New Roman" w:hAnsi="Times New Roman"/>
          <w:color w:val="000000"/>
          <w:kern w:val="2"/>
          <w:sz w:val="24"/>
          <w:szCs w:val="24"/>
        </w:rPr>
        <w:t>s of STO nanocubes.</w:t>
      </w:r>
    </w:p>
    <w:bookmarkEnd w:id="3"/>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r>
        <w:rPr>
          <w:rFonts w:ascii="Times New Roman" w:hAnsi="Times New Roman"/>
          <w:color w:val="000000"/>
          <w:kern w:val="2"/>
          <w:sz w:val="24"/>
          <w:szCs w:val="24"/>
        </w:rPr>
        <w:drawing>
          <wp:inline distT="0" distB="0" distL="0" distR="0">
            <wp:extent cx="5814060" cy="2372995"/>
            <wp:effectExtent l="0" t="0" r="0" b="0"/>
            <wp:docPr id="8" name="图片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descr="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814060" cy="2372995"/>
                    </a:xfrm>
                    <a:prstGeom prst="rect">
                      <a:avLst/>
                    </a:prstGeom>
                    <a:noFill/>
                    <a:ln>
                      <a:noFill/>
                    </a:ln>
                  </pic:spPr>
                </pic:pic>
              </a:graphicData>
            </a:graphic>
          </wp:inline>
        </w:drawing>
      </w:r>
    </w:p>
    <w:p>
      <w:pPr>
        <w:spacing w:after="0" w:line="480" w:lineRule="auto"/>
        <w:jc w:val="center"/>
        <w:rPr>
          <w:rFonts w:ascii="Times New Roman" w:hAnsi="Times New Roman"/>
          <w:sz w:val="24"/>
          <w:szCs w:val="24"/>
        </w:rPr>
      </w:pPr>
      <w:r>
        <w:rPr>
          <w:rFonts w:ascii="Times New Roman" w:hAnsi="Times New Roman"/>
          <w:b/>
          <w:sz w:val="24"/>
          <w:szCs w:val="24"/>
        </w:rPr>
        <w:t>Fig. S</w:t>
      </w:r>
      <w:r>
        <w:rPr>
          <w:rFonts w:hint="eastAsia" w:ascii="Times New Roman" w:hAnsi="Times New Roman"/>
          <w:b/>
          <w:sz w:val="24"/>
          <w:szCs w:val="24"/>
        </w:rPr>
        <w:t>5</w:t>
      </w:r>
      <w:r>
        <w:rPr>
          <w:rFonts w:ascii="Times New Roman" w:hAnsi="Times New Roman"/>
          <w:b/>
          <w:sz w:val="24"/>
          <w:szCs w:val="24"/>
        </w:rPr>
        <w:t xml:space="preserve"> </w:t>
      </w:r>
      <w:r>
        <w:rPr>
          <w:rFonts w:ascii="Times New Roman" w:hAnsi="Times New Roman"/>
          <w:sz w:val="24"/>
          <w:szCs w:val="24"/>
        </w:rPr>
        <w:t>Results of EDX intensity analysis of STO nanocubes (a and b).</w:t>
      </w: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r>
        <w:rPr>
          <w:rFonts w:ascii="Times New Roman" w:hAnsi="Times New Roman"/>
        </w:rPr>
        <w:drawing>
          <wp:inline distT="0" distB="0" distL="0" distR="0">
            <wp:extent cx="5836285" cy="5408930"/>
            <wp:effectExtent l="0" t="0" r="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836285" cy="5408930"/>
                    </a:xfrm>
                    <a:prstGeom prst="rect">
                      <a:avLst/>
                    </a:prstGeom>
                    <a:noFill/>
                    <a:ln>
                      <a:noFill/>
                    </a:ln>
                  </pic:spPr>
                </pic:pic>
              </a:graphicData>
            </a:graphic>
          </wp:inline>
        </w:drawing>
      </w:r>
    </w:p>
    <w:p>
      <w:pPr>
        <w:spacing w:after="0" w:line="480" w:lineRule="auto"/>
        <w:jc w:val="both"/>
        <w:rPr>
          <w:rFonts w:ascii="Times New Roman" w:hAnsi="Times New Roman"/>
          <w:color w:val="000000"/>
          <w:kern w:val="2"/>
          <w:sz w:val="24"/>
          <w:szCs w:val="24"/>
        </w:rPr>
      </w:pPr>
      <w:r>
        <w:rPr>
          <w:rFonts w:ascii="Times New Roman" w:hAnsi="Times New Roman"/>
          <w:b/>
          <w:sz w:val="24"/>
          <w:szCs w:val="24"/>
        </w:rPr>
        <w:t>Fig. S</w:t>
      </w:r>
      <w:r>
        <w:rPr>
          <w:rFonts w:hint="eastAsia" w:ascii="Times New Roman" w:hAnsi="Times New Roman"/>
          <w:b/>
          <w:sz w:val="24"/>
          <w:szCs w:val="24"/>
        </w:rPr>
        <w:t>6</w:t>
      </w:r>
      <w:r>
        <w:rPr>
          <w:rFonts w:ascii="Times New Roman" w:hAnsi="Times New Roman"/>
          <w:sz w:val="24"/>
          <w:szCs w:val="24"/>
        </w:rPr>
        <w:t xml:space="preserve"> EDX spectrum acquisition region of Nb layer in QW-STO (a and b) and corresponding diffraction results (b and d</w:t>
      </w:r>
      <w:r>
        <w:rPr>
          <w:rFonts w:ascii="Times New Roman" w:hAnsi="Times New Roman"/>
          <w:color w:val="000000"/>
          <w:kern w:val="2"/>
          <w:sz w:val="24"/>
          <w:szCs w:val="24"/>
        </w:rPr>
        <w:t>).</w:t>
      </w: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r>
        <w:rPr>
          <w:rFonts w:ascii="Times New Roman" w:hAnsi="Times New Roman"/>
          <w:color w:val="000000"/>
          <w:kern w:val="2"/>
          <w:sz w:val="24"/>
          <w:szCs w:val="24"/>
        </w:rPr>
        <w:br w:type="page"/>
      </w:r>
    </w:p>
    <w:p>
      <w:pPr>
        <w:spacing w:after="0" w:line="480" w:lineRule="auto"/>
        <w:jc w:val="center"/>
        <w:rPr>
          <w:rFonts w:ascii="Times New Roman" w:hAnsi="Times New Roman"/>
          <w:color w:val="000000"/>
          <w:kern w:val="2"/>
          <w:sz w:val="24"/>
          <w:szCs w:val="24"/>
        </w:rPr>
      </w:pPr>
    </w:p>
    <w:p>
      <w:pPr>
        <w:spacing w:after="0" w:line="480" w:lineRule="auto"/>
        <w:jc w:val="center"/>
        <w:rPr>
          <w:rFonts w:ascii="Times New Roman" w:hAnsi="Times New Roman"/>
          <w:color w:val="000000"/>
          <w:kern w:val="2"/>
          <w:sz w:val="24"/>
          <w:szCs w:val="24"/>
        </w:rPr>
      </w:pPr>
      <w:r>
        <w:rPr>
          <w:rFonts w:ascii="Times New Roman" w:hAnsi="Times New Roman"/>
          <w:color w:val="000000"/>
          <w:kern w:val="2"/>
          <w:sz w:val="24"/>
          <w:szCs w:val="24"/>
        </w:rPr>
        <w:drawing>
          <wp:inline distT="0" distB="0" distL="0" distR="0">
            <wp:extent cx="4376420" cy="3589020"/>
            <wp:effectExtent l="0" t="0" r="5080" b="0"/>
            <wp:docPr id="10" name="图片 2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3" descr="图片3"/>
                    <pic:cNvPicPr>
                      <a:picLocks noChangeAspect="1" noChangeArrowheads="1"/>
                    </pic:cNvPicPr>
                  </pic:nvPicPr>
                  <pic:blipFill>
                    <a:blip r:embed="rId16">
                      <a:lum contrast="40000"/>
                      <a:extLst>
                        <a:ext uri="{28A0092B-C50C-407E-A947-70E740481C1C}">
                          <a14:useLocalDpi xmlns:a14="http://schemas.microsoft.com/office/drawing/2010/main" val="0"/>
                        </a:ext>
                      </a:extLst>
                    </a:blip>
                    <a:srcRect r="50282"/>
                    <a:stretch>
                      <a:fillRect/>
                    </a:stretch>
                  </pic:blipFill>
                  <pic:spPr>
                    <a:xfrm>
                      <a:off x="0" y="0"/>
                      <a:ext cx="4376420" cy="3589020"/>
                    </a:xfrm>
                    <a:prstGeom prst="rect">
                      <a:avLst/>
                    </a:prstGeom>
                    <a:noFill/>
                    <a:ln>
                      <a:noFill/>
                    </a:ln>
                  </pic:spPr>
                </pic:pic>
              </a:graphicData>
            </a:graphic>
          </wp:inline>
        </w:drawing>
      </w:r>
    </w:p>
    <w:p>
      <w:pPr>
        <w:adjustRightInd/>
        <w:snapToGrid/>
        <w:spacing w:after="0" w:line="480" w:lineRule="auto"/>
        <w:jc w:val="center"/>
        <w:rPr>
          <w:rFonts w:ascii="Times New Roman" w:hAnsi="Times New Roman"/>
          <w:color w:val="000000"/>
          <w:kern w:val="2"/>
          <w:sz w:val="24"/>
          <w:szCs w:val="24"/>
        </w:rPr>
      </w:pPr>
      <w:bookmarkStart w:id="4" w:name="OLE_LINK3"/>
      <w:r>
        <w:rPr>
          <w:rFonts w:ascii="Times New Roman" w:hAnsi="Times New Roman"/>
          <w:b/>
          <w:bCs/>
          <w:color w:val="000000"/>
          <w:kern w:val="2"/>
          <w:sz w:val="24"/>
          <w:szCs w:val="24"/>
        </w:rPr>
        <w:t>Fig. S</w:t>
      </w:r>
      <w:r>
        <w:rPr>
          <w:rFonts w:hint="eastAsia" w:ascii="Times New Roman" w:hAnsi="Times New Roman"/>
          <w:b/>
          <w:bCs/>
          <w:color w:val="000000"/>
          <w:kern w:val="2"/>
          <w:sz w:val="24"/>
          <w:szCs w:val="24"/>
        </w:rPr>
        <w:t>7</w:t>
      </w:r>
      <w:r>
        <w:rPr>
          <w:rFonts w:ascii="Times New Roman" w:hAnsi="Times New Roman"/>
          <w:b/>
          <w:bCs/>
          <w:color w:val="000000"/>
          <w:kern w:val="2"/>
          <w:sz w:val="24"/>
          <w:szCs w:val="24"/>
        </w:rPr>
        <w:t xml:space="preserve"> </w:t>
      </w:r>
      <w:r>
        <w:rPr>
          <w:rFonts w:ascii="Times New Roman" w:hAnsi="Times New Roman"/>
          <w:color w:val="000000"/>
          <w:kern w:val="2"/>
          <w:sz w:val="24"/>
          <w:szCs w:val="24"/>
        </w:rPr>
        <w:t>SEM image of GR.</w:t>
      </w:r>
    </w:p>
    <w:bookmarkEnd w:id="4"/>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jc w:val="center"/>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jc w:val="center"/>
        <w:rPr>
          <w:rFonts w:ascii="Times New Roman" w:hAnsi="Times New Roman"/>
        </w:rPr>
      </w:pPr>
      <w:r>
        <w:rPr>
          <w:rFonts w:ascii="Times New Roman" w:hAnsi="Times New Roman"/>
        </w:rPr>
        <w:drawing>
          <wp:inline distT="0" distB="0" distL="0" distR="0">
            <wp:extent cx="5650230" cy="2489200"/>
            <wp:effectExtent l="0" t="0" r="0" b="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650230" cy="2489200"/>
                    </a:xfrm>
                    <a:prstGeom prst="rect">
                      <a:avLst/>
                    </a:prstGeom>
                    <a:noFill/>
                    <a:ln>
                      <a:noFill/>
                    </a:ln>
                  </pic:spPr>
                </pic:pic>
              </a:graphicData>
            </a:graphic>
          </wp:inline>
        </w:drawing>
      </w:r>
    </w:p>
    <w:p>
      <w:pPr>
        <w:adjustRightInd/>
        <w:snapToGrid/>
        <w:spacing w:after="0" w:line="480" w:lineRule="auto"/>
        <w:jc w:val="center"/>
        <w:rPr>
          <w:rFonts w:ascii="Times New Roman" w:hAnsi="Times New Roman"/>
          <w:color w:val="000000"/>
          <w:kern w:val="2"/>
          <w:sz w:val="24"/>
          <w:szCs w:val="24"/>
        </w:rPr>
      </w:pPr>
      <w:r>
        <w:rPr>
          <w:rFonts w:ascii="Times New Roman" w:hAnsi="Times New Roman"/>
          <w:b/>
          <w:bCs/>
          <w:color w:val="000000"/>
          <w:kern w:val="2"/>
          <w:sz w:val="24"/>
          <w:szCs w:val="24"/>
        </w:rPr>
        <w:t>Fig. S</w:t>
      </w:r>
      <w:r>
        <w:rPr>
          <w:rFonts w:hint="eastAsia" w:ascii="Times New Roman" w:hAnsi="Times New Roman"/>
          <w:b/>
          <w:bCs/>
          <w:color w:val="000000"/>
          <w:kern w:val="2"/>
          <w:sz w:val="24"/>
          <w:szCs w:val="24"/>
        </w:rPr>
        <w:t>8</w:t>
      </w:r>
      <w:r>
        <w:rPr>
          <w:rFonts w:ascii="Times New Roman" w:hAnsi="Times New Roman"/>
          <w:b/>
          <w:bCs/>
          <w:color w:val="000000"/>
          <w:kern w:val="2"/>
          <w:sz w:val="24"/>
          <w:szCs w:val="24"/>
        </w:rPr>
        <w:t xml:space="preserve"> </w:t>
      </w:r>
      <w:r>
        <w:rPr>
          <w:rFonts w:ascii="Times New Roman" w:hAnsi="Times New Roman"/>
          <w:color w:val="000000"/>
          <w:kern w:val="2"/>
          <w:sz w:val="24"/>
          <w:szCs w:val="24"/>
        </w:rPr>
        <w:t>(a) SEM image and (b) TEM image of QW-STO/GR (1.0 wt%).</w:t>
      </w:r>
    </w:p>
    <w:p>
      <w:pPr>
        <w:adjustRightInd/>
        <w:snapToGrid/>
        <w:spacing w:after="0" w:line="480" w:lineRule="auto"/>
        <w:jc w:val="center"/>
        <w:rPr>
          <w:rFonts w:ascii="Times New Roman" w:hAnsi="Times New Roman"/>
          <w:sz w:val="24"/>
          <w:szCs w:val="24"/>
        </w:rPr>
      </w:pPr>
      <w:r>
        <w:rPr>
          <w:rFonts w:ascii="Times New Roman" w:hAnsi="Times New Roman"/>
          <w:color w:val="000000"/>
          <w:kern w:val="2"/>
          <w:sz w:val="24"/>
          <w:szCs w:val="24"/>
        </w:rPr>
        <w:br w:type="page"/>
      </w:r>
      <w:r>
        <w:rPr>
          <w:rFonts w:ascii="Times New Roman" w:hAnsi="Times New Roman"/>
          <w:sz w:val="24"/>
          <w:szCs w:val="24"/>
        </w:rPr>
        <w:drawing>
          <wp:inline distT="0" distB="0" distL="0" distR="0">
            <wp:extent cx="4947285" cy="3789680"/>
            <wp:effectExtent l="0" t="0" r="5715" b="1270"/>
            <wp:docPr id="12" name="图片 121"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1" descr="图片10"/>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a:xfrm>
                      <a:off x="0" y="0"/>
                      <a:ext cx="4947285" cy="3789680"/>
                    </a:xfrm>
                    <a:prstGeom prst="rect">
                      <a:avLst/>
                    </a:prstGeom>
                    <a:noFill/>
                    <a:ln>
                      <a:noFill/>
                    </a:ln>
                  </pic:spPr>
                </pic:pic>
              </a:graphicData>
            </a:graphic>
          </wp:inline>
        </w:drawing>
      </w: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r>
        <w:rPr>
          <w:rFonts w:ascii="Times New Roman" w:hAnsi="Times New Roman"/>
          <w:b/>
          <w:sz w:val="24"/>
          <w:szCs w:val="24"/>
        </w:rPr>
        <w:t>Fig. S</w:t>
      </w:r>
      <w:r>
        <w:rPr>
          <w:rFonts w:hint="eastAsia" w:ascii="Times New Roman" w:hAnsi="Times New Roman"/>
          <w:b/>
          <w:sz w:val="24"/>
          <w:szCs w:val="24"/>
        </w:rPr>
        <w:t>9</w:t>
      </w:r>
      <w:r>
        <w:rPr>
          <w:rFonts w:ascii="Times New Roman" w:hAnsi="Times New Roman"/>
          <w:b/>
          <w:sz w:val="24"/>
          <w:szCs w:val="24"/>
        </w:rPr>
        <w:t xml:space="preserve"> </w:t>
      </w:r>
      <w:r>
        <w:rPr>
          <w:rFonts w:ascii="Times New Roman" w:hAnsi="Times New Roman"/>
          <w:sz w:val="24"/>
          <w:szCs w:val="24"/>
        </w:rPr>
        <w:t xml:space="preserve">XRD patterns of QW-STO and QW-STO/GR with different content of GR. </w:t>
      </w:r>
    </w:p>
    <w:p>
      <w:pPr>
        <w:spacing w:after="0" w:line="480" w:lineRule="auto"/>
        <w:jc w:val="center"/>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rPr>
        <w:drawing>
          <wp:inline distT="0" distB="0" distL="0" distR="0">
            <wp:extent cx="4910455" cy="3747770"/>
            <wp:effectExtent l="0" t="0" r="4445" b="5080"/>
            <wp:docPr id="13" name="图片 122" descr="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2" descr="图片11"/>
                    <pic:cNvPicPr>
                      <a:picLocks noChangeAspect="1" noChangeArrowheads="1"/>
                    </pic:cNvPicPr>
                  </pic:nvPicPr>
                  <pic:blipFill>
                    <a:blip r:embed="rId19">
                      <a:lum contrast="20000"/>
                      <a:extLst>
                        <a:ext uri="{28A0092B-C50C-407E-A947-70E740481C1C}">
                          <a14:useLocalDpi xmlns:a14="http://schemas.microsoft.com/office/drawing/2010/main" val="0"/>
                        </a:ext>
                      </a:extLst>
                    </a:blip>
                    <a:srcRect/>
                    <a:stretch>
                      <a:fillRect/>
                    </a:stretch>
                  </pic:blipFill>
                  <pic:spPr>
                    <a:xfrm>
                      <a:off x="0" y="0"/>
                      <a:ext cx="4910455" cy="3747770"/>
                    </a:xfrm>
                    <a:prstGeom prst="rect">
                      <a:avLst/>
                    </a:prstGeom>
                    <a:noFill/>
                    <a:ln>
                      <a:noFill/>
                    </a:ln>
                  </pic:spPr>
                </pic:pic>
              </a:graphicData>
            </a:graphic>
          </wp:inline>
        </w:drawing>
      </w:r>
    </w:p>
    <w:p>
      <w:pPr>
        <w:kinsoku w:val="0"/>
        <w:spacing w:after="0" w:line="480" w:lineRule="auto"/>
        <w:jc w:val="center"/>
        <w:rPr>
          <w:rFonts w:ascii="Times New Roman" w:hAnsi="Times New Roman"/>
          <w:sz w:val="24"/>
          <w:szCs w:val="24"/>
        </w:rPr>
      </w:pPr>
      <w:r>
        <w:rPr>
          <w:rFonts w:ascii="Times New Roman" w:hAnsi="Times New Roman"/>
          <w:b/>
          <w:sz w:val="24"/>
          <w:szCs w:val="24"/>
        </w:rPr>
        <w:t>Fig. S1</w:t>
      </w:r>
      <w:r>
        <w:rPr>
          <w:rFonts w:hint="eastAsia" w:ascii="Times New Roman" w:hAnsi="Times New Roman"/>
          <w:b/>
          <w:sz w:val="24"/>
          <w:szCs w:val="24"/>
        </w:rPr>
        <w:t>0</w:t>
      </w:r>
      <w:r>
        <w:rPr>
          <w:rFonts w:ascii="Times New Roman" w:hAnsi="Times New Roman"/>
          <w:sz w:val="24"/>
          <w:szCs w:val="24"/>
        </w:rPr>
        <w:t xml:space="preserve"> FT-IR spectra of pure STO, QW-STO and QW-STO/GR (1.0%).</w:t>
      </w:r>
    </w:p>
    <w:p>
      <w:pPr>
        <w:spacing w:after="0" w:line="480" w:lineRule="auto"/>
        <w:jc w:val="center"/>
        <w:rPr>
          <w:rFonts w:ascii="Times New Roman" w:hAnsi="Times New Roman"/>
          <w:sz w:val="24"/>
          <w:szCs w:val="24"/>
        </w:rPr>
      </w:pPr>
      <w:r>
        <w:rPr>
          <w:rFonts w:ascii="Times New Roman" w:hAnsi="Times New Roman"/>
          <w:sz w:val="24"/>
          <w:szCs w:val="24"/>
        </w:rPr>
        <w:br w:type="page"/>
      </w:r>
    </w:p>
    <w:p>
      <w:pPr>
        <w:kinsoku w:val="0"/>
        <w:spacing w:after="0" w:line="480" w:lineRule="auto"/>
        <w:jc w:val="center"/>
        <w:rPr>
          <w:rFonts w:ascii="Times New Roman" w:hAnsi="Times New Roman"/>
          <w:sz w:val="24"/>
          <w:szCs w:val="24"/>
          <w:highlight w:val="yellow"/>
        </w:rPr>
      </w:pPr>
      <w:r>
        <w:rPr>
          <w:rFonts w:ascii="Times New Roman" w:hAnsi="Times New Roman"/>
          <w:sz w:val="24"/>
          <w:szCs w:val="24"/>
        </w:rPr>
        <w:drawing>
          <wp:inline distT="0" distB="0" distL="0" distR="0">
            <wp:extent cx="5106035" cy="3916680"/>
            <wp:effectExtent l="0" t="0" r="0" b="7620"/>
            <wp:docPr id="14" name="图片 123" descr="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23" descr="图片12"/>
                    <pic:cNvPicPr>
                      <a:picLocks noChangeAspect="1" noChangeArrowheads="1"/>
                    </pic:cNvPicPr>
                  </pic:nvPicPr>
                  <pic:blipFill>
                    <a:blip r:embed="rId20">
                      <a:lum contrast="40000"/>
                      <a:extLst>
                        <a:ext uri="{28A0092B-C50C-407E-A947-70E740481C1C}">
                          <a14:useLocalDpi xmlns:a14="http://schemas.microsoft.com/office/drawing/2010/main" val="0"/>
                        </a:ext>
                      </a:extLst>
                    </a:blip>
                    <a:srcRect/>
                    <a:stretch>
                      <a:fillRect/>
                    </a:stretch>
                  </pic:blipFill>
                  <pic:spPr>
                    <a:xfrm>
                      <a:off x="0" y="0"/>
                      <a:ext cx="5106035" cy="3916680"/>
                    </a:xfrm>
                    <a:prstGeom prst="rect">
                      <a:avLst/>
                    </a:prstGeom>
                    <a:noFill/>
                    <a:ln>
                      <a:noFill/>
                    </a:ln>
                  </pic:spPr>
                </pic:pic>
              </a:graphicData>
            </a:graphic>
          </wp:inline>
        </w:drawing>
      </w:r>
    </w:p>
    <w:p>
      <w:pPr>
        <w:kinsoku w:val="0"/>
        <w:spacing w:after="0" w:line="480" w:lineRule="auto"/>
        <w:jc w:val="center"/>
        <w:rPr>
          <w:rFonts w:ascii="Times New Roman" w:hAnsi="Times New Roman"/>
          <w:sz w:val="24"/>
          <w:szCs w:val="24"/>
        </w:rPr>
      </w:pPr>
      <w:r>
        <w:rPr>
          <w:rFonts w:ascii="Times New Roman" w:hAnsi="Times New Roman"/>
          <w:b/>
          <w:sz w:val="24"/>
          <w:szCs w:val="24"/>
        </w:rPr>
        <w:t>Fig. S1</w:t>
      </w:r>
      <w:r>
        <w:rPr>
          <w:rFonts w:hint="eastAsia" w:ascii="Times New Roman" w:hAnsi="Times New Roman"/>
          <w:b/>
          <w:sz w:val="24"/>
          <w:szCs w:val="24"/>
        </w:rPr>
        <w:t>1</w:t>
      </w:r>
      <w:r>
        <w:rPr>
          <w:rFonts w:ascii="Times New Roman" w:hAnsi="Times New Roman"/>
          <w:sz w:val="24"/>
          <w:szCs w:val="24"/>
        </w:rPr>
        <w:t xml:space="preserve"> TG-DSC curve of QW-STO with 5% La doping and 5% Nb surface doping. </w:t>
      </w:r>
    </w:p>
    <w:p>
      <w:pPr>
        <w:spacing w:after="0" w:line="480" w:lineRule="auto"/>
        <w:jc w:val="center"/>
        <w:rPr>
          <w:rFonts w:ascii="Times New Roman" w:hAnsi="Times New Roman"/>
          <w:sz w:val="24"/>
          <w:szCs w:val="24"/>
        </w:rPr>
      </w:pPr>
      <w:r>
        <w:rPr>
          <w:rFonts w:ascii="Times New Roman" w:hAnsi="Times New Roman"/>
          <w:sz w:val="24"/>
          <w:szCs w:val="24"/>
        </w:rPr>
        <w:br w:type="page"/>
      </w:r>
    </w:p>
    <w:p>
      <w:pPr>
        <w:kinsoku w:val="0"/>
        <w:spacing w:after="0" w:line="480" w:lineRule="auto"/>
        <w:jc w:val="center"/>
        <w:rPr>
          <w:rFonts w:ascii="Times New Roman" w:hAnsi="Times New Roman"/>
          <w:sz w:val="24"/>
          <w:szCs w:val="24"/>
        </w:rPr>
      </w:pPr>
      <w:r>
        <w:rPr>
          <w:rFonts w:ascii="Times New Roman" w:hAnsi="Times New Roman"/>
          <w:sz w:val="24"/>
          <w:szCs w:val="24"/>
        </w:rPr>
        <w:drawing>
          <wp:inline distT="0" distB="0" distL="0" distR="0">
            <wp:extent cx="6125845" cy="2880360"/>
            <wp:effectExtent l="0" t="0" r="8255" b="0"/>
            <wp:docPr id="15" name="图片 124" descr="图片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24" descr="图片13"/>
                    <pic:cNvPicPr>
                      <a:picLocks noChangeAspect="1" noChangeArrowheads="1"/>
                    </pic:cNvPicPr>
                  </pic:nvPicPr>
                  <pic:blipFill>
                    <a:blip r:embed="rId21">
                      <a:lum contrast="20000"/>
                      <a:extLst>
                        <a:ext uri="{28A0092B-C50C-407E-A947-70E740481C1C}">
                          <a14:useLocalDpi xmlns:a14="http://schemas.microsoft.com/office/drawing/2010/main" val="0"/>
                        </a:ext>
                      </a:extLst>
                    </a:blip>
                    <a:srcRect l="3792" r="6088"/>
                    <a:stretch>
                      <a:fillRect/>
                    </a:stretch>
                  </pic:blipFill>
                  <pic:spPr>
                    <a:xfrm>
                      <a:off x="0" y="0"/>
                      <a:ext cx="6125845" cy="2880360"/>
                    </a:xfrm>
                    <a:prstGeom prst="rect">
                      <a:avLst/>
                    </a:prstGeom>
                    <a:noFill/>
                    <a:ln>
                      <a:noFill/>
                    </a:ln>
                  </pic:spPr>
                </pic:pic>
              </a:graphicData>
            </a:graphic>
          </wp:inline>
        </w:drawing>
      </w:r>
    </w:p>
    <w:p>
      <w:pPr>
        <w:kinsoku w:val="0"/>
        <w:spacing w:after="0" w:line="480" w:lineRule="auto"/>
        <w:jc w:val="center"/>
        <w:rPr>
          <w:rFonts w:ascii="Times New Roman" w:hAnsi="Times New Roman"/>
          <w:sz w:val="24"/>
          <w:szCs w:val="24"/>
          <w:highlight w:val="yellow"/>
        </w:rPr>
      </w:pPr>
    </w:p>
    <w:p>
      <w:pPr>
        <w:kinsoku w:val="0"/>
        <w:spacing w:after="0" w:line="480" w:lineRule="auto"/>
        <w:jc w:val="center"/>
        <w:rPr>
          <w:rFonts w:ascii="Times New Roman" w:hAnsi="Times New Roman"/>
          <w:sz w:val="24"/>
          <w:szCs w:val="24"/>
        </w:rPr>
      </w:pPr>
      <w:r>
        <w:rPr>
          <w:rFonts w:ascii="Times New Roman" w:hAnsi="Times New Roman"/>
          <w:b/>
          <w:sz w:val="24"/>
          <w:szCs w:val="24"/>
        </w:rPr>
        <w:t>Fig. S1</w:t>
      </w:r>
      <w:r>
        <w:rPr>
          <w:rFonts w:hint="eastAsia" w:ascii="Times New Roman" w:hAnsi="Times New Roman"/>
          <w:b/>
          <w:sz w:val="24"/>
          <w:szCs w:val="24"/>
        </w:rPr>
        <w:t>2</w:t>
      </w:r>
      <w:r>
        <w:rPr>
          <w:rFonts w:ascii="Times New Roman" w:hAnsi="Times New Roman"/>
          <w:b/>
          <w:sz w:val="24"/>
          <w:szCs w:val="24"/>
        </w:rPr>
        <w:t xml:space="preserve"> </w:t>
      </w:r>
      <w:r>
        <w:rPr>
          <w:rFonts w:ascii="Times New Roman" w:hAnsi="Times New Roman"/>
          <w:sz w:val="24"/>
          <w:szCs w:val="24"/>
        </w:rPr>
        <w:t>Nitrogen adsorption-desorption isotherm of different samples and the corresponding pore distribution (a) pure SrTiO</w:t>
      </w:r>
      <w:r>
        <w:rPr>
          <w:rFonts w:ascii="Times New Roman" w:hAnsi="Times New Roman"/>
          <w:sz w:val="24"/>
          <w:szCs w:val="24"/>
          <w:vertAlign w:val="subscript"/>
        </w:rPr>
        <w:t>3</w:t>
      </w:r>
      <w:r>
        <w:rPr>
          <w:rFonts w:ascii="Times New Roman" w:hAnsi="Times New Roman"/>
          <w:sz w:val="24"/>
          <w:szCs w:val="24"/>
        </w:rPr>
        <w:t>; (b) QW-STO/GR (1.0%).</w:t>
      </w: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kinsoku w:val="0"/>
        <w:spacing w:after="0" w:line="480" w:lineRule="auto"/>
        <w:jc w:val="center"/>
        <w:rPr>
          <w:rFonts w:ascii="Times New Roman" w:hAnsi="Times New Roman"/>
          <w:color w:val="000000"/>
          <w:sz w:val="24"/>
          <w:szCs w:val="24"/>
        </w:rPr>
      </w:pPr>
      <w:r>
        <w:rPr>
          <w:rFonts w:ascii="Times New Roman" w:hAnsi="Times New Roman"/>
          <w:sz w:val="24"/>
          <w:szCs w:val="24"/>
        </w:rPr>
        <w:br w:type="page"/>
      </w:r>
      <w:r>
        <w:rPr>
          <w:rFonts w:ascii="Times New Roman" w:hAnsi="Times New Roman"/>
          <w:color w:val="000000"/>
          <w:sz w:val="24"/>
          <w:szCs w:val="24"/>
        </w:rPr>
        <w:drawing>
          <wp:inline distT="0" distB="0" distL="0" distR="0">
            <wp:extent cx="5052695" cy="6052185"/>
            <wp:effectExtent l="0" t="0" r="0" b="5715"/>
            <wp:docPr id="16" name="图片 1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1"/>
                    <pic:cNvPicPr>
                      <a:picLocks noChangeAspect="1" noChangeArrowheads="1"/>
                    </pic:cNvPicPr>
                  </pic:nvPicPr>
                  <pic:blipFill>
                    <a:blip r:embed="rId22" cstate="print">
                      <a:lum contrast="20000"/>
                      <a:extLst>
                        <a:ext uri="{28A0092B-C50C-407E-A947-70E740481C1C}">
                          <a14:useLocalDpi xmlns:a14="http://schemas.microsoft.com/office/drawing/2010/main" val="0"/>
                        </a:ext>
                      </a:extLst>
                    </a:blip>
                    <a:srcRect/>
                    <a:stretch>
                      <a:fillRect/>
                    </a:stretch>
                  </pic:blipFill>
                  <pic:spPr>
                    <a:xfrm>
                      <a:off x="0" y="0"/>
                      <a:ext cx="5052695" cy="6052185"/>
                    </a:xfrm>
                    <a:prstGeom prst="rect">
                      <a:avLst/>
                    </a:prstGeom>
                    <a:noFill/>
                    <a:ln>
                      <a:noFill/>
                    </a:ln>
                  </pic:spPr>
                </pic:pic>
              </a:graphicData>
            </a:graphic>
          </wp:inline>
        </w:drawing>
      </w:r>
    </w:p>
    <w:p>
      <w:pPr>
        <w:kinsoku w:val="0"/>
        <w:spacing w:after="0" w:line="480" w:lineRule="auto"/>
        <w:jc w:val="center"/>
        <w:rPr>
          <w:rFonts w:ascii="Times New Roman" w:hAnsi="Times New Roman"/>
          <w:color w:val="000000"/>
          <w:sz w:val="24"/>
          <w:szCs w:val="24"/>
          <w:highlight w:val="yellow"/>
        </w:rPr>
      </w:pPr>
    </w:p>
    <w:p>
      <w:pPr>
        <w:spacing w:after="0" w:line="480" w:lineRule="auto"/>
        <w:jc w:val="center"/>
        <w:rPr>
          <w:rFonts w:ascii="Times New Roman" w:hAnsi="Times New Roman"/>
          <w:sz w:val="24"/>
          <w:szCs w:val="24"/>
        </w:rPr>
      </w:pPr>
      <w:r>
        <w:rPr>
          <w:rFonts w:ascii="Times New Roman" w:hAnsi="Times New Roman"/>
          <w:b/>
          <w:sz w:val="24"/>
          <w:szCs w:val="24"/>
        </w:rPr>
        <w:t>Fig. S1</w:t>
      </w:r>
      <w:r>
        <w:rPr>
          <w:rFonts w:hint="eastAsia" w:ascii="Times New Roman" w:hAnsi="Times New Roman"/>
          <w:b/>
          <w:sz w:val="24"/>
          <w:szCs w:val="24"/>
        </w:rPr>
        <w:t>3</w:t>
      </w:r>
      <w:r>
        <w:rPr>
          <w:rFonts w:ascii="Times New Roman" w:hAnsi="Times New Roman"/>
          <w:b/>
          <w:sz w:val="24"/>
          <w:szCs w:val="24"/>
        </w:rPr>
        <w:t xml:space="preserve"> </w:t>
      </w:r>
      <w:r>
        <w:rPr>
          <w:rFonts w:ascii="Times New Roman" w:hAnsi="Times New Roman"/>
          <w:sz w:val="24"/>
          <w:szCs w:val="24"/>
        </w:rPr>
        <w:t>XPS spectra for quantum well SrTiO</w:t>
      </w:r>
      <w:r>
        <w:rPr>
          <w:rFonts w:ascii="Times New Roman" w:hAnsi="Times New Roman"/>
          <w:sz w:val="24"/>
          <w:szCs w:val="24"/>
          <w:vertAlign w:val="subscript"/>
        </w:rPr>
        <w:t>3</w:t>
      </w:r>
      <w:r>
        <w:rPr>
          <w:rFonts w:ascii="Times New Roman" w:hAnsi="Times New Roman"/>
          <w:sz w:val="24"/>
          <w:szCs w:val="24"/>
        </w:rPr>
        <w:t xml:space="preserve"> with 5% La doping and 5% Nb surfacing doping. (a) overall spectrum and (b-e) elemental spectra of Ti, Sr, Nb and La.</w:t>
      </w:r>
    </w:p>
    <w:p>
      <w:pPr>
        <w:spacing w:after="0" w:line="480" w:lineRule="auto"/>
        <w:jc w:val="center"/>
        <w:rPr>
          <w:rFonts w:ascii="Times New Roman" w:hAnsi="Times New Roman"/>
          <w:sz w:val="24"/>
          <w:szCs w:val="24"/>
        </w:rPr>
      </w:pPr>
    </w:p>
    <w:p>
      <w:pPr>
        <w:kinsoku w:val="0"/>
        <w:spacing w:after="0" w:line="480" w:lineRule="auto"/>
        <w:jc w:val="center"/>
        <w:rPr>
          <w:rFonts w:ascii="Times New Roman" w:hAnsi="Times New Roman"/>
          <w:sz w:val="24"/>
          <w:szCs w:val="24"/>
        </w:rPr>
      </w:pPr>
      <w:r>
        <w:rPr>
          <w:rFonts w:ascii="Times New Roman" w:hAnsi="Times New Roman"/>
          <w:sz w:val="24"/>
          <w:szCs w:val="24"/>
        </w:rPr>
        <w:drawing>
          <wp:inline distT="0" distB="0" distL="0" distR="0">
            <wp:extent cx="3932555" cy="3869055"/>
            <wp:effectExtent l="0" t="0" r="0" b="0"/>
            <wp:docPr id="17" name="图片 17"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5"/>
                    <pic:cNvPicPr>
                      <a:picLocks noChangeAspect="1" noChangeArrowheads="1"/>
                    </pic:cNvPicPr>
                  </pic:nvPicPr>
                  <pic:blipFill>
                    <a:blip r:embed="rId23">
                      <a:lum contrast="20000"/>
                      <a:extLst>
                        <a:ext uri="{28A0092B-C50C-407E-A947-70E740481C1C}">
                          <a14:useLocalDpi xmlns:a14="http://schemas.microsoft.com/office/drawing/2010/main" val="0"/>
                        </a:ext>
                      </a:extLst>
                    </a:blip>
                    <a:srcRect/>
                    <a:stretch>
                      <a:fillRect/>
                    </a:stretch>
                  </pic:blipFill>
                  <pic:spPr>
                    <a:xfrm>
                      <a:off x="0" y="0"/>
                      <a:ext cx="3932555" cy="3869055"/>
                    </a:xfrm>
                    <a:prstGeom prst="rect">
                      <a:avLst/>
                    </a:prstGeom>
                    <a:noFill/>
                    <a:ln>
                      <a:noFill/>
                    </a:ln>
                  </pic:spPr>
                </pic:pic>
              </a:graphicData>
            </a:graphic>
          </wp:inline>
        </w:drawing>
      </w:r>
    </w:p>
    <w:p>
      <w:pPr>
        <w:kinsoku w:val="0"/>
        <w:spacing w:after="0" w:line="480" w:lineRule="auto"/>
        <w:jc w:val="center"/>
        <w:rPr>
          <w:rFonts w:ascii="Times New Roman" w:hAnsi="Times New Roman"/>
          <w:sz w:val="24"/>
          <w:szCs w:val="24"/>
        </w:rPr>
      </w:pPr>
    </w:p>
    <w:p>
      <w:pPr>
        <w:kinsoku w:val="0"/>
        <w:spacing w:after="0" w:line="480" w:lineRule="auto"/>
        <w:jc w:val="center"/>
        <w:rPr>
          <w:rFonts w:ascii="Times New Roman" w:hAnsi="Times New Roman"/>
          <w:sz w:val="24"/>
          <w:szCs w:val="24"/>
        </w:rPr>
      </w:pPr>
      <w:r>
        <w:rPr>
          <w:rFonts w:ascii="Times New Roman" w:hAnsi="Times New Roman"/>
          <w:b/>
          <w:bCs/>
          <w:sz w:val="24"/>
          <w:szCs w:val="24"/>
        </w:rPr>
        <w:t>Fig. S1</w:t>
      </w:r>
      <w:r>
        <w:rPr>
          <w:rFonts w:hint="eastAsia" w:ascii="Times New Roman" w:hAnsi="Times New Roman"/>
          <w:b/>
          <w:bCs/>
          <w:sz w:val="24"/>
          <w:szCs w:val="24"/>
        </w:rPr>
        <w:t>4</w:t>
      </w:r>
      <w:r>
        <w:rPr>
          <w:rFonts w:ascii="Times New Roman" w:hAnsi="Times New Roman"/>
          <w:sz w:val="24"/>
          <w:szCs w:val="24"/>
        </w:rPr>
        <w:t>XPS spectra of Nb 2p for quantum well SrTiO</w:t>
      </w:r>
      <w:r>
        <w:rPr>
          <w:rFonts w:ascii="Times New Roman" w:hAnsi="Times New Roman"/>
          <w:sz w:val="24"/>
          <w:szCs w:val="24"/>
          <w:vertAlign w:val="subscript"/>
        </w:rPr>
        <w:t>3</w:t>
      </w:r>
      <w:r>
        <w:rPr>
          <w:rFonts w:ascii="Times New Roman" w:hAnsi="Times New Roman"/>
          <w:sz w:val="24"/>
          <w:szCs w:val="24"/>
        </w:rPr>
        <w:t xml:space="preserve"> with 5% La doping and 5% Nb surfacing doping. </w:t>
      </w:r>
    </w:p>
    <w:p>
      <w:pPr>
        <w:spacing w:after="0" w:line="480" w:lineRule="auto"/>
        <w:jc w:val="center"/>
        <w:rPr>
          <w:rFonts w:ascii="Times New Roman" w:hAnsi="Times New Roman"/>
          <w:sz w:val="24"/>
          <w:szCs w:val="24"/>
        </w:rPr>
      </w:pPr>
    </w:p>
    <w:p>
      <w:pPr>
        <w:kinsoku w:val="0"/>
        <w:spacing w:after="0" w:line="480" w:lineRule="auto"/>
        <w:jc w:val="center"/>
        <w:rPr>
          <w:rFonts w:ascii="Times New Roman" w:hAnsi="Times New Roman"/>
          <w:sz w:val="24"/>
          <w:szCs w:val="24"/>
          <w:highlight w:val="yellow"/>
        </w:rPr>
      </w:pPr>
      <w:r>
        <w:rPr>
          <w:rFonts w:ascii="Times New Roman" w:hAnsi="Times New Roman"/>
          <w:sz w:val="24"/>
          <w:szCs w:val="24"/>
        </w:rPr>
        <w:br w:type="page"/>
      </w:r>
      <w:r>
        <w:rPr>
          <w:rFonts w:ascii="Times New Roman" w:hAnsi="Times New Roman"/>
          <w:sz w:val="24"/>
          <w:szCs w:val="24"/>
        </w:rPr>
        <w:drawing>
          <wp:inline distT="0" distB="0" distL="0" distR="0">
            <wp:extent cx="5415915" cy="227203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415915" cy="2272030"/>
                    </a:xfrm>
                    <a:prstGeom prst="rect">
                      <a:avLst/>
                    </a:prstGeom>
                    <a:noFill/>
                    <a:ln>
                      <a:noFill/>
                    </a:ln>
                  </pic:spPr>
                </pic:pic>
              </a:graphicData>
            </a:graphic>
          </wp:inline>
        </w:drawing>
      </w:r>
    </w:p>
    <w:p>
      <w:pPr>
        <w:kinsoku w:val="0"/>
        <w:spacing w:after="0" w:line="480" w:lineRule="auto"/>
        <w:ind w:firstLine="482" w:firstLineChars="200"/>
        <w:jc w:val="center"/>
        <w:rPr>
          <w:rFonts w:ascii="Times New Roman" w:hAnsi="Times New Roman"/>
          <w:sz w:val="24"/>
          <w:szCs w:val="24"/>
        </w:rPr>
      </w:pPr>
      <w:bookmarkStart w:id="5" w:name="OLE_LINK7"/>
      <w:bookmarkStart w:id="6" w:name="OLE_LINK6"/>
      <w:r>
        <w:rPr>
          <w:rFonts w:ascii="Times New Roman" w:hAnsi="Times New Roman"/>
          <w:b/>
          <w:sz w:val="24"/>
          <w:szCs w:val="24"/>
        </w:rPr>
        <w:t>Fig. S1</w:t>
      </w:r>
      <w:r>
        <w:rPr>
          <w:rFonts w:hint="eastAsia" w:ascii="Times New Roman" w:hAnsi="Times New Roman"/>
          <w:b/>
          <w:sz w:val="24"/>
          <w:szCs w:val="24"/>
        </w:rPr>
        <w:t>5</w:t>
      </w:r>
      <w:r>
        <w:rPr>
          <w:rFonts w:ascii="Times New Roman" w:hAnsi="Times New Roman"/>
          <w:sz w:val="24"/>
          <w:szCs w:val="24"/>
        </w:rPr>
        <w:t xml:space="preserve"> (a) The efficiencies of H</w:t>
      </w:r>
      <w:r>
        <w:rPr>
          <w:rFonts w:ascii="Times New Roman" w:hAnsi="Times New Roman"/>
          <w:sz w:val="24"/>
          <w:szCs w:val="24"/>
          <w:vertAlign w:val="subscript"/>
        </w:rPr>
        <w:t>2</w:t>
      </w:r>
      <w:r>
        <w:rPr>
          <w:rFonts w:ascii="Times New Roman" w:hAnsi="Times New Roman"/>
          <w:sz w:val="24"/>
          <w:szCs w:val="24"/>
        </w:rPr>
        <w:t xml:space="preserve"> evolution over QW-STO doped with different amounts of La; </w:t>
      </w:r>
      <w:bookmarkEnd w:id="5"/>
      <w:bookmarkEnd w:id="6"/>
      <w:r>
        <w:rPr>
          <w:rFonts w:ascii="Times New Roman" w:hAnsi="Times New Roman"/>
          <w:sz w:val="24"/>
          <w:szCs w:val="24"/>
        </w:rPr>
        <w:t>(b) Rate of H</w:t>
      </w:r>
      <w:r>
        <w:rPr>
          <w:rFonts w:ascii="Times New Roman" w:hAnsi="Times New Roman"/>
          <w:sz w:val="24"/>
          <w:szCs w:val="24"/>
          <w:vertAlign w:val="subscript"/>
        </w:rPr>
        <w:t>2</w:t>
      </w:r>
      <w:r>
        <w:rPr>
          <w:rFonts w:ascii="Times New Roman" w:hAnsi="Times New Roman"/>
          <w:sz w:val="24"/>
          <w:szCs w:val="24"/>
        </w:rPr>
        <w:t xml:space="preserve"> evolution from the corresponding photocatalyst over 140 min.</w:t>
      </w: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spacing w:after="0" w:line="480" w:lineRule="auto"/>
        <w:jc w:val="center"/>
        <w:rPr>
          <w:rFonts w:ascii="Times New Roman" w:hAnsi="Times New Roman"/>
          <w:sz w:val="24"/>
          <w:szCs w:val="24"/>
        </w:rPr>
      </w:pPr>
    </w:p>
    <w:p>
      <w:pPr>
        <w:adjustRightInd/>
        <w:snapToGrid/>
        <w:spacing w:after="0" w:line="480" w:lineRule="auto"/>
        <w:jc w:val="center"/>
        <w:rPr>
          <w:rFonts w:ascii="Times New Roman" w:hAnsi="Times New Roman"/>
          <w:color w:val="000000"/>
          <w:kern w:val="2"/>
          <w:sz w:val="24"/>
          <w:szCs w:val="24"/>
        </w:rPr>
      </w:pPr>
      <w:r>
        <w:rPr>
          <w:rFonts w:ascii="Times New Roman" w:hAnsi="Times New Roman"/>
          <w:color w:val="000000"/>
          <w:kern w:val="2"/>
          <w:sz w:val="24"/>
          <w:szCs w:val="24"/>
        </w:rPr>
        <w:br w:type="page"/>
      </w:r>
      <w:r>
        <w:rPr>
          <w:rFonts w:ascii="Times New Roman" w:hAnsi="Times New Roman"/>
          <w:color w:val="000000"/>
          <w:kern w:val="2"/>
          <w:sz w:val="24"/>
          <w:szCs w:val="24"/>
        </w:rPr>
        <w:drawing>
          <wp:inline distT="0" distB="0" distL="0" distR="0">
            <wp:extent cx="6089015" cy="4265295"/>
            <wp:effectExtent l="0" t="0" r="6985" b="1905"/>
            <wp:docPr id="19" name="图片 21" descr="微信图片_2019102717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descr="微信图片_2019102717420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6089015" cy="4265295"/>
                    </a:xfrm>
                    <a:prstGeom prst="rect">
                      <a:avLst/>
                    </a:prstGeom>
                    <a:noFill/>
                    <a:ln>
                      <a:noFill/>
                    </a:ln>
                  </pic:spPr>
                </pic:pic>
              </a:graphicData>
            </a:graphic>
          </wp:inline>
        </w:drawing>
      </w:r>
    </w:p>
    <w:p>
      <w:pPr>
        <w:adjustRightInd/>
        <w:snapToGrid/>
        <w:spacing w:after="0" w:line="480" w:lineRule="auto"/>
        <w:jc w:val="both"/>
        <w:rPr>
          <w:rFonts w:ascii="Times New Roman" w:hAnsi="Times New Roman"/>
          <w:color w:val="000000"/>
          <w:kern w:val="2"/>
          <w:sz w:val="24"/>
          <w:szCs w:val="24"/>
        </w:rPr>
      </w:pPr>
      <w:r>
        <w:rPr>
          <w:rFonts w:ascii="Times New Roman" w:hAnsi="Times New Roman"/>
          <w:b/>
          <w:sz w:val="24"/>
          <w:szCs w:val="24"/>
        </w:rPr>
        <w:t>Fig. S1</w:t>
      </w:r>
      <w:r>
        <w:rPr>
          <w:rFonts w:hint="eastAsia" w:ascii="Times New Roman" w:hAnsi="Times New Roman"/>
          <w:b/>
          <w:sz w:val="24"/>
          <w:szCs w:val="24"/>
        </w:rPr>
        <w:t>6</w:t>
      </w:r>
      <w:r>
        <w:rPr>
          <w:rFonts w:ascii="Times New Roman" w:hAnsi="Times New Roman"/>
          <w:sz w:val="24"/>
          <w:szCs w:val="24"/>
        </w:rPr>
        <w:t xml:space="preserve"> HPLC results of the intermediates and products at intervals from the water/methanol mixture (volume ratio = 9:1) in the suspension containing the QW-STO under irradiation of light (Xe lamp, 500 W).</w:t>
      </w: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p>
    <w:p>
      <w:pPr>
        <w:spacing w:line="360" w:lineRule="auto"/>
        <w:jc w:val="center"/>
        <w:rPr>
          <w:rFonts w:ascii="Times New Roman" w:hAnsi="Times New Roman"/>
          <w:b/>
        </w:rPr>
      </w:pPr>
    </w:p>
    <w:p>
      <w:pPr>
        <w:spacing w:line="360" w:lineRule="auto"/>
        <w:jc w:val="center"/>
        <w:rPr>
          <w:rFonts w:ascii="Times New Roman" w:hAnsi="Times New Roman"/>
        </w:rPr>
      </w:pPr>
      <w:r>
        <w:rPr>
          <w:rFonts w:ascii="Times New Roman" w:hAnsi="Times New Roman"/>
          <w:b/>
        </w:rPr>
        <w:t>Table S1</w:t>
      </w:r>
      <w:r>
        <w:rPr>
          <w:rFonts w:ascii="Times New Roman" w:hAnsi="Times New Roman"/>
        </w:rPr>
        <w:t xml:space="preserve"> The adsorption energy of different adsorbates adsorbate on SrTiO</w:t>
      </w:r>
      <w:r>
        <w:rPr>
          <w:rFonts w:ascii="Times New Roman" w:hAnsi="Times New Roman"/>
          <w:vertAlign w:val="subscript"/>
        </w:rPr>
        <w:t>3</w:t>
      </w:r>
      <w:r>
        <w:rPr>
          <w:rFonts w:ascii="Times New Roman" w:hAnsi="Times New Roman"/>
        </w:rPr>
        <w:t>, La-SrTiO</w:t>
      </w:r>
      <w:r>
        <w:rPr>
          <w:rFonts w:ascii="Times New Roman" w:hAnsi="Times New Roman"/>
          <w:vertAlign w:val="subscript"/>
        </w:rPr>
        <w:t>3</w:t>
      </w:r>
      <w:r>
        <w:rPr>
          <w:rFonts w:ascii="Times New Roman" w:hAnsi="Times New Roman"/>
        </w:rPr>
        <w:t>, 2D Nb- SrTiO</w:t>
      </w:r>
      <w:r>
        <w:rPr>
          <w:rFonts w:ascii="Times New Roman" w:hAnsi="Times New Roman"/>
          <w:vertAlign w:val="subscript"/>
        </w:rPr>
        <w:t>3</w:t>
      </w:r>
      <w:r>
        <w:rPr>
          <w:rFonts w:ascii="Times New Roman" w:hAnsi="Times New Roman"/>
        </w:rPr>
        <w:t>, respectively</w:t>
      </w:r>
    </w:p>
    <w:p>
      <w:pPr>
        <w:spacing w:line="360" w:lineRule="auto"/>
        <w:jc w:val="center"/>
        <w:rPr>
          <w:rFonts w:ascii="Times New Roman" w:hAnsi="Times New Roman"/>
        </w:rPr>
      </w:pPr>
      <w:r>
        <w:rPr>
          <w:rFonts w:ascii="Times New Roman" w:hAnsi="Times New Roman"/>
        </w:rPr>
        <w:drawing>
          <wp:inline distT="0" distB="0" distL="0" distR="0">
            <wp:extent cx="5433695" cy="1358265"/>
            <wp:effectExtent l="0" t="0" r="1905" b="0"/>
            <wp:docPr id="2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433695" cy="1358265"/>
                    </a:xfrm>
                    <a:prstGeom prst="rect">
                      <a:avLst/>
                    </a:prstGeom>
                    <a:noFill/>
                    <a:ln>
                      <a:noFill/>
                    </a:ln>
                  </pic:spPr>
                </pic:pic>
              </a:graphicData>
            </a:graphic>
          </wp:inline>
        </w:drawing>
      </w:r>
    </w:p>
    <w:p>
      <w:pPr>
        <w:spacing w:line="360" w:lineRule="auto"/>
        <w:jc w:val="center"/>
        <w:rPr>
          <w:rFonts w:ascii="Times New Roman" w:hAnsi="Times New Roman"/>
        </w:rPr>
      </w:pPr>
    </w:p>
    <w:p>
      <w:pPr>
        <w:adjustRightInd/>
        <w:snapToGrid/>
        <w:spacing w:after="0" w:line="480" w:lineRule="auto"/>
        <w:rPr>
          <w:rFonts w:ascii="Times New Roman" w:hAnsi="Times New Roman"/>
          <w:color w:val="000000"/>
          <w:kern w:val="2"/>
          <w:sz w:val="24"/>
          <w:szCs w:val="24"/>
        </w:rPr>
      </w:pPr>
    </w:p>
    <w:p>
      <w:pPr>
        <w:adjustRightInd/>
        <w:snapToGrid/>
        <w:spacing w:after="0" w:line="480" w:lineRule="auto"/>
        <w:rPr>
          <w:rFonts w:ascii="Times New Roman" w:hAnsi="Times New Roman"/>
          <w:color w:val="000000"/>
          <w:kern w:val="2"/>
          <w:sz w:val="24"/>
          <w:szCs w:val="24"/>
        </w:rPr>
      </w:pPr>
      <w:r>
        <w:rPr>
          <w:rFonts w:ascii="Times New Roman" w:hAnsi="Times New Roman"/>
          <w:color w:val="000000"/>
          <w:kern w:val="2"/>
          <w:sz w:val="24"/>
          <w:szCs w:val="24"/>
        </w:rPr>
        <w:br w:type="page"/>
      </w:r>
      <w:r>
        <w:rPr>
          <w:rFonts w:ascii="Times New Roman" w:hAnsi="Times New Roman"/>
          <w:b/>
          <w:sz w:val="28"/>
          <w:szCs w:val="21"/>
        </w:rPr>
        <w:t>References</w:t>
      </w:r>
    </w:p>
    <w:p>
      <w:pPr>
        <w:adjustRightInd/>
        <w:snapToGrid/>
        <w:spacing w:after="0" w:line="480" w:lineRule="auto"/>
        <w:ind w:left="470" w:hanging="470" w:hangingChars="195"/>
        <w:rPr>
          <w:rFonts w:ascii="Times New Roman" w:hAnsi="Times New Roman"/>
          <w:color w:val="FF0000"/>
          <w:kern w:val="2"/>
          <w:sz w:val="24"/>
          <w:szCs w:val="24"/>
        </w:rPr>
      </w:pPr>
      <w:r>
        <w:rPr>
          <w:rFonts w:ascii="Times New Roman" w:hAnsi="Times New Roman"/>
          <w:b/>
          <w:color w:val="000000"/>
          <w:kern w:val="2"/>
          <w:sz w:val="24"/>
          <w:szCs w:val="24"/>
        </w:rPr>
        <w:t>(S1)</w:t>
      </w:r>
      <w:r>
        <w:rPr>
          <w:rFonts w:ascii="Times New Roman" w:hAnsi="Times New Roman"/>
          <w:b/>
          <w:color w:val="FF0000"/>
          <w:kern w:val="2"/>
          <w:sz w:val="24"/>
          <w:szCs w:val="24"/>
        </w:rPr>
        <w:t xml:space="preserve"> </w:t>
      </w:r>
      <w:r>
        <w:rPr>
          <w:rFonts w:hint="eastAsia" w:ascii="Times New Roman" w:hAnsi="Times New Roman"/>
          <w:color w:val="auto"/>
          <w:kern w:val="2"/>
          <w:sz w:val="24"/>
          <w:szCs w:val="24"/>
        </w:rPr>
        <w:t>Xiang</w:t>
      </w:r>
      <w:r>
        <w:rPr>
          <w:rFonts w:hint="eastAsia" w:ascii="Times New Roman" w:hAnsi="Times New Roman"/>
          <w:color w:val="auto"/>
          <w:kern w:val="2"/>
          <w:sz w:val="24"/>
          <w:szCs w:val="24"/>
          <w:lang w:val="en-US" w:eastAsia="zh-CN"/>
        </w:rPr>
        <w:t xml:space="preserve"> </w:t>
      </w:r>
      <w:r>
        <w:rPr>
          <w:rFonts w:hint="eastAsia" w:ascii="Times New Roman" w:hAnsi="Times New Roman"/>
          <w:color w:val="auto"/>
          <w:kern w:val="2"/>
          <w:sz w:val="24"/>
          <w:szCs w:val="24"/>
        </w:rPr>
        <w:t>Q , Yu</w:t>
      </w:r>
      <w:r>
        <w:rPr>
          <w:rFonts w:hint="eastAsia" w:ascii="Times New Roman" w:hAnsi="Times New Roman"/>
          <w:color w:val="auto"/>
          <w:kern w:val="2"/>
          <w:sz w:val="24"/>
          <w:szCs w:val="24"/>
          <w:lang w:val="en-US" w:eastAsia="zh-CN"/>
        </w:rPr>
        <w:t xml:space="preserve"> </w:t>
      </w:r>
      <w:r>
        <w:rPr>
          <w:rFonts w:hint="eastAsia" w:ascii="Times New Roman" w:hAnsi="Times New Roman"/>
          <w:color w:val="auto"/>
          <w:kern w:val="2"/>
          <w:sz w:val="24"/>
          <w:szCs w:val="24"/>
        </w:rPr>
        <w:t>J</w:t>
      </w:r>
      <w:r>
        <w:rPr>
          <w:rFonts w:hint="eastAsia" w:ascii="Times New Roman" w:hAnsi="Times New Roman"/>
          <w:color w:val="auto"/>
          <w:kern w:val="2"/>
          <w:sz w:val="24"/>
          <w:szCs w:val="24"/>
          <w:lang w:val="en-US" w:eastAsia="zh-CN"/>
        </w:rPr>
        <w:t xml:space="preserve">, </w:t>
      </w:r>
      <w:r>
        <w:rPr>
          <w:rFonts w:hint="eastAsia" w:ascii="Times New Roman" w:hAnsi="Times New Roman"/>
          <w:color w:val="auto"/>
          <w:kern w:val="2"/>
          <w:sz w:val="24"/>
          <w:szCs w:val="24"/>
        </w:rPr>
        <w:t>Mietek (2011) Jaroniec</w:t>
      </w:r>
      <w:r>
        <w:rPr>
          <w:rFonts w:hint="eastAsia" w:ascii="Times New Roman" w:hAnsi="Times New Roman"/>
          <w:color w:val="auto"/>
          <w:kern w:val="2"/>
          <w:sz w:val="24"/>
          <w:szCs w:val="24"/>
          <w:lang w:val="en-US" w:eastAsia="zh-CN"/>
        </w:rPr>
        <w:t xml:space="preserve"> </w:t>
      </w:r>
      <w:r>
        <w:rPr>
          <w:rFonts w:hint="eastAsia" w:ascii="Times New Roman" w:hAnsi="Times New Roman"/>
          <w:color w:val="auto"/>
          <w:kern w:val="2"/>
          <w:sz w:val="24"/>
          <w:szCs w:val="24"/>
        </w:rPr>
        <w:t>Enhanced photocatalytic H</w:t>
      </w:r>
      <w:r>
        <w:rPr>
          <w:rFonts w:hint="eastAsia" w:ascii="Times New Roman" w:hAnsi="Times New Roman"/>
          <w:color w:val="auto"/>
          <w:kern w:val="2"/>
          <w:sz w:val="24"/>
          <w:szCs w:val="24"/>
          <w:vertAlign w:val="subscript"/>
        </w:rPr>
        <w:t>2</w:t>
      </w:r>
      <w:r>
        <w:rPr>
          <w:rFonts w:hint="eastAsia" w:ascii="Times New Roman" w:hAnsi="Times New Roman"/>
          <w:color w:val="auto"/>
          <w:kern w:val="2"/>
          <w:sz w:val="24"/>
          <w:szCs w:val="24"/>
        </w:rPr>
        <w:t>-production activity of graphene-modified titania nanosheets. Nanoscale 3</w:t>
      </w:r>
      <w:r>
        <w:rPr>
          <w:rFonts w:hint="eastAsia" w:ascii="Times New Roman" w:hAnsi="Times New Roman"/>
          <w:color w:val="auto"/>
          <w:kern w:val="2"/>
          <w:sz w:val="24"/>
          <w:szCs w:val="24"/>
          <w:lang w:val="en-US" w:eastAsia="zh-CN"/>
        </w:rPr>
        <w:t>:</w:t>
      </w:r>
      <w:r>
        <w:rPr>
          <w:rFonts w:hint="eastAsia" w:ascii="Times New Roman" w:hAnsi="Times New Roman"/>
          <w:color w:val="auto"/>
          <w:kern w:val="2"/>
          <w:sz w:val="24"/>
          <w:szCs w:val="24"/>
        </w:rPr>
        <w:t xml:space="preserve"> 3670-3678.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00000000" w:usb1="00000000" w:usb2="0000000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等线">
    <w:panose1 w:val="02010600030101010101"/>
    <w:charset w:val="86"/>
    <w:family w:val="auto"/>
    <w:pitch w:val="default"/>
    <w:sig w:usb0="A00002BF" w:usb1="38CF7CFA" w:usb2="00000016" w:usb3="00000000" w:csb0="0004000F" w:csb1="00000000"/>
  </w:font>
  <w:font w:name="BPXPJG+SimSun">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 New Roman,Bold">
    <w:altName w:val="宋体"/>
    <w:panose1 w:val="00000000000000000000"/>
    <w:charset w:val="86"/>
    <w:family w:val="auto"/>
    <w:pitch w:val="default"/>
    <w:sig w:usb0="00000000" w:usb1="00000000" w:usb2="00000010" w:usb3="00000000" w:csb0="00040000" w:csb1="00000000"/>
  </w:font>
  <w:font w:name="Times New Roman,Italic">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xZTM4ZmViNjNiMjBlMzMxMTM4NTNkM2ViMjc3NjMifQ=="/>
  </w:docVars>
  <w:rsids>
    <w:rsidRoot w:val="00D74B6F"/>
    <w:rsid w:val="00005B94"/>
    <w:rsid w:val="000D0D50"/>
    <w:rsid w:val="000E0662"/>
    <w:rsid w:val="0014237D"/>
    <w:rsid w:val="001B0ABF"/>
    <w:rsid w:val="001B36CD"/>
    <w:rsid w:val="002C241C"/>
    <w:rsid w:val="0034760A"/>
    <w:rsid w:val="0046217C"/>
    <w:rsid w:val="0048368E"/>
    <w:rsid w:val="0061095D"/>
    <w:rsid w:val="00845AB5"/>
    <w:rsid w:val="008579F5"/>
    <w:rsid w:val="00923725"/>
    <w:rsid w:val="009759B6"/>
    <w:rsid w:val="00990CE2"/>
    <w:rsid w:val="00A75E1A"/>
    <w:rsid w:val="00A9299F"/>
    <w:rsid w:val="00AA1D97"/>
    <w:rsid w:val="00AC064F"/>
    <w:rsid w:val="00B20B28"/>
    <w:rsid w:val="00B71274"/>
    <w:rsid w:val="00B96DC1"/>
    <w:rsid w:val="00C35888"/>
    <w:rsid w:val="00D74B6F"/>
    <w:rsid w:val="00EB0D10"/>
    <w:rsid w:val="0EE00782"/>
    <w:rsid w:val="13C163A1"/>
    <w:rsid w:val="150C6E8D"/>
    <w:rsid w:val="1EFA1543"/>
    <w:rsid w:val="20C26294"/>
    <w:rsid w:val="6CA20F64"/>
    <w:rsid w:val="6FC14B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宋体" w:cs="Times New Roman"/>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pPr>
      <w:spacing w:after="0"/>
    </w:pPr>
    <w:rPr>
      <w:sz w:val="18"/>
      <w:szCs w:val="18"/>
    </w:rPr>
  </w:style>
  <w:style w:type="paragraph" w:styleId="3">
    <w:name w:val="footer"/>
    <w:basedOn w:val="1"/>
    <w:link w:val="8"/>
    <w:unhideWhenUsed/>
    <w:qFormat/>
    <w:uiPriority w:val="99"/>
    <w:pPr>
      <w:widowControl w:val="0"/>
      <w:tabs>
        <w:tab w:val="center" w:pos="4153"/>
        <w:tab w:val="right" w:pos="8306"/>
      </w:tabs>
      <w:adjustRightInd/>
      <w:spacing w:after="0"/>
    </w:pPr>
    <w:rPr>
      <w:rFonts w:asciiTheme="minorHAnsi" w:hAnsiTheme="minorHAnsi" w:eastAsiaTheme="minorEastAsia" w:cstheme="minorBidi"/>
      <w:kern w:val="2"/>
      <w:sz w:val="18"/>
      <w:szCs w:val="18"/>
    </w:rPr>
  </w:style>
  <w:style w:type="paragraph" w:styleId="4">
    <w:name w:val="header"/>
    <w:basedOn w:val="1"/>
    <w:link w:val="7"/>
    <w:unhideWhenUsed/>
    <w:qFormat/>
    <w:uiPriority w:val="99"/>
    <w:pPr>
      <w:widowControl w:val="0"/>
      <w:pBdr>
        <w:bottom w:val="single" w:color="auto" w:sz="6" w:space="1"/>
      </w:pBdr>
      <w:tabs>
        <w:tab w:val="center" w:pos="4153"/>
        <w:tab w:val="right" w:pos="8306"/>
      </w:tabs>
      <w:adjustRightInd/>
      <w:spacing w:after="0"/>
      <w:jc w:val="center"/>
    </w:pPr>
    <w:rPr>
      <w:rFonts w:asciiTheme="minorHAnsi" w:hAnsiTheme="minorHAnsi" w:eastAsiaTheme="minorEastAsia" w:cstheme="minorBidi"/>
      <w:kern w:val="2"/>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TA_Main_Text"/>
    <w:basedOn w:val="1"/>
    <w:qFormat/>
    <w:uiPriority w:val="0"/>
    <w:pPr>
      <w:adjustRightInd/>
      <w:snapToGrid/>
      <w:spacing w:after="0" w:line="220" w:lineRule="exact"/>
      <w:ind w:firstLine="187"/>
      <w:jc w:val="both"/>
    </w:pPr>
    <w:rPr>
      <w:rFonts w:ascii="Times" w:hAnsi="Times"/>
      <w:sz w:val="18"/>
      <w:szCs w:val="20"/>
      <w:lang w:eastAsia="en-US"/>
    </w:rPr>
  </w:style>
  <w:style w:type="character" w:customStyle="1" w:styleId="10">
    <w:name w:val="EndNote Bibliography Char"/>
    <w:link w:val="11"/>
    <w:qFormat/>
    <w:locked/>
    <w:uiPriority w:val="0"/>
    <w:rPr>
      <w:rFonts w:ascii="Tahoma" w:hAnsi="Tahoma" w:cs="Tahoma"/>
      <w:sz w:val="22"/>
    </w:rPr>
  </w:style>
  <w:style w:type="paragraph" w:customStyle="1" w:styleId="11">
    <w:name w:val="EndNote Bibliography"/>
    <w:basedOn w:val="1"/>
    <w:link w:val="10"/>
    <w:qFormat/>
    <w:uiPriority w:val="0"/>
    <w:pPr>
      <w:widowControl w:val="0"/>
      <w:adjustRightInd/>
      <w:snapToGrid/>
      <w:spacing w:after="0"/>
      <w:jc w:val="both"/>
    </w:pPr>
    <w:rPr>
      <w:rFonts w:cs="Tahoma" w:eastAsiaTheme="minorEastAsia"/>
      <w:kern w:val="2"/>
    </w:rPr>
  </w:style>
  <w:style w:type="paragraph" w:customStyle="1" w:styleId="12">
    <w:name w:val="Default"/>
    <w:qFormat/>
    <w:uiPriority w:val="0"/>
    <w:pPr>
      <w:widowControl w:val="0"/>
      <w:autoSpaceDE w:val="0"/>
      <w:autoSpaceDN w:val="0"/>
      <w:adjustRightInd w:val="0"/>
    </w:pPr>
    <w:rPr>
      <w:rFonts w:ascii="Times New Roman" w:hAnsi="Times New Roman" w:eastAsia="MS Mincho" w:cs="Times New Roman"/>
      <w:color w:val="000000"/>
      <w:sz w:val="24"/>
      <w:szCs w:val="24"/>
      <w:lang w:val="en-US" w:eastAsia="zh-CN" w:bidi="ar-SA"/>
    </w:rPr>
  </w:style>
  <w:style w:type="character" w:customStyle="1" w:styleId="13">
    <w:name w:val="批注框文本 Char"/>
    <w:basedOn w:val="6"/>
    <w:link w:val="2"/>
    <w:semiHidden/>
    <w:qFormat/>
    <w:uiPriority w:val="99"/>
    <w:rPr>
      <w:rFonts w:ascii="Tahoma" w:hAnsi="Tahoma"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notes" Target="footnotes.xml"/><Relationship Id="rId28" Type="http://schemas.openxmlformats.org/officeDocument/2006/relationships/fontTable" Target="fontTable.xml"/><Relationship Id="rId27" Type="http://schemas.openxmlformats.org/officeDocument/2006/relationships/customXml" Target="../customXml/item1.xml"/><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71185-27AB-4A0D-BE24-4ED6A3C9FEC4}">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2002</Words>
  <Characters>11358</Characters>
  <Lines>97</Lines>
  <Paragraphs>27</Paragraphs>
  <TotalTime>3</TotalTime>
  <ScaleCrop>false</ScaleCrop>
  <LinksUpToDate>false</LinksUpToDate>
  <CharactersWithSpaces>13256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2023-02-12T04:09:00Z</dcterms:created>
  <dc:creator>ningjingzhiyuan</dc:creator>
  <cp:lastModifiedBy>小米</cp:lastModifiedBy>
  <dcterms:modified xsi:type="dcterms:W3CDTF">2023-05-30T07:37:31Z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44D2CB92C441447E85DBB894E82EECC0_13</vt:lpwstr>
  </property>
</Properties>
</file>