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BC28" w14:textId="77777777" w:rsidR="00AA02F0" w:rsidRPr="007A7C22" w:rsidRDefault="00AA02F0" w:rsidP="00AA02F0">
      <w:pPr>
        <w:jc w:val="both"/>
        <w:rPr>
          <w:b/>
          <w:lang w:val="en-US"/>
        </w:rPr>
      </w:pPr>
      <w:r w:rsidRPr="007A7C22">
        <w:rPr>
          <w:b/>
          <w:lang w:val="en-US"/>
        </w:rPr>
        <w:t>Supplementary Material</w:t>
      </w:r>
    </w:p>
    <w:p w14:paraId="70BD1A41" w14:textId="77777777" w:rsidR="00AA02F0" w:rsidRDefault="00AA02F0" w:rsidP="00AA02F0">
      <w:pPr>
        <w:jc w:val="both"/>
        <w:rPr>
          <w:color w:val="FF0000"/>
        </w:rPr>
      </w:pPr>
      <w:r>
        <w:rPr>
          <w:noProof/>
        </w:rPr>
        <w:drawing>
          <wp:inline distT="0" distB="0" distL="0" distR="0" wp14:anchorId="412B61B9" wp14:editId="02307EC3">
            <wp:extent cx="9716147" cy="380047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341" b="30663"/>
                    <a:stretch/>
                  </pic:blipFill>
                  <pic:spPr bwMode="auto">
                    <a:xfrm>
                      <a:off x="0" y="0"/>
                      <a:ext cx="9777507" cy="3824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513A5" w14:textId="77777777" w:rsidR="00AA02F0" w:rsidRDefault="00AA02F0" w:rsidP="00AA02F0">
      <w:pPr>
        <w:jc w:val="both"/>
        <w:rPr>
          <w:b/>
          <w:bCs/>
          <w:i/>
          <w:iCs/>
          <w:lang w:val="en-US"/>
        </w:rPr>
      </w:pPr>
    </w:p>
    <w:p w14:paraId="54EF674C" w14:textId="77777777" w:rsidR="00AA02F0" w:rsidRDefault="00AA02F0" w:rsidP="00AA02F0">
      <w:pPr>
        <w:jc w:val="both"/>
        <w:rPr>
          <w:i/>
          <w:iCs/>
          <w:lang w:val="en-US"/>
        </w:rPr>
      </w:pPr>
      <w:r>
        <w:rPr>
          <w:b/>
          <w:bCs/>
          <w:i/>
          <w:iCs/>
          <w:lang w:val="en-US"/>
        </w:rPr>
        <w:t>Suppl. Table 1</w:t>
      </w:r>
      <w:r w:rsidRPr="00AE2C4D">
        <w:rPr>
          <w:b/>
          <w:bCs/>
          <w:i/>
          <w:iCs/>
          <w:lang w:val="en-US"/>
        </w:rPr>
        <w:t>:</w:t>
      </w:r>
      <w:r w:rsidRPr="00AE2C4D">
        <w:rPr>
          <w:i/>
          <w:iCs/>
          <w:lang w:val="en-US"/>
        </w:rPr>
        <w:t xml:space="preserve"> Correlations between clinical variables </w:t>
      </w:r>
      <w:r w:rsidRPr="00D06964">
        <w:rPr>
          <w:i/>
          <w:iCs/>
          <w:lang w:val="en-US"/>
        </w:rPr>
        <w:t>(HDL, high-density lipoprotein; LDL, low-density lipoprotein; TG, triglycerides; FR, filtrate rate; BCVA, best-corrected visual acuity; SE, spherical equivalent; AL, axial length; IOP, intraocular pressure)</w:t>
      </w:r>
      <w:r w:rsidRPr="00AE2C4D">
        <w:rPr>
          <w:i/>
          <w:iCs/>
          <w:lang w:val="en-US"/>
        </w:rPr>
        <w:t xml:space="preserve"> in DM2 patients and RNFL</w:t>
      </w:r>
      <w:r>
        <w:rPr>
          <w:i/>
          <w:iCs/>
          <w:lang w:val="en-US"/>
        </w:rPr>
        <w:t xml:space="preserve"> thickness</w:t>
      </w:r>
      <w:r w:rsidRPr="00AE2C4D">
        <w:rPr>
          <w:i/>
          <w:iCs/>
          <w:lang w:val="en-US"/>
        </w:rPr>
        <w:t xml:space="preserve"> by OCT in the nine areas of the early treatment diabetic retinopathy study (ETDRS) grid (OS, Outer Superior; OT, Outer Temporal; OI, Outer Inferior; ON, Outer Nasal; IS, Inner Superior; IT, Inner Temporal; II, Inner Inferior, IN: Inner Nasal; C, Central; and where temporal quadrants are represented left and nasal quadrants are represented right). The values that reached statistical significance (p&lt;0.05) are shown in bold with </w:t>
      </w:r>
      <w:r w:rsidRPr="00AE2C4D">
        <w:rPr>
          <w:rFonts w:ascii="Calibri" w:eastAsia="Calibri" w:hAnsi="Calibri" w:cs="Arial"/>
          <w:i/>
          <w:iCs/>
          <w:lang w:val="en-US"/>
        </w:rPr>
        <w:t>a grey</w:t>
      </w:r>
      <w:r w:rsidRPr="00AE2C4D">
        <w:rPr>
          <w:i/>
          <w:iCs/>
          <w:lang w:val="en-US"/>
        </w:rPr>
        <w:t xml:space="preserve"> background.</w:t>
      </w:r>
    </w:p>
    <w:p w14:paraId="13E627EA" w14:textId="77777777" w:rsidR="00AA02F0" w:rsidRPr="007A7C22" w:rsidRDefault="00AA02F0" w:rsidP="00AA02F0">
      <w:pPr>
        <w:jc w:val="both"/>
        <w:rPr>
          <w:i/>
          <w:iCs/>
          <w:color w:val="FF0000"/>
          <w:lang w:val="en-US"/>
        </w:rPr>
      </w:pPr>
    </w:p>
    <w:p w14:paraId="7F95F660" w14:textId="77777777" w:rsidR="00AA02F0" w:rsidRDefault="00AA02F0" w:rsidP="00AA02F0">
      <w:pPr>
        <w:jc w:val="both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0DC33F9F" wp14:editId="3CF6F1F3">
            <wp:extent cx="9772887" cy="3766815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694" b="31918"/>
                    <a:stretch/>
                  </pic:blipFill>
                  <pic:spPr bwMode="auto">
                    <a:xfrm>
                      <a:off x="0" y="0"/>
                      <a:ext cx="9784709" cy="3771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9ADD2" w14:textId="77777777" w:rsidR="00AA02F0" w:rsidRDefault="00AA02F0" w:rsidP="00AA02F0">
      <w:pPr>
        <w:jc w:val="center"/>
      </w:pPr>
    </w:p>
    <w:p w14:paraId="6F2E2F52" w14:textId="197BA7AE" w:rsidR="00AA02F0" w:rsidRDefault="00AA02F0" w:rsidP="00AA02F0">
      <w:pPr>
        <w:spacing w:after="160" w:line="259" w:lineRule="auto"/>
        <w:jc w:val="both"/>
        <w:rPr>
          <w:i/>
          <w:iCs/>
          <w:lang w:val="en-US"/>
        </w:rPr>
      </w:pPr>
      <w:r>
        <w:rPr>
          <w:b/>
          <w:bCs/>
          <w:i/>
          <w:iCs/>
          <w:lang w:val="en-US"/>
        </w:rPr>
        <w:t>Suppl. Table 2</w:t>
      </w:r>
      <w:r w:rsidRPr="00AE2C4D">
        <w:rPr>
          <w:b/>
          <w:bCs/>
          <w:i/>
          <w:iCs/>
          <w:lang w:val="en-US"/>
        </w:rPr>
        <w:t>:</w:t>
      </w:r>
      <w:r w:rsidRPr="00AE2C4D">
        <w:rPr>
          <w:i/>
          <w:iCs/>
          <w:lang w:val="en-US"/>
        </w:rPr>
        <w:t xml:space="preserve"> Correlations between clinical variables</w:t>
      </w:r>
      <w:r>
        <w:rPr>
          <w:i/>
          <w:iCs/>
          <w:lang w:val="en-US"/>
        </w:rPr>
        <w:t xml:space="preserve"> </w:t>
      </w:r>
      <w:r w:rsidRPr="007A7C22">
        <w:rPr>
          <w:i/>
          <w:iCs/>
          <w:lang w:val="en-US"/>
        </w:rPr>
        <w:t>(</w:t>
      </w:r>
      <w:r w:rsidRPr="007A7C22">
        <w:rPr>
          <w:lang w:val="en-US"/>
        </w:rPr>
        <w:t>HDL</w:t>
      </w:r>
      <w:r w:rsidRPr="007A7C22">
        <w:rPr>
          <w:i/>
          <w:iCs/>
          <w:lang w:val="en-US"/>
        </w:rPr>
        <w:t>, high-density lipoprotein; </w:t>
      </w:r>
      <w:r w:rsidRPr="007A7C22">
        <w:rPr>
          <w:lang w:val="en-US"/>
        </w:rPr>
        <w:t>LDL</w:t>
      </w:r>
      <w:r w:rsidRPr="007A7C22">
        <w:rPr>
          <w:i/>
          <w:iCs/>
          <w:lang w:val="en-US"/>
        </w:rPr>
        <w:t>, low-density lipoprotein; </w:t>
      </w:r>
      <w:r w:rsidRPr="007A7C22">
        <w:rPr>
          <w:lang w:val="en-US"/>
        </w:rPr>
        <w:t>TG</w:t>
      </w:r>
      <w:r w:rsidRPr="007A7C22">
        <w:rPr>
          <w:i/>
          <w:iCs/>
          <w:lang w:val="en-US"/>
        </w:rPr>
        <w:t>, triglycerides; </w:t>
      </w:r>
      <w:r w:rsidRPr="007A7C22">
        <w:rPr>
          <w:lang w:val="en-US"/>
        </w:rPr>
        <w:t>FR</w:t>
      </w:r>
      <w:r w:rsidRPr="007A7C22">
        <w:rPr>
          <w:i/>
          <w:iCs/>
          <w:lang w:val="en-US"/>
        </w:rPr>
        <w:t>, filtrate rate; </w:t>
      </w:r>
      <w:r w:rsidRPr="007A7C22">
        <w:rPr>
          <w:lang w:val="en-US"/>
        </w:rPr>
        <w:t>BCVA</w:t>
      </w:r>
      <w:r w:rsidRPr="007A7C22">
        <w:rPr>
          <w:i/>
          <w:iCs/>
          <w:lang w:val="en-US"/>
        </w:rPr>
        <w:t>, best-corrected visual acuity; </w:t>
      </w:r>
      <w:r w:rsidRPr="007A7C22">
        <w:rPr>
          <w:lang w:val="en-US"/>
        </w:rPr>
        <w:t>SE</w:t>
      </w:r>
      <w:r w:rsidRPr="007A7C22">
        <w:rPr>
          <w:i/>
          <w:iCs/>
          <w:lang w:val="en-US"/>
        </w:rPr>
        <w:t>, spherical equivalent; </w:t>
      </w:r>
      <w:r w:rsidRPr="007A7C22">
        <w:rPr>
          <w:lang w:val="en-US"/>
        </w:rPr>
        <w:t>AL</w:t>
      </w:r>
      <w:r w:rsidRPr="007A7C22">
        <w:rPr>
          <w:i/>
          <w:iCs/>
          <w:lang w:val="en-US"/>
        </w:rPr>
        <w:t>, axial length; </w:t>
      </w:r>
      <w:r w:rsidRPr="007A7C22">
        <w:rPr>
          <w:lang w:val="en-US"/>
        </w:rPr>
        <w:t>IOP</w:t>
      </w:r>
      <w:r w:rsidRPr="007A7C22">
        <w:rPr>
          <w:i/>
          <w:iCs/>
          <w:lang w:val="en-US"/>
        </w:rPr>
        <w:t>, intraocular pressure)</w:t>
      </w:r>
      <w:r w:rsidRPr="00AE2C4D">
        <w:rPr>
          <w:i/>
          <w:iCs/>
          <w:lang w:val="en-US"/>
        </w:rPr>
        <w:t xml:space="preserve"> in DM2 patients and </w:t>
      </w:r>
      <w:r>
        <w:rPr>
          <w:i/>
          <w:iCs/>
          <w:lang w:val="en-US"/>
        </w:rPr>
        <w:t>GCL+ (GC-IPL)</w:t>
      </w:r>
      <w:r w:rsidRPr="00AE2C4D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thickness </w:t>
      </w:r>
      <w:r w:rsidRPr="00AE2C4D">
        <w:rPr>
          <w:i/>
          <w:iCs/>
          <w:lang w:val="en-US"/>
        </w:rPr>
        <w:t xml:space="preserve">by OCT in the nine areas of the early treatment diabetic retinopathy study (ETDRS) grid (OS, Outer Superior; OT, Outer Temporal; OI, Outer Inferior; ON, Outer Nasal; IS, Inner Superior; IT, Inner Temporal; II, Inner Inferior, IN: Inner Nasal; C, Central; and where temporal quadrants are represented left and nasal quadrants are represented right). The values that reached statistical significance (p&lt;0.05) are shown in bold with </w:t>
      </w:r>
      <w:r w:rsidRPr="007A7C22">
        <w:rPr>
          <w:i/>
          <w:iCs/>
          <w:lang w:val="en-US"/>
        </w:rPr>
        <w:t>a grey</w:t>
      </w:r>
      <w:r w:rsidRPr="00AE2C4D">
        <w:rPr>
          <w:i/>
          <w:iCs/>
          <w:lang w:val="en-US"/>
        </w:rPr>
        <w:t xml:space="preserve"> background.</w:t>
      </w:r>
    </w:p>
    <w:p w14:paraId="59DA5B6B" w14:textId="77777777" w:rsidR="00AA02F0" w:rsidRDefault="00AA02F0" w:rsidP="00AA02F0">
      <w:pPr>
        <w:spacing w:after="160" w:line="259" w:lineRule="auto"/>
        <w:jc w:val="both"/>
        <w:rPr>
          <w:i/>
          <w:iCs/>
          <w:lang w:val="en-US"/>
        </w:rPr>
      </w:pPr>
    </w:p>
    <w:p w14:paraId="28F1F0D0" w14:textId="77777777" w:rsidR="00AA02F0" w:rsidRPr="00BD5B5C" w:rsidRDefault="00AA02F0" w:rsidP="00AA02F0">
      <w:pPr>
        <w:spacing w:after="160" w:line="259" w:lineRule="auto"/>
        <w:jc w:val="both"/>
        <w:rPr>
          <w:i/>
          <w:iCs/>
          <w:lang w:val="en-US"/>
        </w:rPr>
      </w:pPr>
      <w:r>
        <w:rPr>
          <w:noProof/>
        </w:rPr>
        <w:lastRenderedPageBreak/>
        <w:drawing>
          <wp:inline distT="0" distB="0" distL="0" distR="0" wp14:anchorId="5BA41042" wp14:editId="6BF924BF">
            <wp:extent cx="9701611" cy="377380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694" b="31290"/>
                    <a:stretch/>
                  </pic:blipFill>
                  <pic:spPr bwMode="auto">
                    <a:xfrm>
                      <a:off x="0" y="0"/>
                      <a:ext cx="9718270" cy="378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02657" w14:textId="77777777" w:rsidR="00AA02F0" w:rsidRDefault="00AA02F0" w:rsidP="00AA02F0">
      <w:pPr>
        <w:jc w:val="both"/>
        <w:rPr>
          <w:i/>
          <w:iCs/>
          <w:lang w:val="en-US"/>
        </w:rPr>
      </w:pPr>
    </w:p>
    <w:p w14:paraId="54BBBC15" w14:textId="77777777" w:rsidR="00AA02F0" w:rsidRPr="007A7C22" w:rsidRDefault="00AA02F0" w:rsidP="00AA02F0">
      <w:pPr>
        <w:spacing w:after="160" w:line="259" w:lineRule="auto"/>
        <w:jc w:val="both"/>
        <w:rPr>
          <w:lang w:val="en-US"/>
        </w:rPr>
      </w:pPr>
      <w:r>
        <w:rPr>
          <w:b/>
          <w:bCs/>
          <w:i/>
          <w:iCs/>
          <w:lang w:val="en-US"/>
        </w:rPr>
        <w:t>Suppl. Table 3</w:t>
      </w:r>
      <w:r w:rsidRPr="00AE2C4D">
        <w:rPr>
          <w:b/>
          <w:bCs/>
          <w:i/>
          <w:iCs/>
          <w:lang w:val="en-US"/>
        </w:rPr>
        <w:t>:</w:t>
      </w:r>
      <w:r w:rsidRPr="00AE2C4D">
        <w:rPr>
          <w:i/>
          <w:iCs/>
          <w:lang w:val="en-US"/>
        </w:rPr>
        <w:t xml:space="preserve"> Correlations between clinical variables</w:t>
      </w:r>
      <w:r>
        <w:rPr>
          <w:i/>
          <w:iCs/>
          <w:lang w:val="en-US"/>
        </w:rPr>
        <w:t xml:space="preserve"> </w:t>
      </w:r>
      <w:r w:rsidRPr="00AE36C8">
        <w:rPr>
          <w:i/>
          <w:iCs/>
          <w:lang w:val="en-US"/>
        </w:rPr>
        <w:t>(</w:t>
      </w:r>
      <w:r w:rsidRPr="00AE36C8">
        <w:rPr>
          <w:lang w:val="en-US"/>
        </w:rPr>
        <w:t>HDL</w:t>
      </w:r>
      <w:r w:rsidRPr="00AE36C8">
        <w:rPr>
          <w:i/>
          <w:iCs/>
          <w:lang w:val="en-US"/>
        </w:rPr>
        <w:t>, high-density lipoprotein; </w:t>
      </w:r>
      <w:r w:rsidRPr="00AE36C8">
        <w:rPr>
          <w:lang w:val="en-US"/>
        </w:rPr>
        <w:t>LDL</w:t>
      </w:r>
      <w:r w:rsidRPr="00AE36C8">
        <w:rPr>
          <w:i/>
          <w:iCs/>
          <w:lang w:val="en-US"/>
        </w:rPr>
        <w:t>, low-density lipoprotein; </w:t>
      </w:r>
      <w:r w:rsidRPr="00AE36C8">
        <w:rPr>
          <w:lang w:val="en-US"/>
        </w:rPr>
        <w:t>TG</w:t>
      </w:r>
      <w:r w:rsidRPr="00AE36C8">
        <w:rPr>
          <w:i/>
          <w:iCs/>
          <w:lang w:val="en-US"/>
        </w:rPr>
        <w:t>, triglycerides; </w:t>
      </w:r>
      <w:r w:rsidRPr="00AE36C8">
        <w:rPr>
          <w:lang w:val="en-US"/>
        </w:rPr>
        <w:t>FR</w:t>
      </w:r>
      <w:r w:rsidRPr="00AE36C8">
        <w:rPr>
          <w:i/>
          <w:iCs/>
          <w:lang w:val="en-US"/>
        </w:rPr>
        <w:t>, filtrate rate; </w:t>
      </w:r>
      <w:r w:rsidRPr="00AE36C8">
        <w:rPr>
          <w:lang w:val="en-US"/>
        </w:rPr>
        <w:t>BCVA</w:t>
      </w:r>
      <w:r w:rsidRPr="00AE36C8">
        <w:rPr>
          <w:i/>
          <w:iCs/>
          <w:lang w:val="en-US"/>
        </w:rPr>
        <w:t>, best-corrected visual acuity; </w:t>
      </w:r>
      <w:r w:rsidRPr="00AE36C8">
        <w:rPr>
          <w:lang w:val="en-US"/>
        </w:rPr>
        <w:t>SE</w:t>
      </w:r>
      <w:r w:rsidRPr="00AE36C8">
        <w:rPr>
          <w:i/>
          <w:iCs/>
          <w:lang w:val="en-US"/>
        </w:rPr>
        <w:t>, spherical equivalent; </w:t>
      </w:r>
      <w:r w:rsidRPr="00AE36C8">
        <w:rPr>
          <w:lang w:val="en-US"/>
        </w:rPr>
        <w:t>AL</w:t>
      </w:r>
      <w:r w:rsidRPr="00AE36C8">
        <w:rPr>
          <w:i/>
          <w:iCs/>
          <w:lang w:val="en-US"/>
        </w:rPr>
        <w:t>, axial length; </w:t>
      </w:r>
      <w:r w:rsidRPr="00AE36C8">
        <w:rPr>
          <w:lang w:val="en-US"/>
        </w:rPr>
        <w:t>IOP</w:t>
      </w:r>
      <w:r w:rsidRPr="00AE36C8">
        <w:rPr>
          <w:i/>
          <w:iCs/>
          <w:lang w:val="en-US"/>
        </w:rPr>
        <w:t>, intraocular pressure)</w:t>
      </w:r>
      <w:r w:rsidRPr="00AE2C4D">
        <w:rPr>
          <w:i/>
          <w:iCs/>
          <w:lang w:val="en-US"/>
        </w:rPr>
        <w:t xml:space="preserve"> in DM2 patients and </w:t>
      </w:r>
      <w:r>
        <w:rPr>
          <w:i/>
          <w:iCs/>
          <w:lang w:val="en-US"/>
        </w:rPr>
        <w:t xml:space="preserve">GCL ++ </w:t>
      </w:r>
      <w:r w:rsidRPr="00D80132">
        <w:rPr>
          <w:i/>
          <w:iCs/>
          <w:lang w:val="en-US"/>
        </w:rPr>
        <w:t>(</w:t>
      </w:r>
      <w:r>
        <w:rPr>
          <w:i/>
          <w:iCs/>
          <w:lang w:val="en-US"/>
        </w:rPr>
        <w:t>ILM -</w:t>
      </w:r>
      <w:r w:rsidRPr="00D80132">
        <w:rPr>
          <w:i/>
          <w:iCs/>
          <w:lang w:val="en-US"/>
        </w:rPr>
        <w:t xml:space="preserve"> IPL/INL [GCC])</w:t>
      </w:r>
      <w:r w:rsidRPr="00AE2C4D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thickness </w:t>
      </w:r>
      <w:r w:rsidRPr="00AE2C4D">
        <w:rPr>
          <w:i/>
          <w:iCs/>
          <w:lang w:val="en-US"/>
        </w:rPr>
        <w:t xml:space="preserve">by OCT in the nine areas of the early treatment diabetic retinopathy study (ETDRS) grid (OS, Outer Superior; OT, Outer Temporal; OI, Outer Inferior; ON, Outer Nasal; IS, Inner Superior; IT, Inner Temporal; II, Inner Inferior, IN: Inner Nasal; C, Central; and where temporal quadrants are represented left and nasal quadrants are represented right). The values that reached statistical significance (p&lt;0.05) are shown in bold with </w:t>
      </w:r>
      <w:r w:rsidRPr="00AE36C8">
        <w:rPr>
          <w:i/>
          <w:iCs/>
          <w:lang w:val="en-US"/>
        </w:rPr>
        <w:t>a grey</w:t>
      </w:r>
      <w:r w:rsidRPr="00AE2C4D">
        <w:rPr>
          <w:i/>
          <w:iCs/>
          <w:lang w:val="en-US"/>
        </w:rPr>
        <w:t xml:space="preserve"> background.</w:t>
      </w:r>
    </w:p>
    <w:p w14:paraId="22280610" w14:textId="77777777" w:rsidR="00AD24F8" w:rsidRPr="000B3041" w:rsidRDefault="00AD24F8">
      <w:pPr>
        <w:rPr>
          <w:lang w:val="en-GB"/>
        </w:rPr>
      </w:pPr>
    </w:p>
    <w:sectPr w:rsidR="00AD24F8" w:rsidRPr="000B3041" w:rsidSect="000B3041">
      <w:pgSz w:w="16838" w:h="11906" w:orient="landscape"/>
      <w:pgMar w:top="1701" w:right="962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F0"/>
    <w:rsid w:val="000B3041"/>
    <w:rsid w:val="00AA02F0"/>
    <w:rsid w:val="00AD24F8"/>
    <w:rsid w:val="00D4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7896"/>
  <w15:chartTrackingRefBased/>
  <w15:docId w15:val="{B15FA4EF-F034-471F-8910-34A60A86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2F0"/>
    <w:pPr>
      <w:spacing w:after="0" w:line="240" w:lineRule="auto"/>
    </w:pPr>
    <w:rPr>
      <w:rFonts w:eastAsiaTheme="minorEastAsia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Boned</dc:creator>
  <cp:keywords/>
  <dc:description/>
  <cp:lastModifiedBy>Ana Boned</cp:lastModifiedBy>
  <cp:revision>2</cp:revision>
  <dcterms:created xsi:type="dcterms:W3CDTF">2023-01-04T19:14:00Z</dcterms:created>
  <dcterms:modified xsi:type="dcterms:W3CDTF">2023-01-04T19:14:00Z</dcterms:modified>
</cp:coreProperties>
</file>