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3F" w:rsidRPr="000D481B" w:rsidRDefault="007D789C" w:rsidP="0014763F">
      <w:pPr>
        <w:pStyle w:val="Caption"/>
        <w:keepNext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Supplementary </w:t>
      </w:r>
      <w:r w:rsidR="0014763F" w:rsidRPr="000D481B">
        <w:rPr>
          <w:rFonts w:asciiTheme="minorHAnsi" w:hAnsiTheme="minorHAnsi" w:cstheme="minorHAnsi"/>
          <w:b/>
          <w:szCs w:val="20"/>
        </w:rPr>
        <w:t xml:space="preserve">Table </w:t>
      </w:r>
      <w:r>
        <w:rPr>
          <w:rFonts w:asciiTheme="minorHAnsi" w:hAnsiTheme="minorHAnsi" w:cstheme="minorHAnsi"/>
          <w:b/>
          <w:szCs w:val="20"/>
        </w:rPr>
        <w:t>2</w:t>
      </w:r>
      <w:bookmarkStart w:id="0" w:name="_GoBack"/>
      <w:bookmarkEnd w:id="0"/>
      <w:r w:rsidR="0014763F" w:rsidRPr="000D481B">
        <w:rPr>
          <w:rFonts w:asciiTheme="minorHAnsi" w:hAnsiTheme="minorHAnsi" w:cstheme="minorHAnsi"/>
          <w:szCs w:val="20"/>
        </w:rPr>
        <w:t xml:space="preserve"> Constant meshing parameters used for the surface and prism layer </w:t>
      </w:r>
      <w:proofErr w:type="spellStart"/>
      <w:r w:rsidR="0014763F" w:rsidRPr="000D481B">
        <w:rPr>
          <w:rFonts w:asciiTheme="minorHAnsi" w:hAnsiTheme="minorHAnsi" w:cstheme="minorHAnsi"/>
          <w:szCs w:val="20"/>
        </w:rPr>
        <w:t>meshers</w:t>
      </w:r>
      <w:proofErr w:type="spellEnd"/>
      <w:r w:rsidR="0014763F" w:rsidRPr="000D481B">
        <w:rPr>
          <w:rFonts w:asciiTheme="minorHAnsi" w:hAnsiTheme="minorHAnsi" w:cstheme="minorHAnsi"/>
          <w:szCs w:val="20"/>
        </w:rPr>
        <w:t xml:space="preserve"> respectively.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479"/>
      </w:tblGrid>
      <w:tr w:rsidR="0014763F" w:rsidRPr="000D481B" w:rsidTr="00C55341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Meshing Parameter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Value (mm)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Target Surface Mesh Size</w:t>
            </w:r>
          </w:p>
        </w:tc>
        <w:tc>
          <w:tcPr>
            <w:tcW w:w="1479" w:type="dxa"/>
            <w:tcBorders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0.200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Minimum Surface Mesh Size</w:t>
            </w: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Thickness</w:t>
            </w:r>
          </w:p>
        </w:tc>
        <w:tc>
          <w:tcPr>
            <w:tcW w:w="1479" w:type="dxa"/>
            <w:tcBorders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Thickness (Cerebrovasculature)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0.170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Thickness (Coronary)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0.170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Thickness (Retinal)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0.013</w:t>
            </w:r>
          </w:p>
        </w:tc>
      </w:tr>
      <w:tr w:rsidR="0014763F" w:rsidRPr="000D481B" w:rsidTr="00C55341">
        <w:trPr>
          <w:jc w:val="center"/>
        </w:trPr>
        <w:tc>
          <w:tcPr>
            <w:tcW w:w="4531" w:type="dxa"/>
            <w:tcBorders>
              <w:top w:val="nil"/>
            </w:tcBorders>
          </w:tcPr>
          <w:p w:rsidR="0014763F" w:rsidRPr="000D481B" w:rsidRDefault="0014763F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Thickness (Carotid/Subclavian)</w:t>
            </w:r>
          </w:p>
        </w:tc>
        <w:tc>
          <w:tcPr>
            <w:tcW w:w="1479" w:type="dxa"/>
            <w:tcBorders>
              <w:top w:val="nil"/>
            </w:tcBorders>
          </w:tcPr>
          <w:p w:rsidR="0014763F" w:rsidRPr="000D481B" w:rsidRDefault="0014763F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0.350</w:t>
            </w:r>
          </w:p>
        </w:tc>
      </w:tr>
    </w:tbl>
    <w:p w:rsidR="00B9590A" w:rsidRDefault="00B9590A"/>
    <w:sectPr w:rsidR="00B95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3F"/>
    <w:rsid w:val="0014763F"/>
    <w:rsid w:val="007D789C"/>
    <w:rsid w:val="00AC11AD"/>
    <w:rsid w:val="00B9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248CE"/>
  <w14:defaultImageDpi w14:val="330"/>
  <w15:chartTrackingRefBased/>
  <w15:docId w15:val="{9043B95C-F122-4905-85A9-1500C836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63F"/>
    <w:pPr>
      <w:spacing w:after="0" w:line="48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63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763F"/>
    <w:pPr>
      <w:spacing w:line="36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Caddy</dc:creator>
  <cp:keywords/>
  <dc:description/>
  <cp:lastModifiedBy>Harrison Caddy</cp:lastModifiedBy>
  <cp:revision>2</cp:revision>
  <dcterms:created xsi:type="dcterms:W3CDTF">2023-05-24T02:36:00Z</dcterms:created>
  <dcterms:modified xsi:type="dcterms:W3CDTF">2023-05-24T03:22:00Z</dcterms:modified>
</cp:coreProperties>
</file>