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63243" w14:textId="34249012" w:rsidR="00F74A01" w:rsidRDefault="00EB3C0A" w:rsidP="00F74A01">
      <w:pPr>
        <w:rPr>
          <w:rFonts w:asciiTheme="minorHAnsi" w:hAnsiTheme="minorHAnsi" w:cstheme="minorHAnsi"/>
          <w:i/>
          <w:iCs/>
          <w:sz w:val="18"/>
          <w:szCs w:val="18"/>
          <w:lang w:val="en-US"/>
        </w:rPr>
      </w:pPr>
      <w:r w:rsidRPr="002029B6">
        <w:rPr>
          <w:rFonts w:cstheme="minorHAnsi"/>
          <w:noProof/>
          <w:lang w:val="de-DE"/>
        </w:rPr>
        <w:drawing>
          <wp:anchor distT="0" distB="0" distL="114300" distR="114300" simplePos="0" relativeHeight="251659264" behindDoc="1" locked="0" layoutInCell="1" allowOverlap="1" wp14:anchorId="79B7D6D5" wp14:editId="50A70A7A">
            <wp:simplePos x="0" y="0"/>
            <wp:positionH relativeFrom="column">
              <wp:posOffset>2540</wp:posOffset>
            </wp:positionH>
            <wp:positionV relativeFrom="paragraph">
              <wp:posOffset>143510</wp:posOffset>
            </wp:positionV>
            <wp:extent cx="6468110" cy="4614545"/>
            <wp:effectExtent l="0" t="0" r="0" b="0"/>
            <wp:wrapTight wrapText="bothSides">
              <wp:wrapPolygon edited="0">
                <wp:start x="0" y="0"/>
                <wp:lineTo x="0" y="21520"/>
                <wp:lineTo x="21545" y="21520"/>
                <wp:lineTo x="21545" y="0"/>
                <wp:lineTo x="0" y="0"/>
              </wp:wrapPolygon>
            </wp:wrapTight>
            <wp:docPr id="23" name="Grafik 23" descr="Ein Bild, das Diagramm, Reihe, technische Zeichnung, parall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descr="Ein Bild, das Diagramm, Reihe, technische Zeichnung, parallel enthält.&#10;&#10;Automatisch generierte Beschreibung"/>
                    <pic:cNvPicPr/>
                  </pic:nvPicPr>
                  <pic:blipFill>
                    <a:blip r:embed="rId4" cstate="print">
                      <a:extLst>
                        <a:ext uri="{28A0092B-C50C-407E-A947-70E740481C1C}">
                          <a14:useLocalDpi xmlns:a14="http://schemas.microsoft.com/office/drawing/2010/main" val="0"/>
                        </a:ext>
                      </a:extLst>
                    </a:blip>
                    <a:srcRect t="1" b="51198"/>
                    <a:stretch>
                      <a:fillRect/>
                    </a:stretch>
                  </pic:blipFill>
                  <pic:spPr bwMode="auto">
                    <a:xfrm>
                      <a:off x="0" y="0"/>
                      <a:ext cx="6468110" cy="4614545"/>
                    </a:xfrm>
                    <a:prstGeom prst="rect">
                      <a:avLst/>
                    </a:prstGeom>
                    <a:ln>
                      <a:noFill/>
                    </a:ln>
                    <a:extLst>
                      <a:ext uri="{53640926-AAD7-44d8-BBD7-CCE9431645EC}">
                        <a14:shadowObscured xmlns:w10="urn:schemas-microsoft-com:office:word" xmlns:w="http://schemas.openxmlformats.org/wordprocessingml/2006/main" xmlns:v="urn:schemas-microsoft-com:vml" xmlns:o="urn:schemas-microsoft-com:office:office" xmlns:mv="urn:schemas-microsoft-com:mac:vml" xmlns:mo="http://schemas.microsoft.com/office/mac/office/2008/main" xmlns:a14="http://schemas.microsoft.com/office/drawing/2010/main" xmlns=""/>
                      </a:ext>
                    </a:extLst>
                  </pic:spPr>
                </pic:pic>
              </a:graphicData>
            </a:graphic>
            <wp14:sizeRelH relativeFrom="page">
              <wp14:pctWidth>0</wp14:pctWidth>
            </wp14:sizeRelH>
            <wp14:sizeRelV relativeFrom="page">
              <wp14:pctHeight>0</wp14:pctHeight>
            </wp14:sizeRelV>
          </wp:anchor>
        </w:drawing>
      </w:r>
    </w:p>
    <w:p w14:paraId="4CEBC07B" w14:textId="77777777" w:rsidR="00EB3C0A" w:rsidRDefault="00EB3C0A" w:rsidP="00EB3C0A">
      <w:pPr>
        <w:rPr>
          <w:rStyle w:val="berschrift4Zchn"/>
          <w:rFonts w:asciiTheme="minorHAnsi" w:hAnsiTheme="minorHAnsi" w:cstheme="minorHAnsi"/>
          <w:b/>
          <w:bCs/>
          <w:color w:val="000000" w:themeColor="text1"/>
          <w:sz w:val="18"/>
          <w:szCs w:val="18"/>
          <w:lang w:val="en-US"/>
        </w:rPr>
      </w:pPr>
      <w:bookmarkStart w:id="0" w:name="_Toc132469773"/>
    </w:p>
    <w:p w14:paraId="4C04EE7B" w14:textId="77777777" w:rsidR="00EB3C0A" w:rsidRDefault="00EB3C0A" w:rsidP="00EB3C0A">
      <w:pPr>
        <w:rPr>
          <w:rStyle w:val="berschrift4Zchn"/>
          <w:rFonts w:asciiTheme="minorHAnsi" w:hAnsiTheme="minorHAnsi" w:cstheme="minorHAnsi"/>
          <w:b/>
          <w:bCs/>
          <w:color w:val="000000" w:themeColor="text1"/>
          <w:sz w:val="18"/>
          <w:szCs w:val="18"/>
          <w:lang w:val="en-US"/>
        </w:rPr>
      </w:pPr>
    </w:p>
    <w:p w14:paraId="2110E6BA" w14:textId="77777777" w:rsidR="00EB3C0A" w:rsidRPr="00EB3C0A" w:rsidRDefault="00EB3C0A" w:rsidP="00EB3C0A">
      <w:pPr>
        <w:rPr>
          <w:rFonts w:asciiTheme="minorHAnsi" w:hAnsiTheme="minorHAnsi" w:cstheme="minorHAnsi"/>
          <w:b/>
          <w:bCs/>
          <w:i/>
          <w:iCs/>
          <w:color w:val="202124"/>
          <w:sz w:val="28"/>
          <w:szCs w:val="28"/>
          <w:shd w:val="clear" w:color="auto" w:fill="FFFFFF"/>
          <w:lang w:val="en-US"/>
        </w:rPr>
      </w:pPr>
    </w:p>
    <w:p w14:paraId="20702B50" w14:textId="77777777" w:rsidR="00EB3C0A" w:rsidRPr="00EB3C0A" w:rsidRDefault="00EB3C0A" w:rsidP="00EB3C0A">
      <w:pPr>
        <w:rPr>
          <w:rFonts w:asciiTheme="minorHAnsi" w:hAnsiTheme="minorHAnsi" w:cstheme="minorHAnsi"/>
          <w:i/>
          <w:iCs/>
          <w:color w:val="202124"/>
          <w:sz w:val="28"/>
          <w:szCs w:val="28"/>
          <w:shd w:val="clear" w:color="auto" w:fill="FFFFFF"/>
          <w:vertAlign w:val="superscript"/>
          <w:lang w:val="en-US"/>
        </w:rPr>
      </w:pPr>
      <w:r w:rsidRPr="00EB3C0A">
        <w:rPr>
          <w:rFonts w:asciiTheme="minorHAnsi" w:hAnsiTheme="minorHAnsi" w:cstheme="minorHAnsi"/>
          <w:i/>
          <w:iCs/>
          <w:color w:val="202124"/>
          <w:sz w:val="28"/>
          <w:szCs w:val="28"/>
          <w:shd w:val="clear" w:color="auto" w:fill="FFFFFF"/>
          <w:lang w:val="en-US"/>
        </w:rPr>
        <w:t>"U</w:t>
      </w:r>
      <w:r w:rsidRPr="00EB3C0A">
        <w:rPr>
          <w:rFonts w:asciiTheme="minorHAnsi" w:hAnsiTheme="minorHAnsi" w:cstheme="minorHAnsi"/>
          <w:i/>
          <w:iCs/>
          <w:color w:val="202124"/>
          <w:sz w:val="28"/>
          <w:szCs w:val="28"/>
          <w:shd w:val="clear" w:color="auto" w:fill="FFFFFF"/>
          <w:vertAlign w:val="subscript"/>
          <w:lang w:val="en-US"/>
        </w:rPr>
        <w:t>osm</w:t>
      </w:r>
      <w:r w:rsidRPr="00EB3C0A">
        <w:rPr>
          <w:rFonts w:asciiTheme="minorHAnsi" w:hAnsiTheme="minorHAnsi" w:cstheme="minorHAnsi"/>
          <w:i/>
          <w:iCs/>
          <w:color w:val="202124"/>
          <w:sz w:val="28"/>
          <w:szCs w:val="28"/>
          <w:shd w:val="clear" w:color="auto" w:fill="FFFFFF"/>
          <w:lang w:val="en-US"/>
        </w:rPr>
        <w:t> in men and women in the different age categories in subjects of study D during the run-in period.</w:t>
      </w:r>
      <w:r w:rsidRPr="00EB3C0A">
        <w:rPr>
          <w:rFonts w:ascii="Calibri" w:hAnsi="Calibri" w:cs="Calibri"/>
          <w:i/>
          <w:iCs/>
          <w:color w:val="202124"/>
          <w:sz w:val="28"/>
          <w:szCs w:val="28"/>
          <w:lang w:val="en-US"/>
        </w:rPr>
        <w:t xml:space="preserve"> </w:t>
      </w:r>
      <w:r w:rsidRPr="00EB3C0A">
        <w:rPr>
          <w:rFonts w:asciiTheme="minorHAnsi" w:hAnsiTheme="minorHAnsi" w:cstheme="minorHAnsi"/>
          <w:i/>
          <w:iCs/>
          <w:color w:val="202124"/>
          <w:sz w:val="28"/>
          <w:szCs w:val="28"/>
          <w:shd w:val="clear" w:color="auto" w:fill="FFFFFF"/>
          <w:lang w:val="en-US"/>
        </w:rPr>
        <w:t>B: U</w:t>
      </w:r>
      <w:r w:rsidRPr="00EB3C0A">
        <w:rPr>
          <w:rFonts w:asciiTheme="minorHAnsi" w:hAnsiTheme="minorHAnsi" w:cstheme="minorHAnsi"/>
          <w:i/>
          <w:iCs/>
          <w:color w:val="202124"/>
          <w:sz w:val="28"/>
          <w:szCs w:val="28"/>
          <w:shd w:val="clear" w:color="auto" w:fill="FFFFFF"/>
          <w:vertAlign w:val="subscript"/>
          <w:lang w:val="en-US"/>
        </w:rPr>
        <w:t>osm</w:t>
      </w:r>
      <w:r w:rsidRPr="00EB3C0A">
        <w:rPr>
          <w:rFonts w:asciiTheme="minorHAnsi" w:hAnsiTheme="minorHAnsi" w:cstheme="minorHAnsi"/>
          <w:i/>
          <w:iCs/>
          <w:color w:val="202124"/>
          <w:sz w:val="28"/>
          <w:szCs w:val="28"/>
          <w:shd w:val="clear" w:color="auto" w:fill="FFFFFF"/>
          <w:lang w:val="en-US"/>
        </w:rPr>
        <w:t xml:space="preserve"> in men and women </w:t>
      </w:r>
      <w:r w:rsidRPr="00EB3C0A">
        <w:rPr>
          <w:rFonts w:ascii="Calibri" w:hAnsi="Calibri" w:cs="Calibri"/>
          <w:i/>
          <w:iCs/>
          <w:color w:val="202124"/>
          <w:sz w:val="28"/>
          <w:szCs w:val="28"/>
          <w:lang w:val="en-US"/>
        </w:rPr>
        <w:t>in</w:t>
      </w:r>
      <w:r w:rsidRPr="00EB3C0A">
        <w:rPr>
          <w:rFonts w:asciiTheme="minorHAnsi" w:hAnsiTheme="minorHAnsi" w:cstheme="minorHAnsi"/>
          <w:i/>
          <w:iCs/>
          <w:color w:val="202124"/>
          <w:sz w:val="28"/>
          <w:szCs w:val="28"/>
          <w:shd w:val="clear" w:color="auto" w:fill="FFFFFF"/>
          <w:lang w:val="en-US"/>
        </w:rPr>
        <w:t xml:space="preserve"> study S according to the different classes of CKD (I to V). Means ± SE for men (•) and women (○). Dashed lines indicate isoosmolality to plasma. Relatively large SEs in the first age and CKD classes are probably due to the small number of subjects of each sex in these classes. When SEs are not visible, they are smaller than the symbols. Comparison by two-way ANOVA (sex and CKD, or sex and age). The sex difference was significant in both cases." </w:t>
      </w:r>
      <w:r w:rsidRPr="00EB3C0A">
        <w:rPr>
          <w:rFonts w:asciiTheme="minorHAnsi" w:hAnsiTheme="minorHAnsi" w:cstheme="minorHAnsi"/>
          <w:i/>
          <w:iCs/>
          <w:color w:val="202124"/>
          <w:sz w:val="28"/>
          <w:szCs w:val="28"/>
          <w:shd w:val="clear" w:color="auto" w:fill="FFFFFF"/>
          <w:vertAlign w:val="superscript"/>
          <w:lang w:val="en-US"/>
        </w:rPr>
        <w:t>85</w:t>
      </w:r>
    </w:p>
    <w:p w14:paraId="51290F8F" w14:textId="77777777" w:rsidR="00EB3C0A" w:rsidRDefault="00EB3C0A" w:rsidP="00EB3C0A">
      <w:pPr>
        <w:rPr>
          <w:rStyle w:val="berschrift4Zchn"/>
          <w:rFonts w:asciiTheme="minorHAnsi" w:hAnsiTheme="minorHAnsi" w:cstheme="minorHAnsi"/>
          <w:b/>
          <w:bCs/>
          <w:color w:val="000000" w:themeColor="text1"/>
          <w:sz w:val="18"/>
          <w:szCs w:val="18"/>
          <w:lang w:val="en-US"/>
        </w:rPr>
      </w:pPr>
    </w:p>
    <w:p w14:paraId="497E11C7" w14:textId="77777777" w:rsidR="00EB3C0A" w:rsidRDefault="00EB3C0A" w:rsidP="00EB3C0A">
      <w:pPr>
        <w:rPr>
          <w:rStyle w:val="berschrift4Zchn"/>
          <w:rFonts w:asciiTheme="minorHAnsi" w:hAnsiTheme="minorHAnsi" w:cstheme="minorHAnsi"/>
          <w:b/>
          <w:bCs/>
          <w:color w:val="000000" w:themeColor="text1"/>
          <w:sz w:val="18"/>
          <w:szCs w:val="18"/>
          <w:lang w:val="en-US"/>
        </w:rPr>
      </w:pPr>
    </w:p>
    <w:p w14:paraId="42A3160B" w14:textId="77777777" w:rsidR="00EB3C0A" w:rsidRDefault="00EB3C0A" w:rsidP="00EB3C0A">
      <w:pPr>
        <w:rPr>
          <w:rStyle w:val="berschrift4Zchn"/>
          <w:rFonts w:asciiTheme="minorHAnsi" w:hAnsiTheme="minorHAnsi" w:cstheme="minorHAnsi"/>
          <w:b/>
          <w:bCs/>
          <w:color w:val="000000" w:themeColor="text1"/>
          <w:sz w:val="18"/>
          <w:szCs w:val="18"/>
          <w:lang w:val="en-US"/>
        </w:rPr>
      </w:pPr>
    </w:p>
    <w:p w14:paraId="3A36452C" w14:textId="77777777" w:rsidR="00EB3C0A" w:rsidRDefault="00EB3C0A" w:rsidP="00EB3C0A">
      <w:pPr>
        <w:rPr>
          <w:rStyle w:val="berschrift4Zchn"/>
          <w:rFonts w:asciiTheme="minorHAnsi" w:hAnsiTheme="minorHAnsi" w:cstheme="minorHAnsi"/>
          <w:b/>
          <w:bCs/>
          <w:color w:val="000000" w:themeColor="text1"/>
          <w:sz w:val="18"/>
          <w:szCs w:val="18"/>
          <w:lang w:val="en-US"/>
        </w:rPr>
      </w:pPr>
    </w:p>
    <w:p w14:paraId="11493EE3" w14:textId="77777777" w:rsidR="00EB3C0A" w:rsidRPr="00EB3C0A" w:rsidRDefault="00EB3C0A" w:rsidP="00EB3C0A">
      <w:pPr>
        <w:rPr>
          <w:rStyle w:val="berschrift4Zchn"/>
          <w:rFonts w:asciiTheme="minorHAnsi" w:hAnsiTheme="minorHAnsi" w:cstheme="minorHAnsi"/>
          <w:b/>
          <w:bCs/>
          <w:color w:val="000000" w:themeColor="text1"/>
          <w:sz w:val="28"/>
          <w:szCs w:val="28"/>
          <w:lang w:val="en-US"/>
        </w:rPr>
      </w:pPr>
    </w:p>
    <w:p w14:paraId="2AFD072B" w14:textId="731D46D0" w:rsidR="00EB3C0A" w:rsidRPr="00EB3C0A" w:rsidRDefault="00EB3C0A" w:rsidP="00EB3C0A">
      <w:pPr>
        <w:rPr>
          <w:rFonts w:asciiTheme="minorHAnsi" w:hAnsiTheme="minorHAnsi" w:cstheme="minorHAnsi"/>
          <w:color w:val="202124"/>
          <w:sz w:val="28"/>
          <w:szCs w:val="28"/>
          <w:shd w:val="clear" w:color="auto" w:fill="FFFFFF"/>
          <w:vertAlign w:val="superscript"/>
          <w:lang w:val="en-US"/>
        </w:rPr>
      </w:pPr>
      <w:r>
        <w:rPr>
          <w:rStyle w:val="berschrift4Zchn"/>
          <w:rFonts w:asciiTheme="minorHAnsi" w:hAnsiTheme="minorHAnsi" w:cstheme="minorHAnsi"/>
          <w:b/>
          <w:bCs/>
          <w:color w:val="000000" w:themeColor="text1"/>
          <w:sz w:val="28"/>
          <w:szCs w:val="28"/>
          <w:lang w:val="en-US"/>
        </w:rPr>
        <w:t>Supplement</w:t>
      </w:r>
      <w:r w:rsidR="00A10949">
        <w:rPr>
          <w:rStyle w:val="berschrift4Zchn"/>
          <w:rFonts w:asciiTheme="minorHAnsi" w:hAnsiTheme="minorHAnsi" w:cstheme="minorHAnsi"/>
          <w:b/>
          <w:bCs/>
          <w:color w:val="000000" w:themeColor="text1"/>
          <w:sz w:val="28"/>
          <w:szCs w:val="28"/>
          <w:lang w:val="en-US"/>
        </w:rPr>
        <w:t>ary Figure</w:t>
      </w:r>
      <w:r w:rsidRPr="00EB3C0A">
        <w:rPr>
          <w:rStyle w:val="berschrift4Zchn"/>
          <w:rFonts w:asciiTheme="minorHAnsi" w:hAnsiTheme="minorHAnsi" w:cstheme="minorHAnsi"/>
          <w:b/>
          <w:bCs/>
          <w:color w:val="000000" w:themeColor="text1"/>
          <w:sz w:val="28"/>
          <w:szCs w:val="28"/>
          <w:lang w:val="en-US"/>
        </w:rPr>
        <w:t xml:space="preserve"> </w:t>
      </w:r>
      <w:r w:rsidR="00A10949">
        <w:rPr>
          <w:rStyle w:val="berschrift4Zchn"/>
          <w:rFonts w:asciiTheme="minorHAnsi" w:hAnsiTheme="minorHAnsi" w:cstheme="minorHAnsi"/>
          <w:b/>
          <w:bCs/>
          <w:color w:val="000000" w:themeColor="text1"/>
          <w:sz w:val="28"/>
          <w:szCs w:val="28"/>
          <w:lang w:val="en-US"/>
        </w:rPr>
        <w:t>5</w:t>
      </w:r>
      <w:r w:rsidRPr="00EB3C0A">
        <w:rPr>
          <w:rStyle w:val="berschrift4Zchn"/>
          <w:rFonts w:asciiTheme="minorHAnsi" w:hAnsiTheme="minorHAnsi" w:cstheme="minorHAnsi"/>
          <w:b/>
          <w:bCs/>
          <w:color w:val="000000" w:themeColor="text1"/>
          <w:sz w:val="28"/>
          <w:szCs w:val="28"/>
          <w:lang w:val="en-US"/>
        </w:rPr>
        <w:t>: Effect of age on sex-differentiated urine osmolality (Perucca J et al., 2006).</w:t>
      </w:r>
      <w:bookmarkEnd w:id="0"/>
      <w:r w:rsidRPr="00EB3C0A">
        <w:rPr>
          <w:rFonts w:asciiTheme="minorHAnsi" w:hAnsiTheme="minorHAnsi" w:cstheme="minorHAnsi"/>
          <w:b/>
          <w:bCs/>
          <w:i/>
          <w:iCs/>
          <w:color w:val="000000" w:themeColor="text1"/>
          <w:sz w:val="28"/>
          <w:szCs w:val="28"/>
          <w:shd w:val="clear" w:color="auto" w:fill="FFFFFF"/>
          <w:lang w:val="en-US"/>
        </w:rPr>
        <w:t xml:space="preserve"> </w:t>
      </w:r>
      <w:r w:rsidRPr="00EB3C0A">
        <w:rPr>
          <w:rFonts w:asciiTheme="minorHAnsi" w:hAnsiTheme="minorHAnsi" w:cstheme="minorHAnsi"/>
          <w:b/>
          <w:bCs/>
          <w:i/>
          <w:iCs/>
          <w:color w:val="000000" w:themeColor="text1"/>
          <w:sz w:val="28"/>
          <w:szCs w:val="28"/>
          <w:shd w:val="clear" w:color="auto" w:fill="FFFFFF"/>
          <w:lang w:val="en-US"/>
        </w:rPr>
        <w:br/>
      </w:r>
      <w:r w:rsidRPr="00EB3C0A">
        <w:rPr>
          <w:rFonts w:asciiTheme="minorHAnsi" w:hAnsiTheme="minorHAnsi" w:cstheme="minorHAnsi"/>
          <w:color w:val="202124"/>
          <w:sz w:val="28"/>
          <w:szCs w:val="28"/>
          <w:shd w:val="clear" w:color="auto" w:fill="FFFFFF"/>
          <w:lang w:val="en-US"/>
        </w:rPr>
        <w:t>Reproduction of</w:t>
      </w:r>
      <w:r w:rsidRPr="00EB3C0A">
        <w:rPr>
          <w:rFonts w:asciiTheme="minorHAnsi" w:hAnsiTheme="minorHAnsi" w:cstheme="minorHAnsi"/>
          <w:b/>
          <w:bCs/>
          <w:color w:val="202124"/>
          <w:sz w:val="28"/>
          <w:szCs w:val="28"/>
          <w:shd w:val="clear" w:color="auto" w:fill="FFFFFF"/>
          <w:lang w:val="en-US"/>
        </w:rPr>
        <w:t xml:space="preserve"> </w:t>
      </w:r>
      <w:r w:rsidRPr="00EB3C0A">
        <w:rPr>
          <w:rFonts w:asciiTheme="minorHAnsi" w:hAnsiTheme="minorHAnsi" w:cstheme="minorHAnsi"/>
          <w:color w:val="202124"/>
          <w:sz w:val="28"/>
          <w:szCs w:val="28"/>
          <w:shd w:val="clear" w:color="auto" w:fill="FFFFFF"/>
          <w:lang w:val="en-US"/>
        </w:rPr>
        <w:t>original Figure 2 A of "Sex difference in urine concentration across differing ages, sodium intake, and level of kidney disease," Perucca J, et al. (2006).</w:t>
      </w:r>
      <w:r w:rsidRPr="00EB3C0A">
        <w:rPr>
          <w:rFonts w:asciiTheme="minorHAnsi" w:hAnsiTheme="minorHAnsi" w:cstheme="minorHAnsi"/>
          <w:color w:val="202124"/>
          <w:sz w:val="28"/>
          <w:szCs w:val="28"/>
          <w:shd w:val="clear" w:color="auto" w:fill="FFFFFF"/>
          <w:vertAlign w:val="superscript"/>
          <w:lang w:val="en-US"/>
        </w:rPr>
        <w:t>85</w:t>
      </w:r>
    </w:p>
    <w:p w14:paraId="1FD96FED" w14:textId="301F3F52" w:rsidR="00CF21B4" w:rsidRPr="00795923" w:rsidRDefault="00F74A01" w:rsidP="00CF21B4">
      <w:pPr>
        <w:rPr>
          <w:rFonts w:cstheme="minorHAnsi"/>
          <w:b/>
          <w:bCs/>
          <w:color w:val="000000" w:themeColor="text1"/>
          <w:sz w:val="28"/>
          <w:szCs w:val="28"/>
          <w:shd w:val="clear" w:color="auto" w:fill="FFFFFF"/>
          <w:lang w:val="en-US"/>
        </w:rPr>
      </w:pPr>
      <w:r>
        <w:rPr>
          <w:rFonts w:cstheme="minorHAnsi"/>
          <w:b/>
          <w:bCs/>
          <w:color w:val="000000" w:themeColor="text1"/>
          <w:sz w:val="28"/>
          <w:szCs w:val="28"/>
          <w:shd w:val="clear" w:color="auto" w:fill="FFFFFF"/>
          <w:lang w:val="en-US"/>
        </w:rPr>
        <w:t xml:space="preserve"> </w:t>
      </w:r>
    </w:p>
    <w:sectPr w:rsidR="00CF21B4" w:rsidRPr="00795923" w:rsidSect="00092F1E">
      <w:pgSz w:w="16817" w:h="11901" w:orient="landscape"/>
      <w:pgMar w:top="680" w:right="1134" w:bottom="68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393"/>
    <w:rsid w:val="000823E5"/>
    <w:rsid w:val="00092F1E"/>
    <w:rsid w:val="000C687A"/>
    <w:rsid w:val="00216184"/>
    <w:rsid w:val="00234983"/>
    <w:rsid w:val="005043FF"/>
    <w:rsid w:val="005F5E40"/>
    <w:rsid w:val="00645557"/>
    <w:rsid w:val="006B7C87"/>
    <w:rsid w:val="00710B96"/>
    <w:rsid w:val="00770D47"/>
    <w:rsid w:val="00795923"/>
    <w:rsid w:val="007E487D"/>
    <w:rsid w:val="00920393"/>
    <w:rsid w:val="00A10949"/>
    <w:rsid w:val="00C13B7A"/>
    <w:rsid w:val="00CF21B4"/>
    <w:rsid w:val="00D64CFF"/>
    <w:rsid w:val="00EB3C0A"/>
    <w:rsid w:val="00F0277F"/>
    <w:rsid w:val="00F42DA6"/>
    <w:rsid w:val="00F74A01"/>
    <w:rsid w:val="00FF3D0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832CD"/>
  <w15:chartTrackingRefBased/>
  <w15:docId w15:val="{CB0A9660-2377-F849-B454-5249230D5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CH" w:eastAsia="en-US" w:bidi="ar-SA"/>
        <w14:ligatures w14:val="standardContextual"/>
      </w:rPr>
    </w:rPrDefault>
    <w:pPrDefault>
      <w:pPr>
        <w:ind w:left="23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043FF"/>
    <w:pPr>
      <w:ind w:left="0"/>
    </w:pPr>
    <w:rPr>
      <w:rFonts w:ascii="Times New Roman" w:eastAsia="Times New Roman" w:hAnsi="Times New Roman" w:cs="Times New Roman"/>
      <w:kern w:val="0"/>
      <w:lang w:eastAsia="de-DE"/>
      <w14:ligatures w14:val="none"/>
    </w:rPr>
  </w:style>
  <w:style w:type="paragraph" w:styleId="berschrift4">
    <w:name w:val="heading 4"/>
    <w:basedOn w:val="Standard"/>
    <w:next w:val="Standard"/>
    <w:link w:val="berschrift4Zchn"/>
    <w:uiPriority w:val="9"/>
    <w:unhideWhenUsed/>
    <w:qFormat/>
    <w:rsid w:val="005043FF"/>
    <w:pPr>
      <w:keepNext/>
      <w:keepLines/>
      <w:spacing w:before="40"/>
      <w:ind w:left="238"/>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aliases w:val="Lancet"/>
    <w:basedOn w:val="Standard"/>
    <w:next w:val="Standard"/>
    <w:autoRedefine/>
    <w:uiPriority w:val="39"/>
    <w:unhideWhenUsed/>
    <w:rsid w:val="00F42DA6"/>
    <w:pPr>
      <w:spacing w:before="360"/>
      <w:ind w:left="238"/>
    </w:pPr>
    <w:rPr>
      <w:rFonts w:asciiTheme="majorHAnsi" w:hAnsiTheme="majorHAnsi" w:cstheme="majorHAnsi"/>
      <w:b/>
      <w:bCs/>
      <w:caps/>
      <w:kern w:val="2"/>
      <w14:ligatures w14:val="standardContextual"/>
    </w:rPr>
  </w:style>
  <w:style w:type="character" w:customStyle="1" w:styleId="berschrift4Zchn">
    <w:name w:val="Überschrift 4 Zchn"/>
    <w:basedOn w:val="Absatz-Standardschriftart"/>
    <w:link w:val="berschrift4"/>
    <w:uiPriority w:val="9"/>
    <w:rsid w:val="005043FF"/>
    <w:rPr>
      <w:rFonts w:asciiTheme="majorHAnsi" w:eastAsiaTheme="majorEastAsia" w:hAnsiTheme="majorHAnsi" w:cstheme="majorBidi"/>
      <w:i/>
      <w:iCs/>
      <w:color w:val="2F5496" w:themeColor="accent1" w:themeShade="BF"/>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755</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Carmine</dc:creator>
  <cp:keywords/>
  <dc:description/>
  <cp:lastModifiedBy>Thomas Carmine</cp:lastModifiedBy>
  <cp:revision>4</cp:revision>
  <dcterms:created xsi:type="dcterms:W3CDTF">2023-05-28T09:18:00Z</dcterms:created>
  <dcterms:modified xsi:type="dcterms:W3CDTF">2023-05-29T15:22:00Z</dcterms:modified>
</cp:coreProperties>
</file>